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1D79" w14:textId="41B11E98" w:rsidR="00847047" w:rsidRDefault="00847047" w:rsidP="00847047">
      <w:pPr>
        <w:pStyle w:val="Ttulo1"/>
      </w:pPr>
      <w:bookmarkStart w:id="0" w:name="_Toc107211765"/>
      <w:bookmarkStart w:id="1" w:name="_Toc484011798"/>
      <w:r w:rsidRPr="002E1F0F">
        <w:t xml:space="preserve">Annex </w:t>
      </w:r>
      <w:r w:rsidR="00F00741">
        <w:t>I</w:t>
      </w:r>
      <w:r w:rsidRPr="002E1F0F">
        <w:t xml:space="preserve">. Oferta </w:t>
      </w:r>
      <w:bookmarkEnd w:id="0"/>
      <w:r w:rsidR="00981DBF">
        <w:t xml:space="preserve">del </w:t>
      </w:r>
      <w:r w:rsidR="00770801">
        <w:t>10</w:t>
      </w:r>
      <w:r w:rsidR="008C79F5">
        <w:t>è</w:t>
      </w:r>
      <w:r w:rsidR="00CB7067">
        <w:t xml:space="preserve"> </w:t>
      </w:r>
      <w:r w:rsidR="00062690" w:rsidRPr="00FD21EB">
        <w:t xml:space="preserve">contracte </w:t>
      </w:r>
      <w:r w:rsidR="00062690">
        <w:t>específic</w:t>
      </w:r>
      <w:r w:rsidR="00CB7067">
        <w:t xml:space="preserve"> d</w:t>
      </w:r>
      <w:r w:rsidR="00954021">
        <w:t>e serveis de suport a licitacions</w:t>
      </w:r>
      <w:r w:rsidR="00CB7067">
        <w:t>, Exp 2</w:t>
      </w:r>
      <w:r w:rsidR="00BE7E0D">
        <w:t>5</w:t>
      </w:r>
      <w:r w:rsidR="00844886">
        <w:t>/7</w:t>
      </w:r>
      <w:r w:rsidR="00BE7E0D">
        <w:t>6</w:t>
      </w:r>
      <w:r w:rsidR="00CB7067">
        <w:t>.</w:t>
      </w:r>
    </w:p>
    <w:p w14:paraId="73795FEE" w14:textId="5F5D8E44" w:rsidR="00847047" w:rsidRDefault="00847047" w:rsidP="00847047">
      <w:r w:rsidRPr="0087366C">
        <w:t>(El senyor / La senyora) .........................................................</w:t>
      </w:r>
      <w:r w:rsidRPr="00EA6578">
        <w:t xml:space="preserve">..............., major d’edat, amb DNI núm. ........................., en la seva condició de ................................... de l’empresa ........................................................., amb NIF .............................., amb domicili a la ciutat de ................................. carrer.......................................... núm. ....................., assabentat de les condicions i requisits que s’exigeixen per a l’adjudicació del contracte </w:t>
      </w:r>
      <w:r>
        <w:t>específic</w:t>
      </w:r>
      <w:r w:rsidRPr="00EA6578">
        <w:t xml:space="preserve"> de </w:t>
      </w:r>
      <w:r w:rsidR="00954021">
        <w:t xml:space="preserve">serveis de suport a les licitacions </w:t>
      </w:r>
      <w:r w:rsidR="00954021" w:rsidRPr="00954021">
        <w:t>EFA i TIC del CSUC</w:t>
      </w:r>
      <w:r w:rsidRPr="00F37AC6">
        <w:t xml:space="preserve">, segons es descriu en el plec administratiu i en el </w:t>
      </w:r>
      <w:r w:rsidR="00875C40">
        <w:t>p</w:t>
      </w:r>
      <w:r w:rsidRPr="00F37AC6">
        <w:t>lec de prescripcions tècniques, faig constar que conec els plecs que serveixen de base al contracte i l’accepto íntegrament, comprometent-me a portar a t</w:t>
      </w:r>
      <w:r w:rsidRPr="003700DC">
        <w:t>erme l’objecte del contracte</w:t>
      </w:r>
      <w:r>
        <w:t xml:space="preserve"> </w:t>
      </w:r>
      <w:r w:rsidRPr="003700DC">
        <w:t xml:space="preserve">d’acord amb: </w:t>
      </w:r>
    </w:p>
    <w:p w14:paraId="41A65AF2" w14:textId="77777777" w:rsidR="00567C0A" w:rsidRDefault="00567C0A" w:rsidP="00697A44">
      <w:pPr>
        <w:pStyle w:val="Prrafodelista"/>
        <w:tabs>
          <w:tab w:val="left" w:pos="709"/>
        </w:tabs>
        <w:spacing w:after="0" w:line="240" w:lineRule="auto"/>
        <w:ind w:left="360" w:firstLine="0"/>
        <w:contextualSpacing w:val="0"/>
      </w:pPr>
    </w:p>
    <w:p w14:paraId="1A9E2646" w14:textId="38C3DE91" w:rsidR="00ED3529" w:rsidRDefault="00ED3529" w:rsidP="00ED3529">
      <w:pPr>
        <w:pStyle w:val="Prrafodelista"/>
        <w:numPr>
          <w:ilvl w:val="0"/>
          <w:numId w:val="2"/>
        </w:numPr>
        <w:tabs>
          <w:tab w:val="left" w:pos="709"/>
        </w:tabs>
        <w:spacing w:after="0" w:line="240" w:lineRule="auto"/>
        <w:contextualSpacing w:val="0"/>
      </w:pPr>
      <w:r>
        <w:t>Oferta Tècnica Categoria 2</w:t>
      </w:r>
    </w:p>
    <w:p w14:paraId="7C912901" w14:textId="77777777" w:rsidR="00ED3529" w:rsidRDefault="00ED3529" w:rsidP="00ED3529">
      <w:pPr>
        <w:pStyle w:val="Prrafodelista"/>
        <w:tabs>
          <w:tab w:val="left" w:pos="709"/>
        </w:tabs>
        <w:spacing w:after="0" w:line="240" w:lineRule="auto"/>
        <w:ind w:left="360" w:firstLine="0"/>
      </w:pPr>
    </w:p>
    <w:p w14:paraId="3D531213" w14:textId="6194B963" w:rsidR="00BE7E0D" w:rsidRDefault="009A222F" w:rsidP="009A222F">
      <w:pPr>
        <w:pStyle w:val="Prrafodelista"/>
        <w:ind w:left="0" w:firstLine="0"/>
      </w:pPr>
      <w:r>
        <w:t>El licitador haurà d’emplenar el camp “Oferta licitador (SI/NO)” per a cada funcionalitat o servei amb “SI” en cas que ofereixi la funcionalitat o el servei o amb “NO” en cas que no l’ofereixi. En cas que aquest camp no estigui complimentat amb cap d’aquestes dues opcions, es valorarà com a “NO”.</w:t>
      </w:r>
    </w:p>
    <w:tbl>
      <w:tblPr>
        <w:tblW w:w="9781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185"/>
        <w:gridCol w:w="4678"/>
        <w:gridCol w:w="1276"/>
        <w:gridCol w:w="709"/>
        <w:gridCol w:w="930"/>
      </w:tblGrid>
      <w:tr w:rsidR="00C179FA" w:rsidRPr="0013152D" w14:paraId="5CA403E2" w14:textId="77777777" w:rsidTr="00D80CD7">
        <w:trPr>
          <w:trHeight w:val="6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BFA5247" w14:textId="77777777" w:rsidR="00C179FA" w:rsidRPr="00AE6CBE" w:rsidRDefault="00C179FA" w:rsidP="00D80CD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Concepte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D333DE4" w14:textId="77777777" w:rsidR="00C179FA" w:rsidRPr="00AE6CBE" w:rsidRDefault="00C179FA" w:rsidP="00D80CD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val="es-ES" w:eastAsia="es-ES"/>
              </w:rPr>
              <w:t>Funcionalitat</w:t>
            </w: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/Servei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1DA3457" w14:textId="77777777" w:rsidR="00C179FA" w:rsidRPr="00AE6CBE" w:rsidRDefault="00C179FA" w:rsidP="00D80CD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Descripció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B169F48" w14:textId="77777777" w:rsidR="00C179FA" w:rsidRPr="00AE6CBE" w:rsidRDefault="00C179FA" w:rsidP="00D80CD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Es valorarà: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DE97768" w14:textId="77777777" w:rsidR="00C179FA" w:rsidRPr="00AE6CBE" w:rsidRDefault="00C179FA" w:rsidP="00D80CD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Oferta licitador (SI/NO)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0969A22" w14:textId="77777777" w:rsidR="00C179FA" w:rsidRPr="00AE6CBE" w:rsidRDefault="00C179FA" w:rsidP="00D80CD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Puntuació màxima</w:t>
            </w:r>
          </w:p>
        </w:tc>
      </w:tr>
      <w:tr w:rsidR="00C179FA" w:rsidRPr="0013152D" w14:paraId="78A98F68" w14:textId="77777777" w:rsidTr="00D80CD7">
        <w:trPr>
          <w:trHeight w:val="565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5E6EC" w14:textId="77777777" w:rsidR="00C179FA" w:rsidRPr="00954021" w:rsidRDefault="00C179FA" w:rsidP="00D80CD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081443">
              <w:rPr>
                <w:rFonts w:ascii="Arial" w:hAnsi="Arial" w:cs="Arial"/>
                <w:sz w:val="16"/>
                <w:szCs w:val="16"/>
                <w:lang w:eastAsia="es-ES"/>
              </w:rPr>
              <w:t>Enviaments d’informació diaris i de preus de tancament intradiaris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E89BD6" w14:textId="77777777" w:rsidR="00C179FA" w:rsidRPr="00081443" w:rsidRDefault="00C179FA" w:rsidP="00D80CD7">
            <w:pPr>
              <w:spacing w:before="240" w:line="240" w:lineRule="auto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081443">
              <w:rPr>
                <w:rFonts w:ascii="Arial" w:hAnsi="Arial" w:cs="Arial"/>
                <w:sz w:val="16"/>
                <w:szCs w:val="16"/>
                <w:lang w:eastAsia="es-ES"/>
              </w:rPr>
              <w:t>Notícies diàries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F521B" w14:textId="7CEFEE50" w:rsidR="00C179FA" w:rsidRPr="00954021" w:rsidRDefault="00C179FA" w:rsidP="00D80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D7CB1">
              <w:rPr>
                <w:rFonts w:ascii="Arial" w:hAnsi="Arial" w:cs="Arial"/>
                <w:sz w:val="16"/>
                <w:szCs w:val="16"/>
                <w:lang w:eastAsia="es-ES"/>
              </w:rPr>
              <w:t>Enviament diari de les notícies més rellevants del sector energètic i d’anàlisi d’evolució dels fonamentals que afectin als preus del mercat spot i de futurs d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e gas natural</w:t>
            </w:r>
            <w:r w:rsidRPr="00FD7CB1">
              <w:rPr>
                <w:rFonts w:ascii="Arial" w:hAnsi="Arial" w:cs="Arial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DCF44" w14:textId="77777777" w:rsidR="00C179FA" w:rsidRPr="00AE6CBE" w:rsidRDefault="00C179FA" w:rsidP="00D80CD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 xml:space="preserve">Ofereix 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el servei (</w:t>
            </w: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SI/NO):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54E67" w14:textId="77777777" w:rsidR="00C179FA" w:rsidRPr="00AE6CBE" w:rsidRDefault="00C179FA" w:rsidP="00D80CD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D9212" w14:textId="77777777" w:rsidR="00C179FA" w:rsidRPr="00AE6CBE" w:rsidRDefault="00C179FA" w:rsidP="00D80CD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3,00</w:t>
            </w:r>
          </w:p>
        </w:tc>
      </w:tr>
      <w:tr w:rsidR="00C179FA" w:rsidRPr="0013152D" w14:paraId="40BF2D2F" w14:textId="77777777" w:rsidTr="00D80CD7">
        <w:trPr>
          <w:trHeight w:val="683"/>
        </w:trPr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F84F1" w14:textId="77777777" w:rsidR="00C179FA" w:rsidRPr="00AE6CBE" w:rsidRDefault="00C179FA" w:rsidP="00D80CD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BC447" w14:textId="77777777" w:rsidR="00C179FA" w:rsidRPr="00081443" w:rsidRDefault="00C179FA" w:rsidP="00D80CD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Nivell de preu de tancament i</w:t>
            </w:r>
            <w:r w:rsidRPr="00954021">
              <w:rPr>
                <w:rFonts w:ascii="Arial" w:hAnsi="Arial" w:cs="Arial"/>
                <w:sz w:val="16"/>
                <w:szCs w:val="16"/>
                <w:lang w:eastAsia="es-ES"/>
              </w:rPr>
              <w:t>ntradiari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5B081" w14:textId="0C5DDB09" w:rsidR="0004750C" w:rsidRPr="00AE6CBE" w:rsidRDefault="00C179FA" w:rsidP="00D80CD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954021">
              <w:rPr>
                <w:rFonts w:ascii="Arial" w:hAnsi="Arial" w:cs="Arial"/>
                <w:sz w:val="16"/>
                <w:szCs w:val="16"/>
                <w:lang w:eastAsia="es-ES"/>
              </w:rPr>
              <w:t xml:space="preserve">Enviament de nivell de preu de tancament a futur que es pot aconseguir en el mercat 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de futurs d’electricitat</w:t>
            </w:r>
            <w:r w:rsidRPr="00954021">
              <w:rPr>
                <w:rFonts w:ascii="Arial" w:hAnsi="Arial" w:cs="Arial"/>
                <w:sz w:val="16"/>
                <w:szCs w:val="16"/>
                <w:lang w:eastAsia="es-ES"/>
              </w:rPr>
              <w:t xml:space="preserve"> pel producte pel qual s’hagi de decidir un tancament. Quan es sol·liciti cotització del nivell de preu intradiari, el temps de resposta haurà de ser inferior a 2,5 hores.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14776" w14:textId="77777777" w:rsidR="00C179FA" w:rsidRPr="00AE6CBE" w:rsidRDefault="00C179FA" w:rsidP="00D80CD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 xml:space="preserve">Ofereix 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el servei (</w:t>
            </w: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SI/NO):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F6AC9" w14:textId="77777777" w:rsidR="00C179FA" w:rsidRPr="00AE6CBE" w:rsidRDefault="00C179FA" w:rsidP="00D80CD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1070AA" w14:textId="77777777" w:rsidR="00C179FA" w:rsidRPr="00AE6CBE" w:rsidRDefault="00C179FA" w:rsidP="00D80CD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3,00</w:t>
            </w:r>
          </w:p>
        </w:tc>
      </w:tr>
      <w:tr w:rsidR="00C179FA" w:rsidRPr="0013152D" w14:paraId="7AD189E7" w14:textId="77777777" w:rsidTr="00D80CD7">
        <w:trPr>
          <w:trHeight w:val="210"/>
        </w:trPr>
        <w:tc>
          <w:tcPr>
            <w:tcW w:w="8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52EA2" w14:textId="77777777" w:rsidR="00C179FA" w:rsidRPr="00AE6CBE" w:rsidRDefault="00C179FA" w:rsidP="00D80CD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 xml:space="preserve">Puntuació màxima </w:t>
            </w:r>
            <w:r w:rsidRPr="007026A6">
              <w:rPr>
                <w:rFonts w:ascii="Arial" w:hAnsi="Arial" w:cs="Arial"/>
                <w:sz w:val="16"/>
                <w:szCs w:val="16"/>
                <w:lang w:eastAsia="es-ES"/>
              </w:rPr>
              <w:t>Puntuació màxima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 xml:space="preserve">  Concepte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AA60F" w14:textId="77777777" w:rsidR="00C179FA" w:rsidRPr="00AE6CBE" w:rsidRDefault="00C179FA" w:rsidP="00D80CD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6,00</w:t>
            </w:r>
          </w:p>
        </w:tc>
      </w:tr>
    </w:tbl>
    <w:p w14:paraId="056B5806" w14:textId="021C9302" w:rsidR="00BE7E0D" w:rsidRDefault="00BE7E0D">
      <w:pPr>
        <w:spacing w:after="160" w:line="259" w:lineRule="auto"/>
        <w:jc w:val="left"/>
      </w:pPr>
      <w:r>
        <w:br w:type="page"/>
      </w:r>
    </w:p>
    <w:tbl>
      <w:tblPr>
        <w:tblW w:w="9781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185"/>
        <w:gridCol w:w="4678"/>
        <w:gridCol w:w="1276"/>
        <w:gridCol w:w="709"/>
        <w:gridCol w:w="930"/>
      </w:tblGrid>
      <w:tr w:rsidR="00934211" w:rsidRPr="0013152D" w14:paraId="0865A216" w14:textId="77777777" w:rsidTr="00934211">
        <w:trPr>
          <w:trHeight w:val="6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D068CCE" w14:textId="77777777" w:rsidR="00934211" w:rsidRPr="00AE6CBE" w:rsidRDefault="00934211" w:rsidP="00242ECB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lastRenderedPageBreak/>
              <w:t>Concepte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F54998C" w14:textId="77777777" w:rsidR="00934211" w:rsidRPr="00AE6CBE" w:rsidRDefault="00934211" w:rsidP="00242ECB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val="es-ES" w:eastAsia="es-ES"/>
              </w:rPr>
              <w:t>Funcionalitat</w:t>
            </w: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/Servei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B935A1D" w14:textId="77777777" w:rsidR="00934211" w:rsidRPr="00AE6CBE" w:rsidRDefault="00934211" w:rsidP="00242ECB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Descripció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EF4E49A" w14:textId="77777777" w:rsidR="00934211" w:rsidRPr="00AE6CBE" w:rsidRDefault="00934211" w:rsidP="00242ECB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Es valorarà: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3F2A829" w14:textId="77777777" w:rsidR="00934211" w:rsidRPr="00AE6CBE" w:rsidRDefault="00934211" w:rsidP="00242ECB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Oferta licitador (SI/NO)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16A66B0" w14:textId="77777777" w:rsidR="00934211" w:rsidRPr="00AE6CBE" w:rsidRDefault="00934211" w:rsidP="00242ECB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Puntuació màxima</w:t>
            </w:r>
          </w:p>
        </w:tc>
      </w:tr>
      <w:tr w:rsidR="00934211" w:rsidRPr="0013152D" w14:paraId="526773E7" w14:textId="77777777" w:rsidTr="00934211">
        <w:trPr>
          <w:trHeight w:val="633"/>
        </w:trPr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E0721" w14:textId="2C4D14C7" w:rsidR="00934211" w:rsidRPr="00AE6CBE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F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onts d’informació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2443244" w14:textId="48B819CF" w:rsidR="00934211" w:rsidRPr="009A222F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9A222F">
              <w:rPr>
                <w:rFonts w:ascii="Arial" w:hAnsi="Arial" w:cs="Arial"/>
                <w:sz w:val="16"/>
                <w:szCs w:val="16"/>
              </w:rPr>
              <w:t>TTF spot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C2E7D3" w14:textId="77777777" w:rsidR="00934211" w:rsidRPr="009A222F" w:rsidRDefault="00934211" w:rsidP="009A222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Pr="009A222F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https://www.eex.com/en/market-data/natural-gas/spot</w:t>
              </w:r>
            </w:hyperlink>
          </w:p>
          <w:p w14:paraId="0D4913CD" w14:textId="25446A63" w:rsidR="00934211" w:rsidRPr="009A222F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9A222F">
              <w:rPr>
                <w:rFonts w:ascii="Arial" w:hAnsi="Arial" w:cs="Arial"/>
                <w:sz w:val="16"/>
                <w:szCs w:val="16"/>
              </w:rPr>
              <w:t>Spot index EEX TTF Day Ahead (TTF Weekend en caps de setmana)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962AF" w14:textId="7D27C4CA" w:rsidR="00934211" w:rsidRPr="00AE6CBE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 xml:space="preserve">Ofereix la 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utilització de la font</w:t>
            </w: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 xml:space="preserve">indicada </w:t>
            </w: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(SI/NO):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C1C8" w14:textId="77777777" w:rsidR="00934211" w:rsidRPr="00AE6CBE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660DFD" w14:textId="4710668B" w:rsidR="00934211" w:rsidRPr="00AE6CBE" w:rsidRDefault="00934211" w:rsidP="009A222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00</w:t>
            </w:r>
          </w:p>
        </w:tc>
      </w:tr>
      <w:tr w:rsidR="00934211" w:rsidRPr="0013152D" w14:paraId="29336361" w14:textId="77777777" w:rsidTr="00934211">
        <w:trPr>
          <w:trHeight w:val="421"/>
        </w:trPr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5742" w14:textId="77777777" w:rsidR="00934211" w:rsidRPr="00AE6CBE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ADE5FDB" w14:textId="58E1DA8C" w:rsidR="00934211" w:rsidRPr="009A222F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9A222F">
              <w:rPr>
                <w:rFonts w:ascii="Arial" w:hAnsi="Arial" w:cs="Arial"/>
                <w:sz w:val="16"/>
                <w:szCs w:val="16"/>
              </w:rPr>
              <w:t>TTF futurs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8A19F4" w14:textId="77777777" w:rsidR="00934211" w:rsidRPr="009A222F" w:rsidRDefault="00934211" w:rsidP="009A222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Pr="009A222F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https://www.eex.com/en/market-data/natural-gas/futures</w:t>
              </w:r>
            </w:hyperlink>
          </w:p>
          <w:p w14:paraId="70104F70" w14:textId="2C129177" w:rsidR="00934211" w:rsidRPr="009A222F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9A222F">
              <w:rPr>
                <w:rFonts w:ascii="Arial" w:hAnsi="Arial" w:cs="Arial"/>
                <w:sz w:val="16"/>
                <w:szCs w:val="16"/>
              </w:rPr>
              <w:t xml:space="preserve">Futures TTF: EEX TTF Natural Gas Futures, Settlement Price -&gt; </w:t>
            </w:r>
            <w:r w:rsidRPr="009A222F">
              <w:rPr>
                <w:rFonts w:ascii="Arial" w:hAnsi="Arial" w:cs="Arial"/>
                <w:sz w:val="16"/>
                <w:szCs w:val="16"/>
                <w:lang w:val="en-GB"/>
              </w:rPr>
              <w:t>Productes TTF Quarter X-AA y Yr-AA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CC477B2" w14:textId="3E45717B" w:rsidR="00934211" w:rsidRPr="00AE6CBE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A7ED1">
              <w:rPr>
                <w:rFonts w:ascii="Arial" w:hAnsi="Arial" w:cs="Arial"/>
                <w:sz w:val="16"/>
                <w:szCs w:val="16"/>
                <w:lang w:eastAsia="es-ES"/>
              </w:rPr>
              <w:t>Ofereix la utilització de la font indicada (SI/NO):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B2D1" w14:textId="77777777" w:rsidR="00934211" w:rsidRPr="00AE6CBE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48DCE2" w14:textId="24496C42" w:rsidR="00934211" w:rsidRPr="00AE6CBE" w:rsidRDefault="00934211" w:rsidP="009A222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</w:t>
            </w: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00</w:t>
            </w:r>
          </w:p>
        </w:tc>
      </w:tr>
      <w:tr w:rsidR="00934211" w:rsidRPr="0013152D" w14:paraId="28DA0BD0" w14:textId="77777777" w:rsidTr="00934211">
        <w:trPr>
          <w:trHeight w:val="633"/>
        </w:trPr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4BB1" w14:textId="77777777" w:rsidR="00934211" w:rsidRPr="00AE6CBE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8FC9BC5" w14:textId="4AE2F4CF" w:rsidR="00934211" w:rsidRPr="009A222F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9A222F">
              <w:rPr>
                <w:rFonts w:ascii="Arial" w:hAnsi="Arial" w:cs="Arial"/>
                <w:sz w:val="16"/>
                <w:szCs w:val="16"/>
              </w:rPr>
              <w:t>MIBGAS spot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F09F91" w14:textId="7FD67626" w:rsidR="00934211" w:rsidRPr="009A222F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hyperlink r:id="rId12" w:history="1">
              <w:r w:rsidRPr="009A222F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https://www.mibgas.es/es/file-access</w:t>
              </w:r>
            </w:hyperlink>
            <w:r w:rsidRPr="009A222F">
              <w:rPr>
                <w:rFonts w:ascii="Arial" w:hAnsi="Arial" w:cs="Arial"/>
                <w:sz w:val="16"/>
                <w:szCs w:val="16"/>
              </w:rPr>
              <w:t xml:space="preserve">/Any AAA/Resultados anuales, pestanya Índices, Àrea ES). </w:t>
            </w:r>
            <w:r w:rsidRPr="009A222F">
              <w:rPr>
                <w:rFonts w:ascii="Arial" w:hAnsi="Arial" w:cs="Arial"/>
                <w:sz w:val="16"/>
                <w:szCs w:val="16"/>
                <w:lang w:val="es-ES"/>
              </w:rPr>
              <w:t>V</w:t>
            </w:r>
            <w:r w:rsidRPr="009A222F">
              <w:rPr>
                <w:rFonts w:ascii="Arial" w:hAnsi="Arial" w:cs="Arial"/>
                <w:sz w:val="16"/>
                <w:szCs w:val="16"/>
              </w:rPr>
              <w:t>alors diaris de “MIBGAS Index”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3267710" w14:textId="091F5764" w:rsidR="00934211" w:rsidRPr="00AE6CBE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A7ED1">
              <w:rPr>
                <w:rFonts w:ascii="Arial" w:hAnsi="Arial" w:cs="Arial"/>
                <w:sz w:val="16"/>
                <w:szCs w:val="16"/>
                <w:lang w:eastAsia="es-ES"/>
              </w:rPr>
              <w:t>Ofereix la utilització de la font indicada (SI/NO):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5E2E" w14:textId="77777777" w:rsidR="00934211" w:rsidRPr="00AE6CBE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D3DB7B" w14:textId="164C5637" w:rsidR="00934211" w:rsidRPr="00AE6CBE" w:rsidRDefault="00934211" w:rsidP="009A222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0,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50</w:t>
            </w:r>
          </w:p>
        </w:tc>
      </w:tr>
      <w:tr w:rsidR="00934211" w:rsidRPr="0013152D" w14:paraId="425D72C9" w14:textId="77777777" w:rsidTr="00934211">
        <w:trPr>
          <w:trHeight w:val="421"/>
        </w:trPr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D358" w14:textId="77777777" w:rsidR="00934211" w:rsidRPr="00AE6CBE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2708D11" w14:textId="622A3C6B" w:rsidR="00934211" w:rsidRPr="009A222F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9A222F">
              <w:rPr>
                <w:rFonts w:ascii="Arial" w:hAnsi="Arial" w:cs="Arial"/>
                <w:sz w:val="16"/>
                <w:szCs w:val="16"/>
              </w:rPr>
              <w:t>MIBGAS futurs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E0A48F" w14:textId="095CCF29" w:rsidR="00934211" w:rsidRPr="009A222F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hyperlink r:id="rId13" w:history="1">
              <w:r w:rsidRPr="009A222F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https://www.omip.pt/es/downloads</w:t>
              </w:r>
            </w:hyperlink>
            <w:r w:rsidRPr="009A222F">
              <w:rPr>
                <w:rFonts w:ascii="Arial" w:hAnsi="Arial" w:cs="Arial"/>
                <w:sz w:val="16"/>
                <w:szCs w:val="16"/>
              </w:rPr>
              <w:t xml:space="preserve">, Datos del mercado, OMIPdaily (Gas), </w:t>
            </w:r>
            <w:r w:rsidRPr="009A222F">
              <w:rPr>
                <w:rFonts w:ascii="Arial" w:hAnsi="Arial" w:cs="Arial"/>
                <w:spacing w:val="-2"/>
                <w:sz w:val="16"/>
                <w:szCs w:val="16"/>
              </w:rPr>
              <w:t>Settlement Price</w:t>
            </w:r>
            <w:r w:rsidRPr="009A222F">
              <w:rPr>
                <w:rFonts w:ascii="Arial" w:hAnsi="Arial" w:cs="Arial"/>
                <w:sz w:val="16"/>
                <w:szCs w:val="16"/>
              </w:rPr>
              <w:t xml:space="preserve"> -&gt; Productes FGE</w:t>
            </w:r>
            <w:r w:rsidRPr="009A222F">
              <w:rPr>
                <w:rFonts w:ascii="Arial" w:hAnsi="Arial" w:cs="Arial"/>
                <w:spacing w:val="-2"/>
                <w:sz w:val="16"/>
                <w:szCs w:val="16"/>
              </w:rPr>
              <w:t xml:space="preserve"> QX_AA y Yr-AA. Valors diaris.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F15E48E" w14:textId="45A3172A" w:rsidR="00934211" w:rsidRPr="00AE6CBE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A7ED1">
              <w:rPr>
                <w:rFonts w:ascii="Arial" w:hAnsi="Arial" w:cs="Arial"/>
                <w:sz w:val="16"/>
                <w:szCs w:val="16"/>
                <w:lang w:eastAsia="es-ES"/>
              </w:rPr>
              <w:t>Ofereix la utilització de la font indicada (SI/NO):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F6EC" w14:textId="77777777" w:rsidR="00934211" w:rsidRPr="00AE6CBE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26A5AF" w14:textId="184EA640" w:rsidR="00934211" w:rsidRPr="00AE6CBE" w:rsidRDefault="00934211" w:rsidP="009A222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0,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50</w:t>
            </w:r>
          </w:p>
        </w:tc>
      </w:tr>
      <w:tr w:rsidR="00934211" w:rsidRPr="0013152D" w14:paraId="04C7815B" w14:textId="77777777" w:rsidTr="00934211">
        <w:trPr>
          <w:trHeight w:val="421"/>
        </w:trPr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8396" w14:textId="77777777" w:rsidR="00934211" w:rsidRPr="00AE6CBE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CE9CE30" w14:textId="40B32AA1" w:rsidR="00934211" w:rsidRPr="009A222F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9A222F">
              <w:rPr>
                <w:rFonts w:ascii="Arial" w:hAnsi="Arial" w:cs="Arial"/>
                <w:sz w:val="16"/>
                <w:szCs w:val="16"/>
              </w:rPr>
              <w:t>Brent spot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7735F6" w14:textId="77777777" w:rsidR="00934211" w:rsidRPr="009A222F" w:rsidRDefault="00934211" w:rsidP="009A222F">
            <w:pPr>
              <w:spacing w:line="240" w:lineRule="auto"/>
              <w:jc w:val="left"/>
              <w:rPr>
                <w:rStyle w:val="Hipervnculo"/>
                <w:rFonts w:ascii="Arial" w:hAnsi="Arial" w:cs="Arial"/>
                <w:sz w:val="16"/>
                <w:szCs w:val="16"/>
              </w:rPr>
            </w:pPr>
            <w:hyperlink r:id="rId14" w:history="1">
              <w:r w:rsidRPr="009A222F">
                <w:rPr>
                  <w:rStyle w:val="Hipervnculo"/>
                  <w:rFonts w:ascii="Arial" w:hAnsi="Arial" w:cs="Arial"/>
                  <w:sz w:val="16"/>
                  <w:szCs w:val="16"/>
                </w:rPr>
                <w:t>http://www.eia.gov/dnav/pet/hist/LeafHandler.ashx?n=pet&amp;s=rbrte&amp;f=d</w:t>
              </w:r>
            </w:hyperlink>
          </w:p>
          <w:p w14:paraId="2097BFDC" w14:textId="5C5DDF2E" w:rsidR="00934211" w:rsidRPr="009A222F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9A222F">
              <w:rPr>
                <w:rFonts w:ascii="Arial" w:hAnsi="Arial" w:cs="Arial"/>
                <w:sz w:val="16"/>
                <w:szCs w:val="16"/>
              </w:rPr>
              <w:t>European Brent Spot Price FOB publicat per al EIA (E.U. Energy Information Administration)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8A82C24" w14:textId="3CE15711" w:rsidR="00934211" w:rsidRPr="002A7ED1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A7ED1">
              <w:rPr>
                <w:rFonts w:ascii="Arial" w:hAnsi="Arial" w:cs="Arial"/>
                <w:sz w:val="16"/>
                <w:szCs w:val="16"/>
                <w:lang w:eastAsia="es-ES"/>
              </w:rPr>
              <w:t>Ofereix la utilització de la font indicada (SI/NO):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5D62" w14:textId="77777777" w:rsidR="00934211" w:rsidRPr="009A222F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3B55FA0" w14:textId="454EDDEB" w:rsidR="00934211" w:rsidRPr="00AE6CBE" w:rsidRDefault="00934211" w:rsidP="009A222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0,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50</w:t>
            </w:r>
          </w:p>
        </w:tc>
      </w:tr>
      <w:tr w:rsidR="00934211" w:rsidRPr="0013152D" w14:paraId="7ED6BA90" w14:textId="77777777" w:rsidTr="00934211">
        <w:trPr>
          <w:trHeight w:val="421"/>
        </w:trPr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011D" w14:textId="77777777" w:rsidR="00934211" w:rsidRPr="009A222F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0B8888F" w14:textId="1847C620" w:rsidR="00934211" w:rsidRPr="009A222F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9A222F">
              <w:rPr>
                <w:rFonts w:ascii="Arial" w:hAnsi="Arial" w:cs="Arial"/>
                <w:sz w:val="16"/>
                <w:szCs w:val="16"/>
              </w:rPr>
              <w:t>Brent futurs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5B9352" w14:textId="14886802" w:rsidR="00934211" w:rsidRPr="009A222F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hyperlink r:id="rId15" w:history="1">
              <w:r w:rsidRPr="009A222F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https://www.cmegroup.com/markets/energy/crude-oil/brent-crude-oil.quotes.html.</w:t>
              </w:r>
            </w:hyperlink>
            <w:r w:rsidRPr="009A222F">
              <w:rPr>
                <w:rFonts w:ascii="Arial" w:hAnsi="Arial" w:cs="Arial"/>
                <w:spacing w:val="-2"/>
                <w:sz w:val="16"/>
                <w:szCs w:val="16"/>
              </w:rPr>
              <w:t xml:space="preserve"> Valors diaris.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E2F5B32" w14:textId="2BD5FFA1" w:rsidR="00934211" w:rsidRPr="002A7ED1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A7ED1">
              <w:rPr>
                <w:rFonts w:ascii="Arial" w:hAnsi="Arial" w:cs="Arial"/>
                <w:sz w:val="16"/>
                <w:szCs w:val="16"/>
                <w:lang w:eastAsia="es-ES"/>
              </w:rPr>
              <w:t>Ofereix la utilització de la font indicada (SI/NO):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8606" w14:textId="77777777" w:rsidR="00934211" w:rsidRPr="00AE6CBE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9846D7E" w14:textId="25287B29" w:rsidR="00934211" w:rsidRPr="00AE6CBE" w:rsidRDefault="00934211" w:rsidP="009A222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0,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50</w:t>
            </w:r>
          </w:p>
        </w:tc>
      </w:tr>
      <w:tr w:rsidR="00934211" w:rsidRPr="0013152D" w14:paraId="02138A41" w14:textId="77777777" w:rsidTr="00934211">
        <w:trPr>
          <w:trHeight w:val="421"/>
        </w:trPr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3379" w14:textId="77777777" w:rsidR="00934211" w:rsidRPr="00AE6CBE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1FA9FF2" w14:textId="500AD8E9" w:rsidR="00934211" w:rsidRPr="009A222F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9A222F">
              <w:rPr>
                <w:rFonts w:ascii="Arial" w:hAnsi="Arial" w:cs="Arial"/>
                <w:sz w:val="16"/>
                <w:szCs w:val="16"/>
              </w:rPr>
              <w:t>Tipus de canvi $/€ spot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3047B9" w14:textId="77777777" w:rsidR="00934211" w:rsidRPr="009A222F" w:rsidRDefault="00934211" w:rsidP="009A222F">
            <w:pPr>
              <w:spacing w:line="240" w:lineRule="auto"/>
              <w:rPr>
                <w:rStyle w:val="Hipervnculo"/>
                <w:rFonts w:ascii="Arial" w:hAnsi="Arial" w:cs="Arial"/>
                <w:sz w:val="16"/>
                <w:szCs w:val="16"/>
              </w:rPr>
            </w:pPr>
            <w:hyperlink w:history="1"/>
            <w:hyperlink r:id="rId16" w:history="1">
              <w:r w:rsidRPr="009A222F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https://www.ecb.europa.eu/stats/policy_and_exchange_rates/</w:t>
              </w:r>
            </w:hyperlink>
            <w:r w:rsidRPr="009A222F">
              <w:rPr>
                <w:rStyle w:val="Hipervnculo"/>
                <w:rFonts w:ascii="Arial" w:hAnsi="Arial" w:cs="Arial"/>
                <w:sz w:val="16"/>
                <w:szCs w:val="16"/>
              </w:rPr>
              <w:t xml:space="preserve"> euro_reference_exchange_rates/html/eurofxref-graph-usd.en.html. </w:t>
            </w:r>
          </w:p>
          <w:p w14:paraId="56D6CB79" w14:textId="163C5F53" w:rsidR="00934211" w:rsidRPr="009A222F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9A222F">
              <w:rPr>
                <w:rFonts w:ascii="Arial" w:hAnsi="Arial" w:cs="Arial"/>
                <w:sz w:val="16"/>
                <w:szCs w:val="16"/>
                <w:lang w:val="es-ES"/>
              </w:rPr>
              <w:t>Valors diaris Tipo de cambio €/USD publicado por el Banco Central Europeo.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948C284" w14:textId="4BBC9A8E" w:rsidR="00934211" w:rsidRPr="002A7ED1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2A7ED1">
              <w:rPr>
                <w:rFonts w:ascii="Arial" w:hAnsi="Arial" w:cs="Arial"/>
                <w:sz w:val="16"/>
                <w:szCs w:val="16"/>
                <w:lang w:eastAsia="es-ES"/>
              </w:rPr>
              <w:t>Ofereix la utilització de la font indicada (SI/NO):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0876" w14:textId="77777777" w:rsidR="00934211" w:rsidRPr="00AE6CBE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A606DCA" w14:textId="16AE5EBB" w:rsidR="00934211" w:rsidRPr="00AE6CBE" w:rsidRDefault="00934211" w:rsidP="009A222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0,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50</w:t>
            </w:r>
          </w:p>
        </w:tc>
      </w:tr>
      <w:tr w:rsidR="00934211" w:rsidRPr="0013152D" w14:paraId="4F99FE28" w14:textId="77777777" w:rsidTr="00934211">
        <w:trPr>
          <w:trHeight w:val="421"/>
        </w:trPr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495E" w14:textId="77777777" w:rsidR="00934211" w:rsidRPr="00AE6CBE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0FE71B2" w14:textId="2521A1D6" w:rsidR="00934211" w:rsidRPr="009A222F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9A222F">
              <w:rPr>
                <w:rFonts w:ascii="Arial" w:hAnsi="Arial" w:cs="Arial"/>
                <w:sz w:val="16"/>
                <w:szCs w:val="16"/>
              </w:rPr>
              <w:t>Tipus de canvi $/€ futurs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C5C6547" w14:textId="164A4871" w:rsidR="00934211" w:rsidRPr="009A222F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hyperlink r:id="rId17" w:history="1">
              <w:r w:rsidRPr="009A222F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https://www.cmegroup.com/markets/fx/g10/euro-fx.quotes.html</w:t>
              </w:r>
            </w:hyperlink>
            <w:r w:rsidRPr="009A222F">
              <w:rPr>
                <w:rStyle w:val="Hipervnculo"/>
                <w:rFonts w:ascii="Arial" w:hAnsi="Arial" w:cs="Arial"/>
                <w:sz w:val="16"/>
                <w:szCs w:val="16"/>
              </w:rPr>
              <w:t xml:space="preserve"> . </w:t>
            </w:r>
            <w:r w:rsidRPr="009A222F">
              <w:rPr>
                <w:rFonts w:ascii="Arial" w:hAnsi="Arial" w:cs="Arial"/>
                <w:sz w:val="16"/>
                <w:szCs w:val="16"/>
                <w:lang w:val="es-ES"/>
              </w:rPr>
              <w:t>Valors diaris.</w:t>
            </w:r>
            <w:r w:rsidRPr="009A222F">
              <w:rPr>
                <w:rStyle w:val="Hipervnculo"/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FA5FD54" w14:textId="3FB3F998" w:rsidR="00934211" w:rsidRPr="00AE6CBE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A7ED1">
              <w:rPr>
                <w:rFonts w:ascii="Arial" w:hAnsi="Arial" w:cs="Arial"/>
                <w:sz w:val="16"/>
                <w:szCs w:val="16"/>
                <w:lang w:eastAsia="es-ES"/>
              </w:rPr>
              <w:t>Ofereix la utilització de la font indicada (SI/NO):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639F" w14:textId="77777777" w:rsidR="00934211" w:rsidRPr="00AE6CBE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9E9804" w14:textId="3329B41B" w:rsidR="00934211" w:rsidRPr="00AE6CBE" w:rsidRDefault="00934211" w:rsidP="009A222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0,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50</w:t>
            </w:r>
          </w:p>
        </w:tc>
      </w:tr>
      <w:tr w:rsidR="00934211" w:rsidRPr="0013152D" w14:paraId="7272217C" w14:textId="77777777" w:rsidTr="00934211">
        <w:trPr>
          <w:trHeight w:val="210"/>
        </w:trPr>
        <w:tc>
          <w:tcPr>
            <w:tcW w:w="8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8208B" w14:textId="63180B8B" w:rsidR="00934211" w:rsidRPr="00AE6CBE" w:rsidRDefault="00934211" w:rsidP="009A222F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 xml:space="preserve">Puntuació màxima </w:t>
            </w:r>
            <w:r w:rsidRPr="007026A6">
              <w:rPr>
                <w:rFonts w:ascii="Arial" w:hAnsi="Arial" w:cs="Arial"/>
                <w:sz w:val="16"/>
                <w:szCs w:val="16"/>
                <w:lang w:eastAsia="es-ES"/>
              </w:rPr>
              <w:t>Puntuació màxima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 xml:space="preserve">  Concepte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506E" w14:textId="1AABEA72" w:rsidR="00934211" w:rsidRPr="00AE6CBE" w:rsidRDefault="00934211" w:rsidP="009A222F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5,00</w:t>
            </w:r>
          </w:p>
        </w:tc>
      </w:tr>
    </w:tbl>
    <w:p w14:paraId="1F7B78C7" w14:textId="77777777" w:rsidR="009A222F" w:rsidRDefault="009A222F" w:rsidP="009A222F">
      <w:pPr>
        <w:pStyle w:val="Prrafodelista"/>
        <w:tabs>
          <w:tab w:val="left" w:pos="709"/>
        </w:tabs>
        <w:spacing w:after="0" w:line="240" w:lineRule="auto"/>
        <w:ind w:left="360" w:firstLine="0"/>
      </w:pPr>
    </w:p>
    <w:p w14:paraId="38F9B4F8" w14:textId="77777777" w:rsidR="003A2F67" w:rsidRDefault="003A2F67" w:rsidP="003A2F67">
      <w:pPr>
        <w:pStyle w:val="Prrafodelista"/>
        <w:tabs>
          <w:tab w:val="left" w:pos="709"/>
        </w:tabs>
        <w:spacing w:after="0" w:line="240" w:lineRule="auto"/>
        <w:ind w:left="360" w:firstLine="0"/>
      </w:pPr>
    </w:p>
    <w:p w14:paraId="4B050A64" w14:textId="77777777" w:rsidR="003A2F67" w:rsidRDefault="003A2F67" w:rsidP="003A2F67">
      <w:pPr>
        <w:pStyle w:val="Prrafodelista"/>
        <w:tabs>
          <w:tab w:val="left" w:pos="709"/>
        </w:tabs>
        <w:spacing w:after="0" w:line="240" w:lineRule="auto"/>
        <w:ind w:left="360" w:firstLine="0"/>
      </w:pPr>
    </w:p>
    <w:p w14:paraId="2DA68023" w14:textId="77777777" w:rsidR="003A2F67" w:rsidRDefault="003A2F67" w:rsidP="003A2F67">
      <w:pPr>
        <w:pStyle w:val="Prrafodelista"/>
        <w:tabs>
          <w:tab w:val="left" w:pos="709"/>
        </w:tabs>
        <w:spacing w:after="0" w:line="240" w:lineRule="auto"/>
        <w:ind w:left="360" w:firstLine="0"/>
      </w:pPr>
    </w:p>
    <w:p w14:paraId="6137F705" w14:textId="77777777" w:rsidR="003A2F67" w:rsidRDefault="003A2F67" w:rsidP="003A2F67">
      <w:pPr>
        <w:pStyle w:val="Prrafodelista"/>
        <w:tabs>
          <w:tab w:val="left" w:pos="709"/>
        </w:tabs>
        <w:spacing w:after="0" w:line="240" w:lineRule="auto"/>
        <w:ind w:left="360" w:firstLine="0"/>
      </w:pPr>
    </w:p>
    <w:p w14:paraId="6523AB2A" w14:textId="77777777" w:rsidR="003A2F67" w:rsidRDefault="003A2F67" w:rsidP="003A2F67">
      <w:pPr>
        <w:pStyle w:val="Prrafodelista"/>
        <w:tabs>
          <w:tab w:val="left" w:pos="709"/>
        </w:tabs>
        <w:spacing w:after="0" w:line="240" w:lineRule="auto"/>
        <w:ind w:left="360" w:firstLine="0"/>
      </w:pPr>
    </w:p>
    <w:p w14:paraId="1E4727CA" w14:textId="77777777" w:rsidR="003A2F67" w:rsidRDefault="003A2F67" w:rsidP="003A2F67">
      <w:pPr>
        <w:pStyle w:val="Prrafodelista"/>
        <w:tabs>
          <w:tab w:val="left" w:pos="709"/>
        </w:tabs>
        <w:spacing w:after="0" w:line="240" w:lineRule="auto"/>
        <w:ind w:left="360" w:firstLine="0"/>
      </w:pPr>
    </w:p>
    <w:p w14:paraId="40D54582" w14:textId="77777777" w:rsidR="003A2F67" w:rsidRDefault="003A2F67" w:rsidP="003A2F67">
      <w:pPr>
        <w:pStyle w:val="Prrafodelista"/>
        <w:tabs>
          <w:tab w:val="left" w:pos="709"/>
        </w:tabs>
        <w:spacing w:after="0" w:line="240" w:lineRule="auto"/>
        <w:ind w:left="360" w:firstLine="0"/>
      </w:pPr>
    </w:p>
    <w:p w14:paraId="1937E732" w14:textId="77777777" w:rsidR="003A2F67" w:rsidRDefault="003A2F67" w:rsidP="003A2F67">
      <w:pPr>
        <w:pStyle w:val="Prrafodelista"/>
        <w:tabs>
          <w:tab w:val="left" w:pos="709"/>
        </w:tabs>
        <w:spacing w:after="0" w:line="240" w:lineRule="auto"/>
        <w:ind w:left="360" w:firstLine="0"/>
      </w:pPr>
    </w:p>
    <w:p w14:paraId="5CE2C93B" w14:textId="77777777" w:rsidR="003A2F67" w:rsidRDefault="003A2F67" w:rsidP="003A2F67">
      <w:pPr>
        <w:pStyle w:val="Prrafodelista"/>
        <w:tabs>
          <w:tab w:val="left" w:pos="709"/>
        </w:tabs>
        <w:spacing w:after="0" w:line="240" w:lineRule="auto"/>
        <w:ind w:left="360" w:firstLine="0"/>
      </w:pPr>
    </w:p>
    <w:p w14:paraId="5820420E" w14:textId="77777777" w:rsidR="007A6223" w:rsidRDefault="007A6223">
      <w:pPr>
        <w:spacing w:after="160" w:line="259" w:lineRule="auto"/>
        <w:jc w:val="left"/>
      </w:pPr>
      <w:r>
        <w:br w:type="page"/>
      </w:r>
    </w:p>
    <w:tbl>
      <w:tblPr>
        <w:tblW w:w="937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1609"/>
        <w:gridCol w:w="4449"/>
        <w:gridCol w:w="771"/>
        <w:gridCol w:w="715"/>
        <w:gridCol w:w="862"/>
      </w:tblGrid>
      <w:tr w:rsidR="0048186E" w:rsidRPr="00B704C7" w14:paraId="31410EEB" w14:textId="77777777" w:rsidTr="00D80CD7">
        <w:trPr>
          <w:trHeight w:val="547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062238" w14:textId="77777777" w:rsidR="0048186E" w:rsidRPr="00A2440F" w:rsidRDefault="0048186E" w:rsidP="00D80CD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lastRenderedPageBreak/>
              <w:t>Concepte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5B7D6F" w14:textId="77777777" w:rsidR="0048186E" w:rsidRPr="00A2440F" w:rsidRDefault="0048186E" w:rsidP="00D80CD7">
            <w:pPr>
              <w:spacing w:after="0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val="es-ES" w:eastAsia="es-ES"/>
              </w:rPr>
              <w:t>Funcionalitat</w:t>
            </w: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/Servei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E7E2EB" w14:textId="77777777" w:rsidR="0048186E" w:rsidRPr="00A2440F" w:rsidRDefault="0048186E" w:rsidP="00D80CD7">
            <w:pPr>
              <w:spacing w:after="120"/>
              <w:jc w:val="left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Descripció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F911CF" w14:textId="77777777" w:rsidR="0048186E" w:rsidRPr="00B704C7" w:rsidRDefault="0048186E" w:rsidP="00D80CD7">
            <w:pPr>
              <w:spacing w:after="0" w:line="240" w:lineRule="auto"/>
              <w:jc w:val="left"/>
              <w:rPr>
                <w:rFonts w:eastAsia="Times New Roman" w:cs="Arial"/>
                <w:color w:val="EE0000"/>
                <w:sz w:val="18"/>
                <w:szCs w:val="18"/>
                <w:lang w:eastAsia="ca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Es valorarà: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2D1422" w14:textId="77777777" w:rsidR="0048186E" w:rsidRPr="00B704C7" w:rsidRDefault="0048186E" w:rsidP="00D80CD7">
            <w:pPr>
              <w:spacing w:after="0" w:line="240" w:lineRule="auto"/>
              <w:jc w:val="left"/>
              <w:rPr>
                <w:rFonts w:eastAsia="Times New Roman" w:cs="Arial"/>
                <w:color w:val="EE0000"/>
                <w:sz w:val="18"/>
                <w:szCs w:val="18"/>
                <w:lang w:eastAsia="ca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Oferta licitador (SI/NO)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6A1F56" w14:textId="77777777" w:rsidR="0048186E" w:rsidRPr="00B704C7" w:rsidRDefault="0048186E" w:rsidP="00D80CD7">
            <w:pPr>
              <w:spacing w:after="0" w:line="240" w:lineRule="auto"/>
              <w:jc w:val="left"/>
              <w:rPr>
                <w:rFonts w:eastAsia="Times New Roman" w:cs="Arial"/>
                <w:color w:val="EE0000"/>
                <w:sz w:val="18"/>
                <w:szCs w:val="18"/>
                <w:lang w:eastAsia="ca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Puntuació màxima</w:t>
            </w:r>
          </w:p>
        </w:tc>
      </w:tr>
      <w:tr w:rsidR="0048186E" w:rsidRPr="00B704C7" w14:paraId="6400290E" w14:textId="77777777" w:rsidTr="00D80CD7">
        <w:trPr>
          <w:trHeight w:val="547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61DC5" w14:textId="77777777" w:rsidR="0048186E" w:rsidRPr="00F6232C" w:rsidRDefault="0048186E" w:rsidP="00D80CD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6232C">
              <w:rPr>
                <w:rFonts w:ascii="Arial" w:hAnsi="Arial" w:cs="Arial"/>
                <w:sz w:val="16"/>
                <w:szCs w:val="16"/>
                <w:lang w:eastAsia="es-ES"/>
              </w:rPr>
              <w:t>Plataforma online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0E496" w14:textId="77777777" w:rsidR="0048186E" w:rsidRPr="00F6232C" w:rsidRDefault="0048186E" w:rsidP="00D80CD7">
            <w:pPr>
              <w:spacing w:after="0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6232C">
              <w:rPr>
                <w:rFonts w:ascii="Arial" w:hAnsi="Arial" w:cs="Arial"/>
                <w:sz w:val="16"/>
                <w:szCs w:val="16"/>
                <w:lang w:eastAsia="es-ES"/>
              </w:rPr>
              <w:t>Disponibilitat de l’històric de cotitzacions del mercat spot.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E160D" w14:textId="77777777" w:rsidR="0048186E" w:rsidRPr="00F6232C" w:rsidRDefault="0048186E" w:rsidP="00D80CD7">
            <w:pPr>
              <w:spacing w:after="120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6232C">
              <w:rPr>
                <w:rFonts w:ascii="Arial" w:hAnsi="Arial" w:cs="Arial"/>
                <w:sz w:val="16"/>
                <w:szCs w:val="16"/>
                <w:lang w:eastAsia="es-ES"/>
              </w:rPr>
              <w:t>Disponibilitat dels valors promig de l’històric de, com a mínim, els últims 8 anys de cotitzacions, per als tipus de productes de futur amb opció de tancament al plec del SDA d’energia E22/22 (anys, trimestres).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40B61C" w14:textId="77777777" w:rsidR="0048186E" w:rsidRPr="00F6232C" w:rsidRDefault="0048186E" w:rsidP="00D80CD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 xml:space="preserve">Ofereix 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el servei (</w:t>
            </w: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SI/NO):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0B4B" w14:textId="77777777" w:rsidR="0048186E" w:rsidRPr="00F6232C" w:rsidRDefault="0048186E" w:rsidP="00D80CD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8FBCA" w14:textId="3D0151F7" w:rsidR="0048186E" w:rsidRPr="00F6232C" w:rsidRDefault="00F77790" w:rsidP="00D80CD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6</w:t>
            </w:r>
            <w:r w:rsidR="0048186E" w:rsidRPr="00F6232C">
              <w:rPr>
                <w:rFonts w:ascii="Arial" w:hAnsi="Arial" w:cs="Arial"/>
                <w:sz w:val="16"/>
                <w:szCs w:val="16"/>
                <w:lang w:eastAsia="es-ES"/>
              </w:rPr>
              <w:t>,5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</w:tr>
      <w:tr w:rsidR="0048186E" w:rsidRPr="00B704C7" w14:paraId="46AEC6CA" w14:textId="77777777" w:rsidTr="00D80CD7">
        <w:trPr>
          <w:trHeight w:val="547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3F286" w14:textId="77777777" w:rsidR="0048186E" w:rsidRPr="00F6232C" w:rsidRDefault="0048186E" w:rsidP="00D80CD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EBE2DB" w14:textId="77777777" w:rsidR="0048186E" w:rsidRPr="00F6232C" w:rsidRDefault="0048186E" w:rsidP="00D80CD7">
            <w:pPr>
              <w:spacing w:after="0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6232C">
              <w:rPr>
                <w:rFonts w:ascii="Arial" w:hAnsi="Arial" w:cs="Arial"/>
                <w:sz w:val="16"/>
                <w:szCs w:val="16"/>
                <w:lang w:eastAsia="es-ES"/>
              </w:rPr>
              <w:t>Disponibilitat de l’històric</w:t>
            </w:r>
          </w:p>
          <w:p w14:paraId="486AE637" w14:textId="77777777" w:rsidR="0048186E" w:rsidRPr="00F6232C" w:rsidRDefault="0048186E" w:rsidP="00D80CD7">
            <w:pPr>
              <w:spacing w:after="0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6232C">
              <w:rPr>
                <w:rFonts w:ascii="Arial" w:hAnsi="Arial" w:cs="Arial"/>
                <w:sz w:val="16"/>
                <w:szCs w:val="16"/>
                <w:lang w:eastAsia="es-ES"/>
              </w:rPr>
              <w:t>de cotitzacions del</w:t>
            </w:r>
          </w:p>
          <w:p w14:paraId="480EB315" w14:textId="77777777" w:rsidR="0048186E" w:rsidRPr="00F6232C" w:rsidRDefault="0048186E" w:rsidP="00D80CD7">
            <w:pPr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6232C">
              <w:rPr>
                <w:rFonts w:ascii="Arial" w:hAnsi="Arial" w:cs="Arial"/>
                <w:sz w:val="16"/>
                <w:szCs w:val="16"/>
                <w:lang w:eastAsia="es-ES"/>
              </w:rPr>
              <w:t>producte de futur.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90411" w14:textId="77777777" w:rsidR="0048186E" w:rsidRPr="00F6232C" w:rsidRDefault="0048186E" w:rsidP="00D80CD7">
            <w:pPr>
              <w:spacing w:after="120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6232C">
              <w:rPr>
                <w:rFonts w:ascii="Arial" w:hAnsi="Arial" w:cs="Arial"/>
                <w:sz w:val="16"/>
                <w:szCs w:val="16"/>
                <w:lang w:eastAsia="es-ES"/>
              </w:rPr>
              <w:t>Disponibilitat d’històric de cotitzacions diàries del producte de futur des de l’inici de la seva cotització.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1DFF67" w14:textId="77777777" w:rsidR="0048186E" w:rsidRPr="00F6232C" w:rsidRDefault="0048186E" w:rsidP="00D80CD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803E3">
              <w:rPr>
                <w:rFonts w:ascii="Arial" w:hAnsi="Arial" w:cs="Arial"/>
                <w:sz w:val="16"/>
                <w:szCs w:val="16"/>
                <w:lang w:eastAsia="es-ES"/>
              </w:rPr>
              <w:t>Ofereix el servei (SI/NO):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FCBD" w14:textId="77777777" w:rsidR="0048186E" w:rsidRPr="00F6232C" w:rsidRDefault="0048186E" w:rsidP="00D80CD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BD532" w14:textId="2E6E1109" w:rsidR="0048186E" w:rsidRPr="00F6232C" w:rsidRDefault="00F77790" w:rsidP="00D80CD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6</w:t>
            </w:r>
            <w:r w:rsidR="0048186E" w:rsidRPr="00F6232C">
              <w:rPr>
                <w:rFonts w:ascii="Arial" w:hAnsi="Arial" w:cs="Arial"/>
                <w:sz w:val="16"/>
                <w:szCs w:val="16"/>
                <w:lang w:eastAsia="es-ES"/>
              </w:rPr>
              <w:t>,5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</w:tr>
      <w:tr w:rsidR="0048186E" w:rsidRPr="00B704C7" w14:paraId="412420DB" w14:textId="77777777" w:rsidTr="00D80CD7">
        <w:trPr>
          <w:trHeight w:val="547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D153D" w14:textId="77777777" w:rsidR="0048186E" w:rsidRPr="00F6232C" w:rsidRDefault="0048186E" w:rsidP="00D80CD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F4A78B" w14:textId="77777777" w:rsidR="0048186E" w:rsidRPr="00F6232C" w:rsidRDefault="0048186E" w:rsidP="00D80CD7">
            <w:pPr>
              <w:spacing w:after="0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6232C">
              <w:rPr>
                <w:rFonts w:ascii="Arial" w:hAnsi="Arial" w:cs="Arial"/>
                <w:sz w:val="16"/>
                <w:szCs w:val="16"/>
                <w:lang w:eastAsia="es-ES"/>
              </w:rPr>
              <w:t>Disponibilitat d’informació de suport per establir llindar de preu objectiu de tancament del producte de futur:</w:t>
            </w:r>
          </w:p>
          <w:p w14:paraId="1ECC45EE" w14:textId="77777777" w:rsidR="0048186E" w:rsidRPr="00F6232C" w:rsidRDefault="0048186E" w:rsidP="00D80CD7">
            <w:pPr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38B69" w14:textId="77777777" w:rsidR="0048186E" w:rsidRPr="00F6232C" w:rsidRDefault="0048186E" w:rsidP="00D80CD7">
            <w:pPr>
              <w:spacing w:after="120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6232C">
              <w:rPr>
                <w:rFonts w:ascii="Arial" w:hAnsi="Arial" w:cs="Arial"/>
                <w:sz w:val="16"/>
                <w:szCs w:val="16"/>
                <w:lang w:eastAsia="es-ES"/>
              </w:rPr>
              <w:t>Disponibilitat d’informació de percentils: Possibilitat de simular el % de vegades que les cotitzacions del mercat spot ha estat per sobre o per sota de possibles valors de llindar de preu objectiu de tancament per al producte de futur.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280DB8" w14:textId="77777777" w:rsidR="0048186E" w:rsidRPr="00F6232C" w:rsidRDefault="0048186E" w:rsidP="00D80CD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803E3">
              <w:rPr>
                <w:rFonts w:ascii="Arial" w:hAnsi="Arial" w:cs="Arial"/>
                <w:sz w:val="16"/>
                <w:szCs w:val="16"/>
                <w:lang w:eastAsia="es-ES"/>
              </w:rPr>
              <w:t>Ofereix el servei (SI/NO):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05C3" w14:textId="77777777" w:rsidR="0048186E" w:rsidRPr="00F6232C" w:rsidRDefault="0048186E" w:rsidP="00D80CD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20F357" w14:textId="7884DF12" w:rsidR="0048186E" w:rsidRPr="00F6232C" w:rsidRDefault="00A553F6" w:rsidP="00D80CD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  <w:r w:rsidR="0048186E" w:rsidRPr="00F6232C">
              <w:rPr>
                <w:rFonts w:ascii="Arial" w:hAnsi="Arial" w:cs="Arial"/>
                <w:sz w:val="16"/>
                <w:szCs w:val="16"/>
                <w:lang w:eastAsia="es-E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  <w:r w:rsidR="00F77790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</w:tr>
      <w:tr w:rsidR="00F77790" w:rsidRPr="00B704C7" w14:paraId="4E2A609A" w14:textId="77777777" w:rsidTr="00AA2E80">
        <w:trPr>
          <w:trHeight w:val="547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0D39A4" w14:textId="77777777" w:rsidR="00F77790" w:rsidRPr="00F6232C" w:rsidRDefault="00F77790" w:rsidP="00F77790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691860" w14:textId="77777777" w:rsidR="00F77790" w:rsidRPr="00F6232C" w:rsidRDefault="00F77790" w:rsidP="00F77790">
            <w:pPr>
              <w:spacing w:after="0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D905E0" w14:textId="77777777" w:rsidR="00F77790" w:rsidRPr="00F6232C" w:rsidRDefault="00F77790" w:rsidP="00F77790">
            <w:pPr>
              <w:spacing w:after="120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6232C">
              <w:rPr>
                <w:rFonts w:ascii="Arial" w:hAnsi="Arial" w:cs="Arial"/>
                <w:sz w:val="16"/>
                <w:szCs w:val="16"/>
                <w:lang w:eastAsia="es-ES"/>
              </w:rPr>
              <w:t>Disponibilitat d’informació de previsions de preu: valors de previsió de preu al mercat spot i la seva probabilitat per al mateix període que el del producte de futur.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C32489" w14:textId="77777777" w:rsidR="00F77790" w:rsidRPr="00F6232C" w:rsidRDefault="00F77790" w:rsidP="00F7779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803E3">
              <w:rPr>
                <w:rFonts w:ascii="Arial" w:hAnsi="Arial" w:cs="Arial"/>
                <w:sz w:val="16"/>
                <w:szCs w:val="16"/>
                <w:lang w:eastAsia="es-ES"/>
              </w:rPr>
              <w:t>Ofereix el servei (SI/NO):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8485" w14:textId="77777777" w:rsidR="00F77790" w:rsidRPr="00F6232C" w:rsidRDefault="00F77790" w:rsidP="00F7779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1B99C" w14:textId="0F0F3C0C" w:rsidR="00F77790" w:rsidRPr="00F6232C" w:rsidRDefault="00A553F6" w:rsidP="00F7779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  <w:r w:rsidR="00F77790" w:rsidRPr="000A23C0">
              <w:rPr>
                <w:rFonts w:ascii="Arial" w:hAnsi="Arial" w:cs="Arial"/>
                <w:sz w:val="16"/>
                <w:szCs w:val="16"/>
                <w:lang w:eastAsia="es-E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  <w:r w:rsidR="00F77790" w:rsidRPr="000A23C0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</w:tr>
      <w:tr w:rsidR="00F77790" w:rsidRPr="00B704C7" w14:paraId="686FBBBB" w14:textId="77777777" w:rsidTr="00AA2E80">
        <w:trPr>
          <w:trHeight w:val="547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C8BFFF" w14:textId="77777777" w:rsidR="00F77790" w:rsidRPr="00F6232C" w:rsidRDefault="00F77790" w:rsidP="00F77790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7A817E" w14:textId="77777777" w:rsidR="00F77790" w:rsidRPr="00F6232C" w:rsidRDefault="00F77790" w:rsidP="00F77790">
            <w:pPr>
              <w:spacing w:after="0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6232C">
              <w:rPr>
                <w:rFonts w:ascii="Arial" w:hAnsi="Arial" w:cs="Arial"/>
                <w:sz w:val="16"/>
                <w:szCs w:val="16"/>
                <w:lang w:eastAsia="es-ES"/>
              </w:rPr>
              <w:t>Valoració (€) del consum previst anual.</w:t>
            </w:r>
          </w:p>
          <w:p w14:paraId="00C668D0" w14:textId="77777777" w:rsidR="00F77790" w:rsidRPr="00F6232C" w:rsidRDefault="00F77790" w:rsidP="00F77790">
            <w:pPr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FA337" w14:textId="77777777" w:rsidR="00F77790" w:rsidRPr="00F6232C" w:rsidRDefault="00F77790" w:rsidP="00F77790">
            <w:pPr>
              <w:spacing w:after="120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6232C">
              <w:rPr>
                <w:rFonts w:ascii="Arial" w:hAnsi="Arial" w:cs="Arial"/>
                <w:sz w:val="16"/>
                <w:szCs w:val="16"/>
                <w:lang w:eastAsia="es-ES"/>
              </w:rPr>
              <w:t>Valoració dels consums tancats als preus dels tancaments realitzats i valoració del consum sense tancar al preu de cotització del producte de futur.</w:t>
            </w:r>
          </w:p>
          <w:p w14:paraId="2B1562E7" w14:textId="77777777" w:rsidR="00F77790" w:rsidRPr="00F6232C" w:rsidRDefault="00F77790" w:rsidP="00F77790">
            <w:pPr>
              <w:spacing w:after="120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6232C">
              <w:rPr>
                <w:rFonts w:ascii="Arial" w:hAnsi="Arial" w:cs="Arial"/>
                <w:sz w:val="16"/>
                <w:szCs w:val="16"/>
                <w:lang w:eastAsia="es-ES"/>
              </w:rPr>
              <w:t>(Ex: per l’any 2026, mostrar el pressupost anual en base als % de consum tancats als seus respectius preus de tancament i pel consum sense tancar en base a la cotització del producte FTB</w:t>
            </w:r>
          </w:p>
          <w:p w14:paraId="6E8008C3" w14:textId="77777777" w:rsidR="00F77790" w:rsidRPr="00F6232C" w:rsidRDefault="00F77790" w:rsidP="00F77790">
            <w:pPr>
              <w:spacing w:after="120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6232C">
              <w:rPr>
                <w:rFonts w:ascii="Arial" w:hAnsi="Arial" w:cs="Arial"/>
                <w:sz w:val="16"/>
                <w:szCs w:val="16"/>
                <w:lang w:eastAsia="es-ES"/>
              </w:rPr>
              <w:t>Yr-26).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DD20AB" w14:textId="77777777" w:rsidR="00F77790" w:rsidRPr="00F6232C" w:rsidRDefault="00F77790" w:rsidP="00F7779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803E3">
              <w:rPr>
                <w:rFonts w:ascii="Arial" w:hAnsi="Arial" w:cs="Arial"/>
                <w:sz w:val="16"/>
                <w:szCs w:val="16"/>
                <w:lang w:eastAsia="es-ES"/>
              </w:rPr>
              <w:t>Ofereix el servei (SI/NO):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1576" w14:textId="77777777" w:rsidR="00F77790" w:rsidRPr="00F6232C" w:rsidRDefault="00F77790" w:rsidP="00F7779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B34BCD" w14:textId="2DFFC0C1" w:rsidR="00F77790" w:rsidRPr="00F6232C" w:rsidRDefault="00A553F6" w:rsidP="00F7779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  <w:r w:rsidR="00F77790" w:rsidRPr="000A23C0">
              <w:rPr>
                <w:rFonts w:ascii="Arial" w:hAnsi="Arial" w:cs="Arial"/>
                <w:sz w:val="16"/>
                <w:szCs w:val="16"/>
                <w:lang w:eastAsia="es-E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  <w:r w:rsidR="00F77790" w:rsidRPr="000A23C0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</w:tr>
      <w:tr w:rsidR="00F77790" w:rsidRPr="00B704C7" w14:paraId="73117F1D" w14:textId="77777777" w:rsidTr="00AA2E80">
        <w:trPr>
          <w:trHeight w:val="547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81E0FB" w14:textId="77777777" w:rsidR="00F77790" w:rsidRPr="00F6232C" w:rsidRDefault="00F77790" w:rsidP="00F77790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A0D42E" w14:textId="77777777" w:rsidR="00F77790" w:rsidRPr="00F6232C" w:rsidRDefault="00F77790" w:rsidP="00F77790">
            <w:pPr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897C4" w14:textId="77777777" w:rsidR="00F77790" w:rsidRPr="00F6232C" w:rsidRDefault="00F77790" w:rsidP="00F77790">
            <w:pPr>
              <w:spacing w:after="120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6232C">
              <w:rPr>
                <w:rFonts w:ascii="Arial" w:hAnsi="Arial" w:cs="Arial"/>
                <w:sz w:val="16"/>
                <w:szCs w:val="16"/>
                <w:lang w:eastAsia="es-ES"/>
              </w:rPr>
              <w:t>Valoració dels consums tancats als preus dels tancaments realitzats i valoració del consum sense tancar al llindar de preu objectiu de tancament del producte de futur.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E316BD" w14:textId="77777777" w:rsidR="00F77790" w:rsidRPr="00F6232C" w:rsidRDefault="00F77790" w:rsidP="00F7779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803E3">
              <w:rPr>
                <w:rFonts w:ascii="Arial" w:hAnsi="Arial" w:cs="Arial"/>
                <w:sz w:val="16"/>
                <w:szCs w:val="16"/>
                <w:lang w:eastAsia="es-ES"/>
              </w:rPr>
              <w:t>Ofereix el servei (SI/NO):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3703" w14:textId="77777777" w:rsidR="00F77790" w:rsidRPr="00F6232C" w:rsidRDefault="00F77790" w:rsidP="00F7779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074C93" w14:textId="1D75430C" w:rsidR="00F77790" w:rsidRPr="00F6232C" w:rsidRDefault="00A553F6" w:rsidP="00F7779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  <w:r w:rsidR="00F77790" w:rsidRPr="000A23C0">
              <w:rPr>
                <w:rFonts w:ascii="Arial" w:hAnsi="Arial" w:cs="Arial"/>
                <w:sz w:val="16"/>
                <w:szCs w:val="16"/>
                <w:lang w:eastAsia="es-E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  <w:r w:rsidR="00F77790" w:rsidRPr="000A23C0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</w:tr>
      <w:tr w:rsidR="00F77790" w:rsidRPr="00B704C7" w14:paraId="175269CD" w14:textId="77777777" w:rsidTr="00AA2E80">
        <w:trPr>
          <w:trHeight w:val="547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4661F7" w14:textId="77777777" w:rsidR="00F77790" w:rsidRPr="00F6232C" w:rsidRDefault="00F77790" w:rsidP="00F77790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28FFE6" w14:textId="77777777" w:rsidR="00F77790" w:rsidRPr="00F6232C" w:rsidRDefault="00F77790" w:rsidP="00F77790">
            <w:pPr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DD2C1" w14:textId="77777777" w:rsidR="00F77790" w:rsidRPr="00F6232C" w:rsidRDefault="00F77790" w:rsidP="00F77790">
            <w:pPr>
              <w:spacing w:after="120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6232C">
              <w:rPr>
                <w:rFonts w:ascii="Arial" w:hAnsi="Arial" w:cs="Arial"/>
                <w:sz w:val="16"/>
                <w:szCs w:val="16"/>
                <w:lang w:eastAsia="es-ES"/>
              </w:rPr>
              <w:t>Valoració del consum al preu realitzat any anterior (en cas de no haver-se realitzat tancaments o de no disposar de les dades de tancaments realitzats, valoració al preu de mercat spot).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AFDED" w14:textId="77777777" w:rsidR="00F77790" w:rsidRPr="00F6232C" w:rsidRDefault="00F77790" w:rsidP="00F7779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803E3">
              <w:rPr>
                <w:rFonts w:ascii="Arial" w:hAnsi="Arial" w:cs="Arial"/>
                <w:sz w:val="16"/>
                <w:szCs w:val="16"/>
                <w:lang w:eastAsia="es-ES"/>
              </w:rPr>
              <w:t>Ofereix el servei (SI/NO):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5669" w14:textId="77777777" w:rsidR="00F77790" w:rsidRPr="00F6232C" w:rsidRDefault="00F77790" w:rsidP="00F7779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7BCC1E" w14:textId="17051C29" w:rsidR="00F77790" w:rsidRPr="00F6232C" w:rsidRDefault="00A553F6" w:rsidP="00F7779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  <w:r w:rsidR="00F77790" w:rsidRPr="000A23C0">
              <w:rPr>
                <w:rFonts w:ascii="Arial" w:hAnsi="Arial" w:cs="Arial"/>
                <w:sz w:val="16"/>
                <w:szCs w:val="16"/>
                <w:lang w:eastAsia="es-E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  <w:r w:rsidR="00F77790" w:rsidRPr="000A23C0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</w:tr>
      <w:tr w:rsidR="00F77790" w:rsidRPr="00B704C7" w14:paraId="10E2158C" w14:textId="77777777" w:rsidTr="00AA2E80">
        <w:trPr>
          <w:trHeight w:val="1208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B19B37" w14:textId="77777777" w:rsidR="00F77790" w:rsidRPr="00F6232C" w:rsidRDefault="00F77790" w:rsidP="00F77790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9C5A3B" w14:textId="77777777" w:rsidR="00F77790" w:rsidRPr="00F6232C" w:rsidRDefault="00F77790" w:rsidP="00F77790">
            <w:pPr>
              <w:spacing w:after="0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6232C">
              <w:rPr>
                <w:rFonts w:ascii="Arial" w:hAnsi="Arial" w:cs="Arial"/>
                <w:sz w:val="16"/>
                <w:szCs w:val="16"/>
                <w:lang w:eastAsia="es-ES"/>
              </w:rPr>
              <w:t>Enviament d’alarma de recomanació de tancament per correu electrònic.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E6DAF" w14:textId="77777777" w:rsidR="00F77790" w:rsidRPr="00F6232C" w:rsidRDefault="00F77790" w:rsidP="00F77790">
            <w:pPr>
              <w:spacing w:after="120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6232C">
              <w:rPr>
                <w:rFonts w:ascii="Arial" w:hAnsi="Arial" w:cs="Arial"/>
                <w:sz w:val="16"/>
                <w:szCs w:val="16"/>
                <w:lang w:eastAsia="es-ES"/>
              </w:rPr>
              <w:t>Enviament automàtic de correu electrònic al comprador quan la cotització del producte de futur arribi al llindar objectiu de tancament establert.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02D447" w14:textId="77777777" w:rsidR="00F77790" w:rsidRPr="00F6232C" w:rsidRDefault="00F77790" w:rsidP="00F7779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F803E3">
              <w:rPr>
                <w:rFonts w:ascii="Arial" w:hAnsi="Arial" w:cs="Arial"/>
                <w:sz w:val="16"/>
                <w:szCs w:val="16"/>
                <w:lang w:eastAsia="es-ES"/>
              </w:rPr>
              <w:t>Ofereix el servei (SI/NO):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6B62" w14:textId="77777777" w:rsidR="00F77790" w:rsidRPr="00F6232C" w:rsidRDefault="00F77790" w:rsidP="00F7779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A23BEE" w14:textId="265D6FA7" w:rsidR="00F77790" w:rsidRPr="00F6232C" w:rsidRDefault="00A553F6" w:rsidP="00F7779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</w:t>
            </w:r>
            <w:r w:rsidR="00F77790" w:rsidRPr="000A23C0">
              <w:rPr>
                <w:rFonts w:ascii="Arial" w:hAnsi="Arial" w:cs="Arial"/>
                <w:sz w:val="16"/>
                <w:szCs w:val="16"/>
                <w:lang w:eastAsia="es-ES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  <w:r w:rsidR="00F77790" w:rsidRPr="000A23C0">
              <w:rPr>
                <w:rFonts w:ascii="Arial" w:hAnsi="Arial" w:cs="Arial"/>
                <w:sz w:val="16"/>
                <w:szCs w:val="16"/>
                <w:lang w:eastAsia="es-ES"/>
              </w:rPr>
              <w:t>0</w:t>
            </w:r>
          </w:p>
        </w:tc>
      </w:tr>
      <w:tr w:rsidR="0048186E" w:rsidRPr="00B704C7" w14:paraId="385D50C5" w14:textId="77777777" w:rsidTr="00D80CD7">
        <w:trPr>
          <w:trHeight w:val="246"/>
        </w:trPr>
        <w:tc>
          <w:tcPr>
            <w:tcW w:w="8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1478B" w14:textId="77777777" w:rsidR="0048186E" w:rsidRPr="00F6232C" w:rsidRDefault="0048186E" w:rsidP="00D80CD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Puntuació màxima Concepte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2755D" w14:textId="4AF556CE" w:rsidR="0048186E" w:rsidRPr="00F6232C" w:rsidRDefault="00CF12F6" w:rsidP="00D80CD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25</w:t>
            </w:r>
            <w:r w:rsidR="0048186E" w:rsidRPr="00F6232C">
              <w:rPr>
                <w:rFonts w:ascii="Arial" w:hAnsi="Arial" w:cs="Arial"/>
                <w:sz w:val="16"/>
                <w:szCs w:val="16"/>
                <w:lang w:eastAsia="es-ES"/>
              </w:rPr>
              <w:t>,00</w:t>
            </w:r>
          </w:p>
        </w:tc>
      </w:tr>
      <w:tr w:rsidR="0048186E" w:rsidRPr="00B704C7" w14:paraId="629E616D" w14:textId="77777777" w:rsidTr="00D80CD7">
        <w:trPr>
          <w:trHeight w:val="246"/>
        </w:trPr>
        <w:tc>
          <w:tcPr>
            <w:tcW w:w="8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06331" w14:textId="77777777" w:rsidR="0048186E" w:rsidRDefault="0048186E" w:rsidP="00D80CD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Puntuació màxima Oferta Tècnica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A2F89" w14:textId="77777777" w:rsidR="0048186E" w:rsidRDefault="0048186E" w:rsidP="00D80CD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36,00</w:t>
            </w:r>
          </w:p>
        </w:tc>
      </w:tr>
    </w:tbl>
    <w:p w14:paraId="70D75210" w14:textId="77777777" w:rsidR="00191B26" w:rsidRDefault="00191B26" w:rsidP="00191B26">
      <w:pPr>
        <w:pStyle w:val="Prrafodelista"/>
        <w:tabs>
          <w:tab w:val="left" w:pos="709"/>
        </w:tabs>
        <w:spacing w:after="0" w:line="240" w:lineRule="auto"/>
        <w:ind w:left="360" w:firstLine="0"/>
      </w:pPr>
    </w:p>
    <w:p w14:paraId="46AD9A52" w14:textId="77777777" w:rsidR="0048186E" w:rsidRDefault="0048186E" w:rsidP="00191B26">
      <w:pPr>
        <w:pStyle w:val="Prrafodelista"/>
        <w:tabs>
          <w:tab w:val="left" w:pos="709"/>
        </w:tabs>
        <w:spacing w:after="0" w:line="240" w:lineRule="auto"/>
        <w:ind w:left="360" w:firstLine="0"/>
      </w:pPr>
    </w:p>
    <w:p w14:paraId="0195474D" w14:textId="77777777" w:rsidR="00191B26" w:rsidRDefault="00191B26" w:rsidP="00191B26">
      <w:pPr>
        <w:pStyle w:val="Prrafodelista"/>
        <w:tabs>
          <w:tab w:val="left" w:pos="709"/>
        </w:tabs>
        <w:spacing w:after="0" w:line="240" w:lineRule="auto"/>
        <w:ind w:left="360" w:firstLine="0"/>
      </w:pPr>
    </w:p>
    <w:p w14:paraId="76ED0093" w14:textId="77777777" w:rsidR="00191B26" w:rsidRDefault="00191B26" w:rsidP="00191B26">
      <w:pPr>
        <w:pStyle w:val="Prrafodelista"/>
        <w:tabs>
          <w:tab w:val="left" w:pos="709"/>
        </w:tabs>
        <w:spacing w:after="0" w:line="240" w:lineRule="auto"/>
        <w:ind w:left="360" w:firstLine="0"/>
      </w:pPr>
    </w:p>
    <w:p w14:paraId="5ED51EF7" w14:textId="34AD20FD" w:rsidR="009A222F" w:rsidRDefault="009A222F" w:rsidP="009A222F">
      <w:pPr>
        <w:pStyle w:val="Prrafodelista"/>
        <w:numPr>
          <w:ilvl w:val="0"/>
          <w:numId w:val="2"/>
        </w:numPr>
        <w:tabs>
          <w:tab w:val="left" w:pos="709"/>
        </w:tabs>
        <w:spacing w:after="0" w:line="240" w:lineRule="auto"/>
      </w:pPr>
      <w:r w:rsidRPr="003F66FC">
        <w:t xml:space="preserve">Oferta </w:t>
      </w:r>
      <w:r>
        <w:t>Econòmica Categoria</w:t>
      </w:r>
      <w:r w:rsidRPr="003F66FC">
        <w:t xml:space="preserve"> </w:t>
      </w:r>
      <w:r>
        <w:t>2</w:t>
      </w:r>
    </w:p>
    <w:p w14:paraId="3111DE2C" w14:textId="77777777" w:rsidR="009A222F" w:rsidRDefault="009A222F" w:rsidP="009A222F">
      <w:pPr>
        <w:pStyle w:val="Prrafodelista"/>
        <w:tabs>
          <w:tab w:val="left" w:pos="709"/>
        </w:tabs>
        <w:spacing w:after="0" w:line="240" w:lineRule="auto"/>
        <w:ind w:left="360" w:firstLine="0"/>
      </w:pPr>
    </w:p>
    <w:p w14:paraId="1584FBCE" w14:textId="77777777" w:rsidR="009A222F" w:rsidRDefault="009A222F" w:rsidP="009A222F">
      <w:r>
        <w:t>L’oferta econòmica del licitador, haurà de contenir el següent valor:</w:t>
      </w:r>
    </w:p>
    <w:tbl>
      <w:tblPr>
        <w:tblW w:w="62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3118"/>
      </w:tblGrid>
      <w:tr w:rsidR="009A222F" w:rsidRPr="00F21CE6" w14:paraId="71CF5EE2" w14:textId="77777777" w:rsidTr="009A222F">
        <w:trPr>
          <w:trHeight w:val="199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BCBBB2" w14:textId="77777777" w:rsidR="009A222F" w:rsidRPr="00567C0A" w:rsidRDefault="009A222F" w:rsidP="00242ECB">
            <w:pPr>
              <w:pStyle w:val="Listavistosa-nfasis11"/>
              <w:spacing w:after="0"/>
              <w:jc w:val="left"/>
              <w:rPr>
                <w:rFonts w:ascii="Arial" w:eastAsiaTheme="minorHAnsi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I</w:t>
            </w:r>
            <w:r w:rsidRPr="00567C0A">
              <w:rPr>
                <w:rFonts w:ascii="Arial" w:hAnsi="Arial" w:cs="Arial"/>
                <w:sz w:val="16"/>
                <w:szCs w:val="16"/>
                <w:lang w:eastAsia="es-ES"/>
              </w:rPr>
              <w:t>mport_Ofert categoria, €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879556F" w14:textId="77777777" w:rsidR="009A222F" w:rsidRPr="00567C0A" w:rsidRDefault="009A222F" w:rsidP="00242ECB">
            <w:pPr>
              <w:pStyle w:val="Listavistosa-nfasis11"/>
              <w:spacing w:after="0"/>
              <w:jc w:val="left"/>
              <w:rPr>
                <w:rFonts w:ascii="Arial" w:eastAsiaTheme="minorHAnsi" w:hAnsi="Arial" w:cs="Arial"/>
                <w:sz w:val="16"/>
                <w:szCs w:val="16"/>
                <w:lang w:eastAsia="es-ES"/>
              </w:rPr>
            </w:pPr>
            <w:r w:rsidRPr="00AE6CBE">
              <w:rPr>
                <w:rFonts w:ascii="Arial" w:hAnsi="Arial" w:cs="Arial"/>
                <w:sz w:val="16"/>
                <w:szCs w:val="16"/>
                <w:lang w:eastAsia="es-ES"/>
              </w:rPr>
              <w:t>Puntuació màxima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 xml:space="preserve"> Oferta Econòmica</w:t>
            </w:r>
          </w:p>
        </w:tc>
      </w:tr>
      <w:tr w:rsidR="009A222F" w:rsidRPr="00F21CE6" w14:paraId="1D7EF1F5" w14:textId="77777777" w:rsidTr="009A222F">
        <w:trPr>
          <w:trHeight w:val="199"/>
        </w:trPr>
        <w:tc>
          <w:tcPr>
            <w:tcW w:w="3124" w:type="dxa"/>
            <w:vAlign w:val="center"/>
          </w:tcPr>
          <w:p w14:paraId="3B7802F5" w14:textId="77777777" w:rsidR="009A222F" w:rsidRPr="00567C0A" w:rsidRDefault="009A222F" w:rsidP="00242ECB">
            <w:pPr>
              <w:pStyle w:val="Listavistosa-nfasis11"/>
              <w:spacing w:after="0"/>
              <w:jc w:val="left"/>
              <w:rPr>
                <w:rFonts w:ascii="Arial" w:eastAsiaTheme="minorHAns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616386A" w14:textId="061F2C15" w:rsidR="009A222F" w:rsidRPr="00567C0A" w:rsidRDefault="000A01F5" w:rsidP="00242ECB">
            <w:pPr>
              <w:pStyle w:val="Listavistosa-nfasis11"/>
              <w:spacing w:after="0"/>
              <w:jc w:val="right"/>
              <w:rPr>
                <w:rFonts w:ascii="Arial" w:eastAsiaTheme="minorHAnsi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s-ES"/>
              </w:rPr>
              <w:t>64</w:t>
            </w:r>
            <w:r w:rsidR="009A222F" w:rsidRPr="00567C0A">
              <w:rPr>
                <w:rFonts w:ascii="Arial" w:eastAsiaTheme="minorHAnsi" w:hAnsi="Arial" w:cs="Arial"/>
                <w:sz w:val="16"/>
                <w:szCs w:val="16"/>
                <w:lang w:eastAsia="es-ES"/>
              </w:rPr>
              <w:t>,</w:t>
            </w:r>
            <w:r>
              <w:rPr>
                <w:rFonts w:ascii="Arial" w:eastAsiaTheme="minorHAnsi" w:hAnsi="Arial" w:cs="Arial"/>
                <w:sz w:val="16"/>
                <w:szCs w:val="16"/>
                <w:lang w:eastAsia="es-ES"/>
              </w:rPr>
              <w:t>0</w:t>
            </w:r>
            <w:r w:rsidR="009A222F">
              <w:rPr>
                <w:rFonts w:ascii="Arial" w:eastAsiaTheme="minorHAnsi" w:hAnsi="Arial" w:cs="Arial"/>
                <w:sz w:val="16"/>
                <w:szCs w:val="16"/>
                <w:lang w:eastAsia="es-ES"/>
              </w:rPr>
              <w:t>0</w:t>
            </w:r>
          </w:p>
        </w:tc>
      </w:tr>
    </w:tbl>
    <w:p w14:paraId="2A15075E" w14:textId="77777777" w:rsidR="009A222F" w:rsidRDefault="009A222F" w:rsidP="009A222F">
      <w:pPr>
        <w:spacing w:after="200" w:line="276" w:lineRule="auto"/>
        <w:jc w:val="left"/>
      </w:pPr>
    </w:p>
    <w:p w14:paraId="3698C5AC" w14:textId="77777777" w:rsidR="00ED3529" w:rsidRDefault="00ED3529" w:rsidP="00081443">
      <w:pPr>
        <w:pStyle w:val="Prrafodelista"/>
        <w:tabs>
          <w:tab w:val="left" w:pos="709"/>
        </w:tabs>
        <w:spacing w:after="0" w:line="240" w:lineRule="auto"/>
        <w:ind w:left="1080" w:firstLine="0"/>
        <w:contextualSpacing w:val="0"/>
      </w:pPr>
    </w:p>
    <w:p w14:paraId="5522BBE3" w14:textId="77777777" w:rsidR="00ED3529" w:rsidRDefault="00ED3529" w:rsidP="00081443">
      <w:pPr>
        <w:pStyle w:val="Prrafodelista"/>
        <w:tabs>
          <w:tab w:val="left" w:pos="709"/>
        </w:tabs>
        <w:spacing w:after="0" w:line="240" w:lineRule="auto"/>
        <w:ind w:left="1080" w:firstLine="0"/>
        <w:contextualSpacing w:val="0"/>
      </w:pPr>
    </w:p>
    <w:p w14:paraId="707865BD" w14:textId="77777777" w:rsidR="00ED3529" w:rsidRDefault="00ED3529" w:rsidP="00081443">
      <w:pPr>
        <w:pStyle w:val="Prrafodelista"/>
        <w:tabs>
          <w:tab w:val="left" w:pos="709"/>
        </w:tabs>
        <w:spacing w:after="0" w:line="240" w:lineRule="auto"/>
        <w:ind w:left="1080" w:firstLine="0"/>
        <w:contextualSpacing w:val="0"/>
      </w:pPr>
    </w:p>
    <w:p w14:paraId="65060093" w14:textId="77777777" w:rsidR="00ED3529" w:rsidRDefault="00ED3529" w:rsidP="00ED3529">
      <w:r>
        <w:t>.............., .....de...... del....</w:t>
      </w:r>
    </w:p>
    <w:p w14:paraId="325103B6" w14:textId="77777777" w:rsidR="00ED3529" w:rsidRDefault="00ED3529" w:rsidP="00ED3529"/>
    <w:p w14:paraId="69081DB4" w14:textId="77777777" w:rsidR="00ED3529" w:rsidRDefault="00ED3529" w:rsidP="00ED3529">
      <w:pPr>
        <w:rPr>
          <w:highlight w:val="red"/>
        </w:rPr>
      </w:pPr>
    </w:p>
    <w:p w14:paraId="77687241" w14:textId="77777777" w:rsidR="00ED3529" w:rsidRDefault="00ED3529" w:rsidP="00ED3529"/>
    <w:p w14:paraId="7CF42F15" w14:textId="77777777" w:rsidR="00ED3529" w:rsidRDefault="00ED3529" w:rsidP="00ED3529">
      <w:r>
        <w:t>Signatura</w:t>
      </w:r>
    </w:p>
    <w:bookmarkEnd w:id="1"/>
    <w:p w14:paraId="5C741F07" w14:textId="77777777" w:rsidR="00ED3529" w:rsidRDefault="00ED3529" w:rsidP="00081443">
      <w:pPr>
        <w:pStyle w:val="Prrafodelista"/>
        <w:tabs>
          <w:tab w:val="left" w:pos="709"/>
        </w:tabs>
        <w:spacing w:after="0" w:line="240" w:lineRule="auto"/>
        <w:ind w:left="1080" w:firstLine="0"/>
        <w:contextualSpacing w:val="0"/>
      </w:pPr>
    </w:p>
    <w:sectPr w:rsidR="00ED3529" w:rsidSect="00697A44">
      <w:headerReference w:type="default" r:id="rId18"/>
      <w:footerReference w:type="default" r:id="rId19"/>
      <w:pgSz w:w="11906" w:h="16838"/>
      <w:pgMar w:top="2127" w:right="1416" w:bottom="1276" w:left="1701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0CEE4" w14:textId="77777777" w:rsidR="00FD6220" w:rsidRDefault="00FD6220">
      <w:pPr>
        <w:spacing w:after="0" w:line="240" w:lineRule="auto"/>
      </w:pPr>
      <w:r>
        <w:separator/>
      </w:r>
    </w:p>
  </w:endnote>
  <w:endnote w:type="continuationSeparator" w:id="0">
    <w:p w14:paraId="7CEE915F" w14:textId="77777777" w:rsidR="00FD6220" w:rsidRDefault="00FD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7731231"/>
      <w:docPartObj>
        <w:docPartGallery w:val="Page Numbers (Bottom of Page)"/>
        <w:docPartUnique/>
      </w:docPartObj>
    </w:sdtPr>
    <w:sdtEndPr/>
    <w:sdtContent>
      <w:p w14:paraId="06DA7FEE" w14:textId="77777777" w:rsidR="00A73066" w:rsidRDefault="00847047" w:rsidP="00C307A5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C2E9A">
          <w:rPr>
            <w:noProof/>
          </w:rPr>
          <w:t>6</w:t>
        </w:r>
        <w:r>
          <w:fldChar w:fldCharType="end"/>
        </w:r>
      </w:p>
    </w:sdtContent>
  </w:sdt>
  <w:p w14:paraId="076A861C" w14:textId="77777777" w:rsidR="00A73066" w:rsidRDefault="00A73066" w:rsidP="00C307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AC5B8" w14:textId="77777777" w:rsidR="00FD6220" w:rsidRDefault="00FD6220">
      <w:pPr>
        <w:spacing w:after="0" w:line="240" w:lineRule="auto"/>
      </w:pPr>
      <w:r>
        <w:separator/>
      </w:r>
    </w:p>
  </w:footnote>
  <w:footnote w:type="continuationSeparator" w:id="0">
    <w:p w14:paraId="48829A11" w14:textId="77777777" w:rsidR="00FD6220" w:rsidRDefault="00FD6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A49A" w14:textId="6A37DEA1" w:rsidR="00A73066" w:rsidRPr="00AC617F" w:rsidRDefault="00847047" w:rsidP="00C307A5">
    <w:pPr>
      <w:pStyle w:val="Encabezado"/>
    </w:pPr>
    <w:r w:rsidRPr="00AC617F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5AF83C4" wp14:editId="195EDE48">
          <wp:simplePos x="0" y="0"/>
          <wp:positionH relativeFrom="page">
            <wp:posOffset>964491</wp:posOffset>
          </wp:positionH>
          <wp:positionV relativeFrom="page">
            <wp:posOffset>367370</wp:posOffset>
          </wp:positionV>
          <wp:extent cx="2348179" cy="425732"/>
          <wp:effectExtent l="0" t="0" r="0" b="0"/>
          <wp:wrapNone/>
          <wp:docPr id="376986874" name="Imagen 376986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CSUC per a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179" cy="425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617F">
      <w:t xml:space="preserve">EXP </w:t>
    </w:r>
    <w:r>
      <w:t>2</w:t>
    </w:r>
    <w:r w:rsidR="00BE7E0D">
      <w:t>5</w:t>
    </w:r>
    <w:r w:rsidRPr="00AC617F">
      <w:t>/</w:t>
    </w:r>
    <w:r w:rsidR="00844886">
      <w:t>7</w:t>
    </w:r>
    <w:r w:rsidR="00BE7E0D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B1B"/>
    <w:multiLevelType w:val="multilevel"/>
    <w:tmpl w:val="88129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22060FD"/>
    <w:multiLevelType w:val="multilevel"/>
    <w:tmpl w:val="88129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9DE6C32"/>
    <w:multiLevelType w:val="hybridMultilevel"/>
    <w:tmpl w:val="2250B950"/>
    <w:lvl w:ilvl="0" w:tplc="C5E45D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280FC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BEEA5E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4BA43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6B056B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3CC83B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8A203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D2426A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E945E0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F476CA"/>
    <w:multiLevelType w:val="hybridMultilevel"/>
    <w:tmpl w:val="4C9EB40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3475193">
    <w:abstractNumId w:val="0"/>
  </w:num>
  <w:num w:numId="2" w16cid:durableId="1775056904">
    <w:abstractNumId w:val="3"/>
  </w:num>
  <w:num w:numId="3" w16cid:durableId="1822696670">
    <w:abstractNumId w:val="2"/>
  </w:num>
  <w:num w:numId="4" w16cid:durableId="552039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47"/>
    <w:rsid w:val="0004750C"/>
    <w:rsid w:val="00062690"/>
    <w:rsid w:val="00081443"/>
    <w:rsid w:val="000A01F5"/>
    <w:rsid w:val="00134FD6"/>
    <w:rsid w:val="001733EF"/>
    <w:rsid w:val="00191B26"/>
    <w:rsid w:val="001B416E"/>
    <w:rsid w:val="0020292A"/>
    <w:rsid w:val="00224409"/>
    <w:rsid w:val="002A082F"/>
    <w:rsid w:val="002C0256"/>
    <w:rsid w:val="0038690C"/>
    <w:rsid w:val="003A2F67"/>
    <w:rsid w:val="0048186E"/>
    <w:rsid w:val="004B1262"/>
    <w:rsid w:val="00567C0A"/>
    <w:rsid w:val="00697A44"/>
    <w:rsid w:val="00770801"/>
    <w:rsid w:val="00784AF3"/>
    <w:rsid w:val="007A6223"/>
    <w:rsid w:val="008260D9"/>
    <w:rsid w:val="00844886"/>
    <w:rsid w:val="00847047"/>
    <w:rsid w:val="00875C40"/>
    <w:rsid w:val="008C79F5"/>
    <w:rsid w:val="00922CB5"/>
    <w:rsid w:val="00934211"/>
    <w:rsid w:val="00954021"/>
    <w:rsid w:val="00981DBF"/>
    <w:rsid w:val="009A222F"/>
    <w:rsid w:val="00A553F6"/>
    <w:rsid w:val="00A73066"/>
    <w:rsid w:val="00A76E0E"/>
    <w:rsid w:val="00AB78BC"/>
    <w:rsid w:val="00AC11DB"/>
    <w:rsid w:val="00B3073C"/>
    <w:rsid w:val="00B403F1"/>
    <w:rsid w:val="00BB46EC"/>
    <w:rsid w:val="00BD5780"/>
    <w:rsid w:val="00BE7E0D"/>
    <w:rsid w:val="00C179FA"/>
    <w:rsid w:val="00C32D95"/>
    <w:rsid w:val="00CA1DDF"/>
    <w:rsid w:val="00CB7067"/>
    <w:rsid w:val="00CF12F6"/>
    <w:rsid w:val="00DC49E0"/>
    <w:rsid w:val="00E130CB"/>
    <w:rsid w:val="00E96CE3"/>
    <w:rsid w:val="00ED3529"/>
    <w:rsid w:val="00F00741"/>
    <w:rsid w:val="00F575B4"/>
    <w:rsid w:val="00F77790"/>
    <w:rsid w:val="00FB6179"/>
    <w:rsid w:val="00FD6220"/>
    <w:rsid w:val="00FD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2F41"/>
  <w15:chartTrackingRefBased/>
  <w15:docId w15:val="{34425C45-EA32-4052-AA3E-2314C8C1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047"/>
    <w:pPr>
      <w:spacing w:after="300" w:line="300" w:lineRule="exact"/>
      <w:jc w:val="both"/>
    </w:pPr>
    <w:rPr>
      <w:rFonts w:ascii="Garamond" w:hAnsi="Garamond"/>
      <w:sz w:val="24"/>
      <w:lang w:val="ca-ES"/>
    </w:rPr>
  </w:style>
  <w:style w:type="paragraph" w:styleId="Ttulo1">
    <w:name w:val="heading 1"/>
    <w:next w:val="Normal"/>
    <w:link w:val="Ttulo1Car"/>
    <w:uiPriority w:val="9"/>
    <w:qFormat/>
    <w:rsid w:val="00847047"/>
    <w:pPr>
      <w:keepNext/>
      <w:keepLines/>
      <w:pBdr>
        <w:bottom w:val="single" w:sz="4" w:space="9" w:color="2A7886"/>
      </w:pBdr>
      <w:spacing w:before="600" w:after="300" w:line="276" w:lineRule="auto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7047"/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84704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EncabezadoCar">
    <w:name w:val="Encabezado Car"/>
    <w:basedOn w:val="Fuentedeprrafopredeter"/>
    <w:link w:val="Encabezado"/>
    <w:uiPriority w:val="99"/>
    <w:rsid w:val="00847047"/>
    <w:rPr>
      <w:rFonts w:ascii="Arial" w:hAnsi="Arial"/>
      <w:color w:val="2A7886"/>
      <w:spacing w:val="26"/>
      <w:sz w:val="12"/>
      <w:lang w:val="ca-ES"/>
    </w:rPr>
  </w:style>
  <w:style w:type="paragraph" w:styleId="Piedepgina">
    <w:name w:val="footer"/>
    <w:link w:val="PiedepginaCar"/>
    <w:uiPriority w:val="99"/>
    <w:unhideWhenUsed/>
    <w:rsid w:val="00847047"/>
    <w:pPr>
      <w:pBdr>
        <w:top w:val="single" w:sz="4" w:space="6" w:color="2A7886"/>
      </w:pBdr>
      <w:tabs>
        <w:tab w:val="right" w:pos="8789"/>
      </w:tabs>
      <w:spacing w:after="0" w:line="240" w:lineRule="auto"/>
      <w:jc w:val="both"/>
    </w:pPr>
    <w:rPr>
      <w:rFonts w:ascii="Arial" w:hAnsi="Arial"/>
      <w:color w:val="2A7886"/>
      <w:sz w:val="17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7047"/>
    <w:rPr>
      <w:rFonts w:ascii="Arial" w:hAnsi="Arial"/>
      <w:color w:val="2A7886"/>
      <w:sz w:val="17"/>
      <w:lang w:val="ca-ES"/>
    </w:rPr>
  </w:style>
  <w:style w:type="paragraph" w:styleId="Prrafodelista">
    <w:name w:val="List Paragraph"/>
    <w:aliases w:val="List,Lista1,Lista11,Lista111"/>
    <w:basedOn w:val="Normal"/>
    <w:link w:val="PrrafodelistaCar"/>
    <w:uiPriority w:val="34"/>
    <w:qFormat/>
    <w:rsid w:val="00847047"/>
    <w:pPr>
      <w:ind w:left="357" w:hanging="357"/>
      <w:contextualSpacing/>
    </w:pPr>
  </w:style>
  <w:style w:type="character" w:customStyle="1" w:styleId="PrrafodelistaCar">
    <w:name w:val="Párrafo de lista Car"/>
    <w:aliases w:val="List Car,Lista1 Car,Lista11 Car,Lista111 Car"/>
    <w:basedOn w:val="Fuentedeprrafopredeter"/>
    <w:link w:val="Prrafodelista"/>
    <w:uiPriority w:val="34"/>
    <w:rsid w:val="00847047"/>
    <w:rPr>
      <w:rFonts w:ascii="Garamond" w:hAnsi="Garamond"/>
      <w:sz w:val="24"/>
      <w:lang w:val="ca-ES"/>
    </w:rPr>
  </w:style>
  <w:style w:type="paragraph" w:customStyle="1" w:styleId="Listavistosa-nfasis11">
    <w:name w:val="Lista vistosa - Énfasis 11"/>
    <w:aliases w:val="Lista sin Numerar,Párrafo Numerado,Párrafo de lista1"/>
    <w:basedOn w:val="Normal"/>
    <w:uiPriority w:val="34"/>
    <w:qFormat/>
    <w:rsid w:val="00ED3529"/>
    <w:pPr>
      <w:tabs>
        <w:tab w:val="left" w:pos="709"/>
      </w:tabs>
      <w:ind w:left="357" w:hanging="357"/>
      <w:contextualSpacing/>
    </w:pPr>
    <w:rPr>
      <w:rFonts w:eastAsia="Calibri" w:cs="Times New Roman"/>
    </w:rPr>
  </w:style>
  <w:style w:type="character" w:styleId="Hipervnculo">
    <w:name w:val="Hyperlink"/>
    <w:basedOn w:val="Fuentedeprrafopredeter"/>
    <w:uiPriority w:val="99"/>
    <w:unhideWhenUsed/>
    <w:rsid w:val="009A222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08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2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rldefense.com/v3/__https:/www.omip.pt/es/downloads__;!!OjemSMKBgg!y_eQf64wOzVi6hXaKt5xZ8bnWw94NDFdkynHhVqwnsRfkmUqhLISGrAtuD8JRm7Z_O8$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mibgas.es/es/file-access" TargetMode="External"/><Relationship Id="rId17" Type="http://schemas.openxmlformats.org/officeDocument/2006/relationships/hyperlink" Target="https://urldefense.com/v3/__https:/www.cmegroup.com/markets/fx/g10/euro-fx.quotes.html__;!!OjemSMKBgg!y_eQf64wOzVi6hXaKt5xZ8bnWw94NDFdkynHhVqwnsRfkmUqhLISGrAtuD8JAZSNt1s$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cb.europa.eu/stats/policy_and_exchange_rate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ex.com/en/market-data/natural-gas/futur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megroup.com/markets/energy/crude-oil/brent-crude-oil.quotes.html.V" TargetMode="External"/><Relationship Id="rId10" Type="http://schemas.openxmlformats.org/officeDocument/2006/relationships/hyperlink" Target="https://www.eex.com/en/market-data/natural-gas/spot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ia.gov/dnav/pet/hist/LeafHandler.ashx?n=pet&amp;s=rbrte&amp;f=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2de81d-c0d5-4fbd-96d6-458b5887f875" xsi:nil="true"/>
    <lcf76f155ced4ddcb4097134ff3c332f xmlns="f5765fb7-029b-4d89-86eb-677956605a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C3853AA8BC141A80A062CDC7D752C" ma:contentTypeVersion="12" ma:contentTypeDescription="Crea un document nou" ma:contentTypeScope="" ma:versionID="ba9c6350ffa3f09922e15f095428cc54">
  <xsd:schema xmlns:xsd="http://www.w3.org/2001/XMLSchema" xmlns:xs="http://www.w3.org/2001/XMLSchema" xmlns:p="http://schemas.microsoft.com/office/2006/metadata/properties" xmlns:ns2="f5765fb7-029b-4d89-86eb-677956605afd" xmlns:ns3="8b2de81d-c0d5-4fbd-96d6-458b5887f875" targetNamespace="http://schemas.microsoft.com/office/2006/metadata/properties" ma:root="true" ma:fieldsID="4262eb4b68220f2e6846ad0089bd704b" ns2:_="" ns3:_="">
    <xsd:import namespace="f5765fb7-029b-4d89-86eb-677956605afd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65fb7-029b-4d89-86eb-67795660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71A211-EDB9-495E-8E08-DBC6D05A07C6}">
  <ds:schemaRefs>
    <ds:schemaRef ds:uri="http://schemas.microsoft.com/office/2006/metadata/properties"/>
    <ds:schemaRef ds:uri="http://schemas.microsoft.com/office/infopath/2007/PartnerControls"/>
    <ds:schemaRef ds:uri="5716b5eb-e3e4-41d5-bc41-491a810577e8"/>
    <ds:schemaRef ds:uri="8b2de81d-c0d5-4fbd-96d6-458b5887f875"/>
  </ds:schemaRefs>
</ds:datastoreItem>
</file>

<file path=customXml/itemProps2.xml><?xml version="1.0" encoding="utf-8"?>
<ds:datastoreItem xmlns:ds="http://schemas.openxmlformats.org/officeDocument/2006/customXml" ds:itemID="{EA47F7E6-2449-4D09-813D-89AF05608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6B1C5-A681-469E-82D3-BE2AC0F7A0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1130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NOVACELONA S.L</dc:creator>
  <cp:keywords/>
  <dc:description/>
  <cp:lastModifiedBy>Margarida Martín Sanclemente</cp:lastModifiedBy>
  <cp:revision>28</cp:revision>
  <dcterms:created xsi:type="dcterms:W3CDTF">2023-12-07T08:48:00Z</dcterms:created>
  <dcterms:modified xsi:type="dcterms:W3CDTF">2025-11-13T15:09:00Z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0x01010098EC3853AA8BC141A80A062CDC7D752C</vt:lpwstr>
  </property>
  <property fmtid="{D5CDD505-2E9C-101B-9397-08002B2CF9AE}" pid="3" name="MSIP_Label_35190b18-fce3-4985-8f5b-143560717296_Enabled">
    <vt:lpwstr>true</vt:lpwstr>
  </property>
  <property fmtid="{D5CDD505-2E9C-101B-9397-08002B2CF9AE}" pid="4" name="MSIP_Label_35190b18-fce3-4985-8f5b-143560717296_SetDate">
    <vt:lpwstr>2024-10-02T14:00:06Z</vt:lpwstr>
  </property>
  <property fmtid="{D5CDD505-2E9C-101B-9397-08002B2CF9AE}" pid="5" name="MSIP_Label_35190b18-fce3-4985-8f5b-143560717296_Method">
    <vt:lpwstr>Privileged</vt:lpwstr>
  </property>
  <property fmtid="{D5CDD505-2E9C-101B-9397-08002B2CF9AE}" pid="6" name="MSIP_Label_35190b18-fce3-4985-8f5b-143560717296_Name">
    <vt:lpwstr>Confidencial i restringida</vt:lpwstr>
  </property>
  <property fmtid="{D5CDD505-2E9C-101B-9397-08002B2CF9AE}" pid="7" name="MSIP_Label_35190b18-fce3-4985-8f5b-143560717296_SiteId">
    <vt:lpwstr>d7f9fe0f-fba5-4e85-a76a-bdbdf37e5209</vt:lpwstr>
  </property>
  <property fmtid="{D5CDD505-2E9C-101B-9397-08002B2CF9AE}" pid="8" name="MSIP_Label_35190b18-fce3-4985-8f5b-143560717296_ActionId">
    <vt:lpwstr>1072880b-fba9-4b1e-b14f-b2a622ad690c</vt:lpwstr>
  </property>
  <property fmtid="{D5CDD505-2E9C-101B-9397-08002B2CF9AE}" pid="9" name="MSIP_Label_35190b18-fce3-4985-8f5b-143560717296_ContentBits">
    <vt:lpwstr>0</vt:lpwstr>
  </property>
  <property fmtid="{D5CDD505-2E9C-101B-9397-08002B2CF9AE}" pid="10" name="MediaServiceImageTags">
    <vt:lpwstr/>
  </property>
</Properties>
</file>