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34CC3" w14:textId="77777777" w:rsidR="006D7181" w:rsidRPr="00DC14A0" w:rsidRDefault="006D7181" w:rsidP="006D7181">
      <w:pPr>
        <w:pStyle w:val="Textoindependiente3"/>
        <w:rPr>
          <w:rFonts w:ascii="Arial" w:hAnsi="Arial" w:cs="Arial"/>
          <w:bCs/>
          <w:spacing w:val="-2"/>
          <w:sz w:val="22"/>
          <w:szCs w:val="22"/>
        </w:rPr>
      </w:pPr>
      <w:bookmarkStart w:id="0" w:name="_GoBack"/>
      <w:bookmarkEnd w:id="0"/>
      <w:r>
        <w:rPr>
          <w:rFonts w:ascii="Arial" w:hAnsi="Arial" w:cs="Arial"/>
          <w:bCs/>
          <w:spacing w:val="-2"/>
          <w:sz w:val="22"/>
          <w:szCs w:val="22"/>
        </w:rPr>
        <w:t>ANNEX</w:t>
      </w:r>
      <w:r w:rsidRPr="00DC14A0">
        <w:rPr>
          <w:rFonts w:ascii="Arial" w:hAnsi="Arial" w:cs="Arial"/>
          <w:bCs/>
          <w:spacing w:val="-2"/>
          <w:sz w:val="22"/>
          <w:szCs w:val="22"/>
        </w:rPr>
        <w:t xml:space="preserve"> 2</w:t>
      </w:r>
    </w:p>
    <w:p w14:paraId="6D349FFE" w14:textId="77777777" w:rsidR="006D7181" w:rsidRDefault="006D7181" w:rsidP="006D7181">
      <w:pPr>
        <w:pStyle w:val="Textoindependiente3"/>
        <w:rPr>
          <w:rFonts w:ascii="Arial" w:hAnsi="Arial" w:cs="Arial"/>
          <w:bCs/>
          <w:spacing w:val="-2"/>
          <w:sz w:val="22"/>
          <w:szCs w:val="22"/>
        </w:rPr>
      </w:pPr>
    </w:p>
    <w:p w14:paraId="16EAB43C" w14:textId="77777777" w:rsidR="006D7181" w:rsidRDefault="006D7181" w:rsidP="006D7181">
      <w:pPr>
        <w:pStyle w:val="Textoindependiente3"/>
        <w:rPr>
          <w:rFonts w:ascii="Arial" w:hAnsi="Arial" w:cs="Arial"/>
          <w:bCs/>
          <w:spacing w:val="-2"/>
          <w:sz w:val="22"/>
          <w:szCs w:val="22"/>
        </w:rPr>
      </w:pPr>
    </w:p>
    <w:p w14:paraId="45111712" w14:textId="77777777" w:rsidR="006D7181" w:rsidRPr="00DC14A0" w:rsidRDefault="006D7181" w:rsidP="006D7181">
      <w:pPr>
        <w:pStyle w:val="Textoindependiente3"/>
        <w:rPr>
          <w:rFonts w:ascii="Arial" w:hAnsi="Arial" w:cs="Arial"/>
          <w:bCs/>
          <w:spacing w:val="-2"/>
          <w:sz w:val="22"/>
          <w:szCs w:val="22"/>
        </w:rPr>
      </w:pPr>
    </w:p>
    <w:p w14:paraId="3BAEED00" w14:textId="77777777" w:rsidR="006D7181" w:rsidRPr="00DC14A0" w:rsidRDefault="006D7181" w:rsidP="006D7181">
      <w:pPr>
        <w:pStyle w:val="Textoindependiente3"/>
        <w:rPr>
          <w:rFonts w:ascii="Arial" w:hAnsi="Arial" w:cs="Arial"/>
          <w:bCs/>
          <w:caps/>
          <w:spacing w:val="-2"/>
          <w:sz w:val="22"/>
          <w:szCs w:val="22"/>
          <w:u w:val="none"/>
        </w:rPr>
      </w:pPr>
      <w:r w:rsidRPr="00DC14A0">
        <w:rPr>
          <w:rFonts w:ascii="Arial" w:hAnsi="Arial" w:cs="Arial"/>
          <w:bCs/>
          <w:caps/>
          <w:spacing w:val="-2"/>
          <w:sz w:val="22"/>
          <w:szCs w:val="22"/>
          <w:u w:val="none"/>
        </w:rPr>
        <w:t>Model DE DESGLOSSAMENT DEL PRESSUPOST BASE DE LICITACIÓ</w:t>
      </w:r>
    </w:p>
    <w:p w14:paraId="40C6DC36" w14:textId="77777777" w:rsidR="006D7181" w:rsidRPr="00DC14A0" w:rsidRDefault="006D7181" w:rsidP="006D7181">
      <w:pPr>
        <w:pStyle w:val="Textoindependiente3"/>
        <w:rPr>
          <w:rFonts w:ascii="Arial" w:hAnsi="Arial" w:cs="Arial"/>
          <w:bCs/>
          <w:caps/>
          <w:spacing w:val="-2"/>
          <w:sz w:val="22"/>
          <w:szCs w:val="22"/>
          <w:u w:val="none"/>
        </w:rPr>
      </w:pPr>
    </w:p>
    <w:p w14:paraId="27FADAD6" w14:textId="77777777" w:rsidR="006D7181" w:rsidRDefault="006D7181" w:rsidP="006D7181">
      <w:pPr>
        <w:spacing w:after="120" w:line="280" w:lineRule="atLeast"/>
        <w:rPr>
          <w:rFonts w:cs="Arial"/>
          <w:b/>
        </w:rPr>
      </w:pPr>
      <w:r w:rsidRPr="00F2244F">
        <w:rPr>
          <w:rFonts w:cs="Arial"/>
          <w:bCs/>
          <w:spacing w:val="-2"/>
        </w:rPr>
        <w:t xml:space="preserve">En relació al pressupost base de licitació del contracte </w:t>
      </w:r>
      <w:r w:rsidRPr="00F2244F">
        <w:rPr>
          <w:rFonts w:cs="Arial"/>
        </w:rPr>
        <w:t xml:space="preserve">de </w:t>
      </w:r>
      <w:r>
        <w:rPr>
          <w:rFonts w:cs="Arial"/>
        </w:rPr>
        <w:t xml:space="preserve">serveis relatiu al ”Servei </w:t>
      </w:r>
      <w:r w:rsidRPr="000247B5">
        <w:rPr>
          <w:rFonts w:cs="Arial"/>
        </w:rPr>
        <w:t>de distribució de comunicats i penjada de cartells dins el terme municipal de Sabadell</w:t>
      </w:r>
      <w:r>
        <w:rPr>
          <w:rFonts w:cs="Arial"/>
        </w:rPr>
        <w:t xml:space="preserve">”, </w:t>
      </w:r>
      <w:r w:rsidRPr="00F2244F">
        <w:rPr>
          <w:rFonts w:cs="Arial"/>
          <w:bCs/>
          <w:spacing w:val="-2"/>
        </w:rPr>
        <w:t xml:space="preserve">es fa constar que el desglossament és el que a continuació es detalla, en compliment de la previsió establerta a l’article 100 de la Llei </w:t>
      </w:r>
      <w:r w:rsidRPr="00F2244F">
        <w:rPr>
          <w:rFonts w:cs="Arial"/>
        </w:rPr>
        <w:t>9/2017, de 8 de novembre, de contractes del sector públic, per la qual es transposen a l’ordenament jurídic espanyol les Directives del Parlament Europeu i dels Consell 2014/23/UE i 2014/24/UE, de 26 de gener</w:t>
      </w:r>
      <w:r w:rsidRPr="00DC14A0">
        <w:rPr>
          <w:rFonts w:cs="Arial"/>
          <w:b/>
        </w:rPr>
        <w:t>.</w:t>
      </w:r>
    </w:p>
    <w:tbl>
      <w:tblPr>
        <w:tblW w:w="8719" w:type="dxa"/>
        <w:tblInd w:w="70" w:type="dxa"/>
        <w:tblCellMar>
          <w:left w:w="70" w:type="dxa"/>
          <w:right w:w="70" w:type="dxa"/>
        </w:tblCellMar>
        <w:tblLook w:val="04A0" w:firstRow="1" w:lastRow="0" w:firstColumn="1" w:lastColumn="0" w:noHBand="0" w:noVBand="1"/>
      </w:tblPr>
      <w:tblGrid>
        <w:gridCol w:w="6663"/>
        <w:gridCol w:w="2056"/>
      </w:tblGrid>
      <w:tr w:rsidR="006D7181" w:rsidRPr="00DC14A0" w14:paraId="2B16FFCA" w14:textId="77777777" w:rsidTr="00D011EC">
        <w:trPr>
          <w:trHeight w:val="315"/>
        </w:trPr>
        <w:tc>
          <w:tcPr>
            <w:tcW w:w="6663" w:type="dxa"/>
            <w:tcBorders>
              <w:top w:val="nil"/>
              <w:left w:val="nil"/>
              <w:bottom w:val="single" w:sz="8" w:space="0" w:color="auto"/>
              <w:right w:val="nil"/>
            </w:tcBorders>
            <w:shd w:val="clear" w:color="auto" w:fill="auto"/>
            <w:noWrap/>
            <w:vAlign w:val="center"/>
            <w:hideMark/>
          </w:tcPr>
          <w:p w14:paraId="5DAA07B3" w14:textId="77777777" w:rsidR="006D7181" w:rsidRPr="00DC14A0" w:rsidRDefault="006D7181" w:rsidP="00D011EC">
            <w:pPr>
              <w:rPr>
                <w:rFonts w:cs="Arial"/>
                <w:lang w:eastAsia="ca-ES"/>
              </w:rPr>
            </w:pPr>
          </w:p>
        </w:tc>
        <w:tc>
          <w:tcPr>
            <w:tcW w:w="205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EF65490" w14:textId="77777777" w:rsidR="006D7181" w:rsidRPr="00DC14A0" w:rsidRDefault="006D7181" w:rsidP="00D011EC">
            <w:pPr>
              <w:jc w:val="center"/>
              <w:rPr>
                <w:rFonts w:cs="Arial"/>
                <w:color w:val="000000"/>
              </w:rPr>
            </w:pPr>
            <w:r w:rsidRPr="00DC14A0">
              <w:rPr>
                <w:rFonts w:cs="Arial"/>
                <w:color w:val="000000"/>
              </w:rPr>
              <w:t>Import IVA inclòs</w:t>
            </w:r>
          </w:p>
        </w:tc>
      </w:tr>
      <w:tr w:rsidR="006D7181" w:rsidRPr="00DC14A0" w14:paraId="6FC7C098" w14:textId="77777777" w:rsidTr="00D011EC">
        <w:trPr>
          <w:trHeight w:val="478"/>
        </w:trPr>
        <w:tc>
          <w:tcPr>
            <w:tcW w:w="871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5FBC4E" w14:textId="77777777" w:rsidR="006D7181" w:rsidRPr="00DC14A0" w:rsidRDefault="006D7181" w:rsidP="00D011EC">
            <w:pPr>
              <w:rPr>
                <w:rFonts w:cs="Arial"/>
                <w:b/>
                <w:bCs/>
                <w:color w:val="000000"/>
              </w:rPr>
            </w:pPr>
            <w:r w:rsidRPr="00DC14A0">
              <w:rPr>
                <w:rFonts w:cs="Arial"/>
                <w:b/>
                <w:bCs/>
                <w:color w:val="000000"/>
              </w:rPr>
              <w:t xml:space="preserve">a) Costos directes </w:t>
            </w:r>
          </w:p>
        </w:tc>
      </w:tr>
      <w:tr w:rsidR="006D7181" w:rsidRPr="00DC14A0" w14:paraId="11AA17D4" w14:textId="77777777" w:rsidTr="00D011EC">
        <w:trPr>
          <w:trHeight w:val="410"/>
        </w:trPr>
        <w:tc>
          <w:tcPr>
            <w:tcW w:w="666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D347344" w14:textId="77777777" w:rsidR="006D7181" w:rsidRPr="00DC14A0" w:rsidRDefault="006D7181" w:rsidP="00D011EC">
            <w:pPr>
              <w:rPr>
                <w:rFonts w:cs="Arial"/>
                <w:color w:val="000000"/>
              </w:rPr>
            </w:pPr>
            <w:r>
              <w:rPr>
                <w:rFonts w:cs="Arial"/>
                <w:color w:val="000000"/>
              </w:rPr>
              <w:t>Mà d’obra directa (inclou el 90</w:t>
            </w:r>
            <w:r w:rsidRPr="00DC14A0">
              <w:rPr>
                <w:rFonts w:cs="Arial"/>
                <w:color w:val="000000"/>
              </w:rPr>
              <w:t>% de costos salarials)</w:t>
            </w:r>
          </w:p>
        </w:tc>
        <w:tc>
          <w:tcPr>
            <w:tcW w:w="2056" w:type="dxa"/>
            <w:tcBorders>
              <w:top w:val="single" w:sz="8" w:space="0" w:color="auto"/>
              <w:left w:val="nil"/>
              <w:bottom w:val="single" w:sz="8" w:space="0" w:color="auto"/>
              <w:right w:val="single" w:sz="8" w:space="0" w:color="auto"/>
            </w:tcBorders>
            <w:shd w:val="clear" w:color="auto" w:fill="auto"/>
            <w:noWrap/>
            <w:vAlign w:val="center"/>
          </w:tcPr>
          <w:p w14:paraId="4036CED8" w14:textId="77777777" w:rsidR="006D7181" w:rsidRPr="00AB6936" w:rsidRDefault="006D7181" w:rsidP="00D011EC">
            <w:pPr>
              <w:jc w:val="right"/>
            </w:pPr>
            <w:r w:rsidRPr="00AB6936">
              <w:t xml:space="preserve"> 10.876,70 € </w:t>
            </w:r>
          </w:p>
        </w:tc>
      </w:tr>
      <w:tr w:rsidR="006D7181" w:rsidRPr="00DC14A0" w14:paraId="2BA604E5" w14:textId="77777777" w:rsidTr="00D011EC">
        <w:trPr>
          <w:trHeight w:val="557"/>
        </w:trPr>
        <w:tc>
          <w:tcPr>
            <w:tcW w:w="666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560CDF2" w14:textId="77777777" w:rsidR="006D7181" w:rsidRPr="00DC14A0" w:rsidRDefault="006D7181" w:rsidP="00D011EC">
            <w:pPr>
              <w:rPr>
                <w:rFonts w:cs="Arial"/>
                <w:color w:val="000000"/>
              </w:rPr>
            </w:pPr>
            <w:r w:rsidRPr="00DC14A0">
              <w:rPr>
                <w:rFonts w:cs="Arial"/>
                <w:color w:val="000000"/>
              </w:rPr>
              <w:t xml:space="preserve">Costos directes de </w:t>
            </w:r>
            <w:r>
              <w:rPr>
                <w:rFonts w:cs="Arial"/>
                <w:color w:val="000000"/>
              </w:rPr>
              <w:t>distribució</w:t>
            </w:r>
            <w:r w:rsidRPr="00DC14A0">
              <w:rPr>
                <w:rFonts w:cs="Arial"/>
                <w:color w:val="000000"/>
              </w:rPr>
              <w:t xml:space="preserve"> </w:t>
            </w:r>
          </w:p>
        </w:tc>
        <w:tc>
          <w:tcPr>
            <w:tcW w:w="2056" w:type="dxa"/>
            <w:tcBorders>
              <w:top w:val="single" w:sz="8" w:space="0" w:color="auto"/>
              <w:left w:val="nil"/>
              <w:bottom w:val="single" w:sz="8" w:space="0" w:color="auto"/>
              <w:right w:val="single" w:sz="8" w:space="0" w:color="auto"/>
            </w:tcBorders>
            <w:shd w:val="clear" w:color="auto" w:fill="auto"/>
            <w:noWrap/>
            <w:vAlign w:val="center"/>
          </w:tcPr>
          <w:p w14:paraId="2DC9A404" w14:textId="77777777" w:rsidR="006D7181" w:rsidRDefault="006D7181" w:rsidP="00D011EC">
            <w:pPr>
              <w:jc w:val="right"/>
            </w:pPr>
            <w:r w:rsidRPr="00AB6936">
              <w:t xml:space="preserve"> 15.269,21 € </w:t>
            </w:r>
          </w:p>
        </w:tc>
      </w:tr>
      <w:tr w:rsidR="006D7181" w:rsidRPr="00FB687F" w14:paraId="0364F195" w14:textId="77777777" w:rsidTr="00D011EC">
        <w:trPr>
          <w:trHeight w:val="423"/>
        </w:trPr>
        <w:tc>
          <w:tcPr>
            <w:tcW w:w="666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B169E0F" w14:textId="77777777" w:rsidR="006D7181" w:rsidRPr="00DC14A0" w:rsidRDefault="006D7181" w:rsidP="00D011EC">
            <w:pPr>
              <w:jc w:val="right"/>
              <w:rPr>
                <w:rFonts w:cs="Arial"/>
                <w:b/>
                <w:color w:val="000000"/>
              </w:rPr>
            </w:pPr>
            <w:r w:rsidRPr="00DC14A0">
              <w:rPr>
                <w:rFonts w:cs="Arial"/>
                <w:b/>
                <w:color w:val="000000"/>
              </w:rPr>
              <w:t>Total suma costos directes</w:t>
            </w:r>
          </w:p>
        </w:tc>
        <w:tc>
          <w:tcPr>
            <w:tcW w:w="2056" w:type="dxa"/>
            <w:tcBorders>
              <w:top w:val="single" w:sz="8" w:space="0" w:color="auto"/>
              <w:left w:val="nil"/>
              <w:bottom w:val="single" w:sz="8" w:space="0" w:color="auto"/>
              <w:right w:val="single" w:sz="8" w:space="0" w:color="auto"/>
            </w:tcBorders>
            <w:shd w:val="pct12" w:color="000000" w:fill="auto"/>
            <w:noWrap/>
            <w:vAlign w:val="center"/>
          </w:tcPr>
          <w:p w14:paraId="4DBA6942" w14:textId="77777777" w:rsidR="006D7181" w:rsidRPr="004E4AA5" w:rsidRDefault="006D7181" w:rsidP="00D011EC">
            <w:pPr>
              <w:jc w:val="right"/>
              <w:rPr>
                <w:rFonts w:cs="Arial"/>
                <w:b/>
                <w:color w:val="000000"/>
              </w:rPr>
            </w:pPr>
            <w:r>
              <w:rPr>
                <w:rFonts w:cs="Arial"/>
                <w:b/>
                <w:color w:val="000000"/>
              </w:rPr>
              <w:t>26.145,91</w:t>
            </w:r>
            <w:r w:rsidRPr="004E4AA5">
              <w:rPr>
                <w:rFonts w:cs="Arial"/>
                <w:b/>
                <w:color w:val="000000"/>
              </w:rPr>
              <w:t xml:space="preserve"> €</w:t>
            </w:r>
          </w:p>
        </w:tc>
      </w:tr>
      <w:tr w:rsidR="006D7181" w:rsidRPr="00DC14A0" w14:paraId="269D6C6F" w14:textId="77777777" w:rsidTr="00D011EC">
        <w:trPr>
          <w:trHeight w:val="376"/>
        </w:trPr>
        <w:tc>
          <w:tcPr>
            <w:tcW w:w="871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94841F" w14:textId="77777777" w:rsidR="006D7181" w:rsidRPr="004E4AA5" w:rsidRDefault="006D7181" w:rsidP="00D011EC">
            <w:pPr>
              <w:rPr>
                <w:rFonts w:cs="Arial"/>
                <w:b/>
                <w:bCs/>
                <w:color w:val="000000"/>
              </w:rPr>
            </w:pPr>
            <w:r w:rsidRPr="004E4AA5">
              <w:rPr>
                <w:rFonts w:cs="Arial"/>
                <w:b/>
                <w:bCs/>
                <w:color w:val="000000"/>
              </w:rPr>
              <w:t xml:space="preserve">b) Costos indirectes </w:t>
            </w:r>
          </w:p>
        </w:tc>
      </w:tr>
      <w:tr w:rsidR="006D7181" w:rsidRPr="00DC14A0" w14:paraId="0A12E911" w14:textId="77777777" w:rsidTr="00D011EC">
        <w:trPr>
          <w:trHeight w:val="406"/>
        </w:trPr>
        <w:tc>
          <w:tcPr>
            <w:tcW w:w="666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055A9A2" w14:textId="77777777" w:rsidR="006D7181" w:rsidRPr="00DC14A0" w:rsidRDefault="006D7181" w:rsidP="00D011EC">
            <w:pPr>
              <w:rPr>
                <w:rFonts w:cs="Arial"/>
                <w:color w:val="000000"/>
              </w:rPr>
            </w:pPr>
            <w:r w:rsidRPr="00DC14A0">
              <w:rPr>
                <w:rFonts w:cs="Arial"/>
                <w:color w:val="000000"/>
              </w:rPr>
              <w:t>Despeses generals d'estructura</w:t>
            </w:r>
            <w:r>
              <w:rPr>
                <w:rFonts w:cs="Arial"/>
                <w:color w:val="000000"/>
              </w:rPr>
              <w:t xml:space="preserve"> (inclou el 1</w:t>
            </w:r>
            <w:r w:rsidRPr="00DC14A0">
              <w:rPr>
                <w:rFonts w:cs="Arial"/>
                <w:color w:val="000000"/>
              </w:rPr>
              <w:t>0% de costos salarials)</w:t>
            </w:r>
          </w:p>
        </w:tc>
        <w:tc>
          <w:tcPr>
            <w:tcW w:w="2056" w:type="dxa"/>
            <w:tcBorders>
              <w:top w:val="single" w:sz="8" w:space="0" w:color="auto"/>
              <w:left w:val="nil"/>
              <w:bottom w:val="single" w:sz="8" w:space="0" w:color="auto"/>
              <w:right w:val="single" w:sz="8" w:space="0" w:color="auto"/>
            </w:tcBorders>
            <w:shd w:val="clear" w:color="auto" w:fill="auto"/>
            <w:noWrap/>
            <w:vAlign w:val="center"/>
          </w:tcPr>
          <w:p w14:paraId="71594E04" w14:textId="77777777" w:rsidR="006D7181" w:rsidRPr="004E4AA5" w:rsidRDefault="006D7181" w:rsidP="00D011EC">
            <w:pPr>
              <w:jc w:val="right"/>
              <w:rPr>
                <w:rFonts w:cs="Arial"/>
                <w:color w:val="000000"/>
              </w:rPr>
            </w:pPr>
            <w:r>
              <w:rPr>
                <w:rFonts w:cs="Arial"/>
                <w:color w:val="000000"/>
              </w:rPr>
              <w:t>12.282,47 €</w:t>
            </w:r>
          </w:p>
        </w:tc>
      </w:tr>
      <w:tr w:rsidR="006D7181" w:rsidRPr="00DC14A0" w14:paraId="3C196CF0" w14:textId="77777777" w:rsidTr="00D011EC">
        <w:trPr>
          <w:trHeight w:val="411"/>
        </w:trPr>
        <w:tc>
          <w:tcPr>
            <w:tcW w:w="666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283EB8C" w14:textId="77777777" w:rsidR="006D7181" w:rsidRPr="00DC14A0" w:rsidRDefault="006D7181" w:rsidP="00D011EC">
            <w:pPr>
              <w:rPr>
                <w:rFonts w:cs="Arial"/>
                <w:color w:val="000000"/>
              </w:rPr>
            </w:pPr>
            <w:r w:rsidRPr="00DC14A0">
              <w:rPr>
                <w:rFonts w:cs="Arial"/>
                <w:color w:val="000000"/>
              </w:rPr>
              <w:t>Despeses financeres</w:t>
            </w:r>
          </w:p>
        </w:tc>
        <w:tc>
          <w:tcPr>
            <w:tcW w:w="2056" w:type="dxa"/>
            <w:tcBorders>
              <w:top w:val="single" w:sz="8" w:space="0" w:color="auto"/>
              <w:left w:val="single" w:sz="4" w:space="0" w:color="auto"/>
              <w:bottom w:val="single" w:sz="8" w:space="0" w:color="auto"/>
              <w:right w:val="single" w:sz="8" w:space="0" w:color="auto"/>
            </w:tcBorders>
            <w:shd w:val="clear" w:color="auto" w:fill="auto"/>
            <w:noWrap/>
            <w:vAlign w:val="center"/>
          </w:tcPr>
          <w:p w14:paraId="69F02071" w14:textId="77777777" w:rsidR="006D7181" w:rsidRPr="004E4AA5" w:rsidRDefault="006D7181" w:rsidP="00D011EC">
            <w:pPr>
              <w:jc w:val="right"/>
              <w:rPr>
                <w:rFonts w:cs="Arial"/>
                <w:color w:val="000000"/>
              </w:rPr>
            </w:pPr>
            <w:r>
              <w:rPr>
                <w:rFonts w:cs="Arial"/>
                <w:color w:val="000000"/>
              </w:rPr>
              <w:t>195,44 €</w:t>
            </w:r>
          </w:p>
        </w:tc>
      </w:tr>
      <w:tr w:rsidR="006D7181" w:rsidRPr="00DC14A0" w14:paraId="32A35301" w14:textId="77777777" w:rsidTr="00D011EC">
        <w:trPr>
          <w:trHeight w:val="417"/>
        </w:trPr>
        <w:tc>
          <w:tcPr>
            <w:tcW w:w="6663"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674FD84" w14:textId="77777777" w:rsidR="006D7181" w:rsidRPr="00DC14A0" w:rsidRDefault="006D7181" w:rsidP="00D011EC">
            <w:pPr>
              <w:rPr>
                <w:rFonts w:cs="Arial"/>
                <w:color w:val="000000"/>
              </w:rPr>
            </w:pPr>
            <w:r w:rsidRPr="00DC14A0">
              <w:rPr>
                <w:rFonts w:cs="Arial"/>
                <w:color w:val="000000"/>
              </w:rPr>
              <w:t>Benefici industrial</w:t>
            </w:r>
          </w:p>
        </w:tc>
        <w:tc>
          <w:tcPr>
            <w:tcW w:w="2056" w:type="dxa"/>
            <w:tcBorders>
              <w:top w:val="single" w:sz="8" w:space="0" w:color="auto"/>
              <w:left w:val="nil"/>
              <w:bottom w:val="single" w:sz="8" w:space="0" w:color="auto"/>
              <w:right w:val="single" w:sz="8" w:space="0" w:color="auto"/>
            </w:tcBorders>
            <w:shd w:val="clear" w:color="auto" w:fill="auto"/>
            <w:noWrap/>
            <w:vAlign w:val="center"/>
          </w:tcPr>
          <w:p w14:paraId="412E91FC" w14:textId="77777777" w:rsidR="006D7181" w:rsidRPr="004E4AA5" w:rsidRDefault="006D7181" w:rsidP="00D011EC">
            <w:pPr>
              <w:jc w:val="right"/>
              <w:rPr>
                <w:rFonts w:cs="Arial"/>
                <w:color w:val="000000"/>
              </w:rPr>
            </w:pPr>
            <w:r>
              <w:rPr>
                <w:rFonts w:cs="Arial"/>
                <w:color w:val="000000"/>
              </w:rPr>
              <w:t>1.446,54 €</w:t>
            </w:r>
          </w:p>
        </w:tc>
      </w:tr>
      <w:tr w:rsidR="006D7181" w:rsidRPr="00DC14A0" w14:paraId="545C0EDA" w14:textId="77777777" w:rsidTr="00D011EC">
        <w:trPr>
          <w:trHeight w:val="417"/>
        </w:trPr>
        <w:tc>
          <w:tcPr>
            <w:tcW w:w="6663"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EB41AC4" w14:textId="77777777" w:rsidR="006D7181" w:rsidRPr="00DC14A0" w:rsidRDefault="006D7181" w:rsidP="00D011EC">
            <w:pPr>
              <w:jc w:val="right"/>
              <w:rPr>
                <w:rFonts w:cs="Arial"/>
                <w:color w:val="000000"/>
              </w:rPr>
            </w:pPr>
            <w:r w:rsidRPr="00DC14A0">
              <w:rPr>
                <w:rFonts w:cs="Arial"/>
                <w:b/>
                <w:color w:val="000000"/>
              </w:rPr>
              <w:t>Total suma costos indirectes</w:t>
            </w:r>
          </w:p>
        </w:tc>
        <w:tc>
          <w:tcPr>
            <w:tcW w:w="2056" w:type="dxa"/>
            <w:tcBorders>
              <w:top w:val="single" w:sz="8" w:space="0" w:color="auto"/>
              <w:left w:val="nil"/>
              <w:bottom w:val="single" w:sz="8" w:space="0" w:color="auto"/>
              <w:right w:val="single" w:sz="8" w:space="0" w:color="auto"/>
            </w:tcBorders>
            <w:shd w:val="clear" w:color="auto" w:fill="D9D9D9"/>
            <w:noWrap/>
            <w:vAlign w:val="center"/>
          </w:tcPr>
          <w:p w14:paraId="1E739D08" w14:textId="77777777" w:rsidR="006D7181" w:rsidRPr="00AC57C2" w:rsidRDefault="006D7181" w:rsidP="00D011EC">
            <w:pPr>
              <w:jc w:val="right"/>
              <w:rPr>
                <w:rFonts w:cs="Arial"/>
                <w:b/>
                <w:color w:val="000000"/>
              </w:rPr>
            </w:pPr>
            <w:r>
              <w:rPr>
                <w:rFonts w:cs="Arial"/>
                <w:b/>
                <w:color w:val="000000"/>
              </w:rPr>
              <w:t>13.924,45</w:t>
            </w:r>
            <w:r w:rsidRPr="00AC57C2">
              <w:rPr>
                <w:rFonts w:cs="Arial"/>
                <w:b/>
                <w:color w:val="000000"/>
              </w:rPr>
              <w:t xml:space="preserve"> €</w:t>
            </w:r>
          </w:p>
        </w:tc>
      </w:tr>
      <w:tr w:rsidR="006D7181" w:rsidRPr="00DC14A0" w14:paraId="1DF70DAE" w14:textId="77777777" w:rsidTr="00D011EC">
        <w:trPr>
          <w:trHeight w:val="75"/>
        </w:trPr>
        <w:tc>
          <w:tcPr>
            <w:tcW w:w="6663" w:type="dxa"/>
            <w:tcBorders>
              <w:top w:val="single" w:sz="8" w:space="0" w:color="auto"/>
              <w:left w:val="single" w:sz="8" w:space="0" w:color="auto"/>
              <w:bottom w:val="single" w:sz="8" w:space="0" w:color="auto"/>
              <w:right w:val="nil"/>
            </w:tcBorders>
            <w:shd w:val="clear" w:color="auto" w:fill="auto"/>
            <w:noWrap/>
            <w:vAlign w:val="center"/>
            <w:hideMark/>
          </w:tcPr>
          <w:p w14:paraId="6AB29DF4" w14:textId="77777777" w:rsidR="006D7181" w:rsidRPr="00DC14A0" w:rsidRDefault="006D7181" w:rsidP="00D011EC">
            <w:pPr>
              <w:jc w:val="right"/>
              <w:rPr>
                <w:rFonts w:cs="Arial"/>
                <w:color w:val="000000"/>
              </w:rPr>
            </w:pPr>
          </w:p>
        </w:tc>
        <w:tc>
          <w:tcPr>
            <w:tcW w:w="2056" w:type="dxa"/>
            <w:tcBorders>
              <w:top w:val="single" w:sz="8" w:space="0" w:color="auto"/>
              <w:left w:val="nil"/>
              <w:bottom w:val="single" w:sz="8" w:space="0" w:color="auto"/>
              <w:right w:val="single" w:sz="8" w:space="0" w:color="auto"/>
            </w:tcBorders>
            <w:shd w:val="clear" w:color="auto" w:fill="auto"/>
            <w:noWrap/>
            <w:vAlign w:val="center"/>
          </w:tcPr>
          <w:p w14:paraId="616294E5" w14:textId="77777777" w:rsidR="006D7181" w:rsidRPr="004E4AA5" w:rsidRDefault="006D7181" w:rsidP="00D011EC">
            <w:pPr>
              <w:rPr>
                <w:rFonts w:cs="Arial"/>
              </w:rPr>
            </w:pPr>
          </w:p>
        </w:tc>
      </w:tr>
      <w:tr w:rsidR="006D7181" w:rsidRPr="00DC14A0" w14:paraId="7F4249AF" w14:textId="77777777" w:rsidTr="00D011EC">
        <w:trPr>
          <w:trHeight w:val="395"/>
        </w:trPr>
        <w:tc>
          <w:tcPr>
            <w:tcW w:w="666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9D482AF" w14:textId="77777777" w:rsidR="006D7181" w:rsidRPr="00DC14A0" w:rsidRDefault="006D7181" w:rsidP="00D011EC">
            <w:pPr>
              <w:jc w:val="center"/>
              <w:rPr>
                <w:rFonts w:cs="Arial"/>
                <w:b/>
                <w:bCs/>
                <w:color w:val="000000"/>
              </w:rPr>
            </w:pPr>
            <w:r w:rsidRPr="00DC14A0">
              <w:rPr>
                <w:rFonts w:cs="Arial"/>
                <w:b/>
                <w:bCs/>
                <w:color w:val="000000"/>
              </w:rPr>
              <w:t>TOTAL PRESSUPOST BASE (costos directes + costos indirectes)</w:t>
            </w:r>
          </w:p>
        </w:tc>
        <w:tc>
          <w:tcPr>
            <w:tcW w:w="2056" w:type="dxa"/>
            <w:tcBorders>
              <w:top w:val="single" w:sz="8" w:space="0" w:color="auto"/>
              <w:left w:val="single" w:sz="4" w:space="0" w:color="auto"/>
              <w:bottom w:val="single" w:sz="8" w:space="0" w:color="auto"/>
              <w:right w:val="single" w:sz="8" w:space="0" w:color="auto"/>
            </w:tcBorders>
            <w:shd w:val="pct12" w:color="000000" w:fill="auto"/>
            <w:vAlign w:val="center"/>
          </w:tcPr>
          <w:p w14:paraId="58A64F6F" w14:textId="77777777" w:rsidR="006D7181" w:rsidRPr="004E4AA5" w:rsidRDefault="006D7181" w:rsidP="00D011EC">
            <w:pPr>
              <w:jc w:val="right"/>
              <w:rPr>
                <w:rFonts w:cs="Arial"/>
                <w:b/>
                <w:color w:val="000000"/>
              </w:rPr>
            </w:pPr>
            <w:r>
              <w:rPr>
                <w:rFonts w:cs="Arial"/>
                <w:b/>
                <w:color w:val="000000"/>
              </w:rPr>
              <w:t>40.070,36 €</w:t>
            </w:r>
          </w:p>
        </w:tc>
      </w:tr>
    </w:tbl>
    <w:p w14:paraId="2D11C226" w14:textId="77777777" w:rsidR="006D7181" w:rsidRDefault="006D7181" w:rsidP="006D7181">
      <w:pPr>
        <w:rPr>
          <w:rFonts w:cs="Arial"/>
        </w:rPr>
      </w:pPr>
    </w:p>
    <w:p w14:paraId="1D520426" w14:textId="77777777" w:rsidR="006D7181" w:rsidRPr="00FF49ED" w:rsidRDefault="006D7181" w:rsidP="006D7181">
      <w:pPr>
        <w:rPr>
          <w:rFonts w:cs="Arial"/>
        </w:rPr>
      </w:pPr>
      <w:r>
        <w:rPr>
          <w:rFonts w:cs="Arial"/>
        </w:rPr>
        <w:t xml:space="preserve">Per a la determinació del preu del contracte </w:t>
      </w:r>
      <w:r w:rsidRPr="00DC14A0">
        <w:rPr>
          <w:rFonts w:cs="Arial"/>
        </w:rPr>
        <w:t>s’ha tingut en compte el desglossament de costos conforme a l’article 100.2. de la LCSP, estimant els costos directes i indirectes de la contractació tenint en compte els informes de la base de dades de Ràtios Sectorials de les societats no financeres que la Central de Balances del Banco de España posa a disposició dels usuaris, permetent situar a l’empresa al sector d’activitat en el que es troba.</w:t>
      </w:r>
    </w:p>
    <w:p w14:paraId="6E75DF32" w14:textId="77777777" w:rsidR="006D7181" w:rsidRDefault="006D7181" w:rsidP="006D7181">
      <w:pPr>
        <w:spacing w:after="120" w:line="280" w:lineRule="atLeast"/>
        <w:rPr>
          <w:rFonts w:cs="Arial"/>
        </w:rPr>
      </w:pPr>
      <w:r>
        <w:rPr>
          <w:rFonts w:cs="Arial"/>
        </w:rPr>
        <w:t>En aquest cas</w:t>
      </w:r>
      <w:r w:rsidRPr="00DC14A0">
        <w:rPr>
          <w:rFonts w:cs="Arial"/>
        </w:rPr>
        <w:t xml:space="preserve">, </w:t>
      </w:r>
      <w:r>
        <w:rPr>
          <w:rFonts w:cs="Arial"/>
        </w:rPr>
        <w:t xml:space="preserve">l’empresa distribuïdora estaria inclosa en el sector d’activitat CNAE    </w:t>
      </w:r>
      <w:r w:rsidRPr="00BD316A">
        <w:rPr>
          <w:rFonts w:cs="Arial"/>
        </w:rPr>
        <w:t>5320. Otras activ</w:t>
      </w:r>
      <w:r>
        <w:rPr>
          <w:rFonts w:cs="Arial"/>
        </w:rPr>
        <w:t xml:space="preserve">idades postales y de mensajería. A la web del Banco de España </w:t>
      </w:r>
      <w:hyperlink r:id="rId8" w:history="1">
        <w:r w:rsidRPr="00DC14A0">
          <w:rPr>
            <w:rStyle w:val="Hipervnculo"/>
            <w:rFonts w:cs="Arial"/>
          </w:rPr>
          <w:t>http://app.bde.es/rss_www/Ratios</w:t>
        </w:r>
      </w:hyperlink>
      <w:r>
        <w:rPr>
          <w:rFonts w:cs="Arial"/>
        </w:rPr>
        <w:t xml:space="preserve"> l’epígraf que contindria les empreses del sector del present estudi correspondria amb el codi </w:t>
      </w:r>
      <w:r w:rsidRPr="00FE5029">
        <w:rPr>
          <w:rFonts w:cs="Arial"/>
        </w:rPr>
        <w:t>“</w:t>
      </w:r>
      <w:r w:rsidRPr="00BD316A">
        <w:rPr>
          <w:rFonts w:cs="Arial"/>
          <w:i/>
        </w:rPr>
        <w:t>H532 Otras actividades postales y de correos</w:t>
      </w:r>
      <w:r>
        <w:rPr>
          <w:rFonts w:cs="Arial"/>
          <w:i/>
        </w:rPr>
        <w:t>”.</w:t>
      </w:r>
    </w:p>
    <w:p w14:paraId="3B00869D" w14:textId="77777777" w:rsidR="006D7181" w:rsidRDefault="006D7181" w:rsidP="006D7181">
      <w:pPr>
        <w:spacing w:after="120" w:line="280" w:lineRule="atLeast"/>
        <w:rPr>
          <w:rFonts w:cs="Arial"/>
          <w:b/>
        </w:rPr>
      </w:pPr>
      <w:r w:rsidRPr="00BD316A">
        <w:rPr>
          <w:noProof/>
          <w:lang w:eastAsia="ca-ES"/>
        </w:rPr>
        <w:lastRenderedPageBreak/>
        <w:drawing>
          <wp:inline distT="0" distB="0" distL="0" distR="0" wp14:anchorId="1E9B5718" wp14:editId="4868ED1D">
            <wp:extent cx="5615940" cy="850979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5940" cy="8509794"/>
                    </a:xfrm>
                    <a:prstGeom prst="rect">
                      <a:avLst/>
                    </a:prstGeom>
                    <a:noFill/>
                    <a:ln>
                      <a:noFill/>
                    </a:ln>
                  </pic:spPr>
                </pic:pic>
              </a:graphicData>
            </a:graphic>
          </wp:inline>
        </w:drawing>
      </w:r>
    </w:p>
    <w:p w14:paraId="1E38FBD8" w14:textId="77777777" w:rsidR="006D7181" w:rsidRDefault="006D7181" w:rsidP="006D7181">
      <w:pPr>
        <w:spacing w:after="120" w:line="280" w:lineRule="atLeast"/>
        <w:rPr>
          <w:rFonts w:cs="Arial"/>
          <w:b/>
        </w:rPr>
      </w:pPr>
    </w:p>
    <w:p w14:paraId="0B2259E6" w14:textId="77777777" w:rsidR="006D7181" w:rsidRDefault="006D7181" w:rsidP="006D7181">
      <w:pPr>
        <w:rPr>
          <w:rFonts w:cs="Arial"/>
        </w:rPr>
      </w:pPr>
    </w:p>
    <w:p w14:paraId="3FDF8A85" w14:textId="77777777" w:rsidR="006D7181" w:rsidRPr="00DC14A0" w:rsidRDefault="006D7181" w:rsidP="006D7181">
      <w:pPr>
        <w:rPr>
          <w:rFonts w:cs="Arial"/>
        </w:rPr>
      </w:pPr>
      <w:r w:rsidRPr="00DC14A0">
        <w:rPr>
          <w:rFonts w:cs="Arial"/>
        </w:rPr>
        <w:t xml:space="preserve">En base a aquestes ràtios, podem desagregar els costos del </w:t>
      </w:r>
      <w:r>
        <w:rPr>
          <w:rFonts w:cs="Arial"/>
        </w:rPr>
        <w:t xml:space="preserve">servei </w:t>
      </w:r>
      <w:r w:rsidRPr="00DC14A0">
        <w:rPr>
          <w:rFonts w:cs="Arial"/>
        </w:rPr>
        <w:t xml:space="preserve">establint la hipòtesis sobre la intensitat en l’ús de la mà </w:t>
      </w:r>
      <w:r>
        <w:rPr>
          <w:rFonts w:cs="Arial"/>
        </w:rPr>
        <w:t>d’obra directa i indirecta (el 8</w:t>
      </w:r>
      <w:r w:rsidRPr="00DC14A0">
        <w:rPr>
          <w:rFonts w:cs="Arial"/>
        </w:rPr>
        <w:t>0% de despesa de personal és directe pel tipus d’activitat i la resta de la despesa de personal correspondria a personal indirecte).</w:t>
      </w:r>
    </w:p>
    <w:p w14:paraId="7DD1F278" w14:textId="77777777" w:rsidR="006D7181" w:rsidRDefault="006D7181" w:rsidP="006D7181">
      <w:pPr>
        <w:spacing w:after="120" w:line="280" w:lineRule="atLeast"/>
        <w:rPr>
          <w:rFonts w:cs="Arial"/>
          <w:b/>
        </w:rPr>
      </w:pPr>
      <w:r>
        <w:rPr>
          <w:rFonts w:cs="Arial"/>
        </w:rPr>
        <w:t>S’ha considerat el següent desglossament de costos en la determinació del pressupost del contracte:</w:t>
      </w:r>
    </w:p>
    <w:tbl>
      <w:tblPr>
        <w:tblW w:w="8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firstRow="1" w:lastRow="0" w:firstColumn="1" w:lastColumn="0" w:noHBand="0" w:noVBand="1"/>
      </w:tblPr>
      <w:tblGrid>
        <w:gridCol w:w="7361"/>
        <w:gridCol w:w="1418"/>
      </w:tblGrid>
      <w:tr w:rsidR="006D7181" w:rsidRPr="00FF49ED" w14:paraId="1747B4D6" w14:textId="77777777" w:rsidTr="00D011EC">
        <w:trPr>
          <w:trHeight w:val="315"/>
        </w:trPr>
        <w:tc>
          <w:tcPr>
            <w:tcW w:w="7361" w:type="dxa"/>
            <w:shd w:val="clear" w:color="auto" w:fill="auto"/>
            <w:noWrap/>
            <w:vAlign w:val="center"/>
            <w:hideMark/>
          </w:tcPr>
          <w:p w14:paraId="7A4FE3D8" w14:textId="77777777" w:rsidR="006D7181" w:rsidRPr="00FF49ED" w:rsidRDefault="006D7181" w:rsidP="00D011EC">
            <w:pPr>
              <w:jc w:val="left"/>
              <w:rPr>
                <w:rFonts w:cs="Arial"/>
                <w:b/>
                <w:bCs/>
                <w:color w:val="000000"/>
                <w:szCs w:val="22"/>
                <w:lang w:eastAsia="ca-ES"/>
              </w:rPr>
            </w:pPr>
            <w:r w:rsidRPr="00FF49ED">
              <w:rPr>
                <w:rFonts w:cs="Arial"/>
                <w:b/>
                <w:bCs/>
                <w:color w:val="000000"/>
                <w:szCs w:val="22"/>
                <w:lang w:eastAsia="ca-ES"/>
              </w:rPr>
              <w:t>Valor de la producció</w:t>
            </w:r>
          </w:p>
        </w:tc>
        <w:tc>
          <w:tcPr>
            <w:tcW w:w="1418" w:type="dxa"/>
            <w:shd w:val="clear" w:color="auto" w:fill="auto"/>
            <w:noWrap/>
            <w:hideMark/>
          </w:tcPr>
          <w:p w14:paraId="65E4D837" w14:textId="77777777" w:rsidR="006D7181" w:rsidRPr="004A4BE2" w:rsidRDefault="006D7181" w:rsidP="00D011EC">
            <w:pPr>
              <w:jc w:val="right"/>
            </w:pPr>
            <w:r w:rsidRPr="004A4BE2">
              <w:t>100,00</w:t>
            </w:r>
          </w:p>
        </w:tc>
      </w:tr>
      <w:tr w:rsidR="006D7181" w:rsidRPr="00FF49ED" w14:paraId="7247DEDE" w14:textId="77777777" w:rsidTr="00D011EC">
        <w:trPr>
          <w:trHeight w:val="315"/>
        </w:trPr>
        <w:tc>
          <w:tcPr>
            <w:tcW w:w="7361" w:type="dxa"/>
            <w:shd w:val="clear" w:color="auto" w:fill="auto"/>
            <w:noWrap/>
            <w:vAlign w:val="center"/>
            <w:hideMark/>
          </w:tcPr>
          <w:p w14:paraId="34F13D13" w14:textId="77777777" w:rsidR="006D7181" w:rsidRPr="00FF49ED" w:rsidRDefault="006D7181" w:rsidP="00D011EC">
            <w:pPr>
              <w:jc w:val="left"/>
              <w:rPr>
                <w:rFonts w:cs="Arial"/>
                <w:b/>
                <w:bCs/>
                <w:color w:val="000000"/>
                <w:szCs w:val="22"/>
                <w:lang w:eastAsia="ca-ES"/>
              </w:rPr>
            </w:pPr>
            <w:r w:rsidRPr="00FF49ED">
              <w:rPr>
                <w:rFonts w:cs="Arial"/>
                <w:b/>
                <w:bCs/>
                <w:color w:val="000000"/>
                <w:szCs w:val="22"/>
                <w:lang w:eastAsia="ca-ES"/>
              </w:rPr>
              <w:t xml:space="preserve">a) Costos directes </w:t>
            </w:r>
          </w:p>
        </w:tc>
        <w:tc>
          <w:tcPr>
            <w:tcW w:w="1418" w:type="dxa"/>
            <w:shd w:val="clear" w:color="auto" w:fill="auto"/>
            <w:noWrap/>
            <w:hideMark/>
          </w:tcPr>
          <w:p w14:paraId="25C0D8BF" w14:textId="77777777" w:rsidR="006D7181" w:rsidRPr="00575E2E" w:rsidRDefault="006D7181" w:rsidP="00D011EC">
            <w:pPr>
              <w:jc w:val="right"/>
              <w:rPr>
                <w:b/>
              </w:rPr>
            </w:pPr>
            <w:r w:rsidRPr="00575E2E">
              <w:rPr>
                <w:b/>
              </w:rPr>
              <w:t>65,25</w:t>
            </w:r>
          </w:p>
        </w:tc>
      </w:tr>
      <w:tr w:rsidR="006D7181" w:rsidRPr="00FF49ED" w14:paraId="28D25FED" w14:textId="77777777" w:rsidTr="00D011EC">
        <w:trPr>
          <w:trHeight w:val="300"/>
        </w:trPr>
        <w:tc>
          <w:tcPr>
            <w:tcW w:w="7361" w:type="dxa"/>
            <w:shd w:val="clear" w:color="auto" w:fill="auto"/>
            <w:noWrap/>
            <w:vAlign w:val="center"/>
            <w:hideMark/>
          </w:tcPr>
          <w:p w14:paraId="4A3DCF6D" w14:textId="77777777" w:rsidR="006D7181" w:rsidRPr="00FF49ED" w:rsidRDefault="006D7181" w:rsidP="00D011EC">
            <w:pPr>
              <w:jc w:val="left"/>
              <w:rPr>
                <w:rFonts w:cs="Arial"/>
                <w:color w:val="000000"/>
                <w:szCs w:val="22"/>
                <w:lang w:eastAsia="ca-ES"/>
              </w:rPr>
            </w:pPr>
            <w:r>
              <w:rPr>
                <w:rFonts w:cs="Arial"/>
                <w:color w:val="000000"/>
                <w:szCs w:val="22"/>
                <w:lang w:eastAsia="ca-ES"/>
              </w:rPr>
              <w:t>Mà d’obra directa (inclou el 9</w:t>
            </w:r>
            <w:r w:rsidRPr="00FF49ED">
              <w:rPr>
                <w:rFonts w:cs="Arial"/>
                <w:color w:val="000000"/>
                <w:szCs w:val="22"/>
                <w:lang w:eastAsia="ca-ES"/>
              </w:rPr>
              <w:t>0% de costos salarials)</w:t>
            </w:r>
          </w:p>
        </w:tc>
        <w:tc>
          <w:tcPr>
            <w:tcW w:w="1418" w:type="dxa"/>
            <w:shd w:val="clear" w:color="auto" w:fill="auto"/>
            <w:noWrap/>
            <w:hideMark/>
          </w:tcPr>
          <w:p w14:paraId="404B6E47" w14:textId="77777777" w:rsidR="006D7181" w:rsidRPr="004A4BE2" w:rsidRDefault="006D7181" w:rsidP="00D011EC">
            <w:pPr>
              <w:jc w:val="right"/>
            </w:pPr>
            <w:r w:rsidRPr="004A4BE2">
              <w:t>27,14</w:t>
            </w:r>
          </w:p>
        </w:tc>
      </w:tr>
      <w:tr w:rsidR="006D7181" w:rsidRPr="00FF49ED" w14:paraId="0FBFA871" w14:textId="77777777" w:rsidTr="00D011EC">
        <w:trPr>
          <w:trHeight w:val="300"/>
        </w:trPr>
        <w:tc>
          <w:tcPr>
            <w:tcW w:w="7361" w:type="dxa"/>
            <w:shd w:val="clear" w:color="auto" w:fill="auto"/>
            <w:noWrap/>
            <w:vAlign w:val="center"/>
            <w:hideMark/>
          </w:tcPr>
          <w:p w14:paraId="29B6E18A" w14:textId="77777777" w:rsidR="006D7181" w:rsidRPr="00FF49ED" w:rsidRDefault="006D7181" w:rsidP="00D011EC">
            <w:pPr>
              <w:jc w:val="left"/>
              <w:rPr>
                <w:rFonts w:cs="Arial"/>
                <w:color w:val="000000"/>
                <w:szCs w:val="22"/>
                <w:lang w:eastAsia="ca-ES"/>
              </w:rPr>
            </w:pPr>
            <w:r w:rsidRPr="00FF49ED">
              <w:rPr>
                <w:rFonts w:cs="Arial"/>
                <w:color w:val="000000"/>
                <w:szCs w:val="22"/>
                <w:lang w:eastAsia="ca-ES"/>
              </w:rPr>
              <w:t xml:space="preserve">Costos directes de </w:t>
            </w:r>
            <w:r>
              <w:rPr>
                <w:rFonts w:cs="Arial"/>
                <w:color w:val="000000"/>
                <w:szCs w:val="22"/>
                <w:lang w:eastAsia="ca-ES"/>
              </w:rPr>
              <w:t>distribució</w:t>
            </w:r>
          </w:p>
        </w:tc>
        <w:tc>
          <w:tcPr>
            <w:tcW w:w="1418" w:type="dxa"/>
            <w:shd w:val="clear" w:color="auto" w:fill="auto"/>
            <w:noWrap/>
            <w:hideMark/>
          </w:tcPr>
          <w:p w14:paraId="67F727D3" w14:textId="77777777" w:rsidR="006D7181" w:rsidRPr="004A4BE2" w:rsidRDefault="006D7181" w:rsidP="00D011EC">
            <w:pPr>
              <w:jc w:val="right"/>
            </w:pPr>
            <w:r w:rsidRPr="004A4BE2">
              <w:t>38,11</w:t>
            </w:r>
          </w:p>
        </w:tc>
      </w:tr>
      <w:tr w:rsidR="006D7181" w:rsidRPr="00FF49ED" w14:paraId="5F2C8A71" w14:textId="77777777" w:rsidTr="00D011EC">
        <w:trPr>
          <w:trHeight w:val="315"/>
        </w:trPr>
        <w:tc>
          <w:tcPr>
            <w:tcW w:w="7361" w:type="dxa"/>
            <w:shd w:val="clear" w:color="auto" w:fill="auto"/>
            <w:noWrap/>
            <w:vAlign w:val="center"/>
            <w:hideMark/>
          </w:tcPr>
          <w:p w14:paraId="46ADA1E9" w14:textId="77777777" w:rsidR="006D7181" w:rsidRPr="00FF49ED" w:rsidRDefault="006D7181" w:rsidP="00D011EC">
            <w:pPr>
              <w:jc w:val="left"/>
              <w:rPr>
                <w:rFonts w:cs="Arial"/>
                <w:b/>
                <w:bCs/>
                <w:color w:val="000000"/>
                <w:szCs w:val="22"/>
                <w:lang w:eastAsia="ca-ES"/>
              </w:rPr>
            </w:pPr>
            <w:r w:rsidRPr="00FF49ED">
              <w:rPr>
                <w:rFonts w:cs="Arial"/>
                <w:b/>
                <w:bCs/>
                <w:color w:val="000000"/>
                <w:szCs w:val="22"/>
                <w:lang w:eastAsia="ca-ES"/>
              </w:rPr>
              <w:t xml:space="preserve">b) Costos indirectes </w:t>
            </w:r>
          </w:p>
        </w:tc>
        <w:tc>
          <w:tcPr>
            <w:tcW w:w="1418" w:type="dxa"/>
            <w:shd w:val="clear" w:color="auto" w:fill="auto"/>
            <w:noWrap/>
            <w:hideMark/>
          </w:tcPr>
          <w:p w14:paraId="0E293D97" w14:textId="77777777" w:rsidR="006D7181" w:rsidRPr="00575E2E" w:rsidRDefault="006D7181" w:rsidP="00D011EC">
            <w:pPr>
              <w:jc w:val="right"/>
              <w:rPr>
                <w:b/>
              </w:rPr>
            </w:pPr>
            <w:r w:rsidRPr="00575E2E">
              <w:rPr>
                <w:b/>
              </w:rPr>
              <w:t>34,75</w:t>
            </w:r>
          </w:p>
        </w:tc>
      </w:tr>
      <w:tr w:rsidR="006D7181" w:rsidRPr="00FF49ED" w14:paraId="7E2FE9BE" w14:textId="77777777" w:rsidTr="00D011EC">
        <w:trPr>
          <w:trHeight w:val="300"/>
        </w:trPr>
        <w:tc>
          <w:tcPr>
            <w:tcW w:w="7361" w:type="dxa"/>
            <w:shd w:val="clear" w:color="auto" w:fill="auto"/>
            <w:noWrap/>
            <w:vAlign w:val="center"/>
            <w:hideMark/>
          </w:tcPr>
          <w:p w14:paraId="4AC800EB" w14:textId="77777777" w:rsidR="006D7181" w:rsidRPr="00FF49ED" w:rsidRDefault="006D7181" w:rsidP="00D011EC">
            <w:pPr>
              <w:jc w:val="left"/>
              <w:rPr>
                <w:rFonts w:cs="Arial"/>
                <w:color w:val="000000"/>
                <w:szCs w:val="22"/>
                <w:lang w:eastAsia="ca-ES"/>
              </w:rPr>
            </w:pPr>
            <w:r w:rsidRPr="00FF49ED">
              <w:rPr>
                <w:rFonts w:cs="Arial"/>
                <w:color w:val="000000"/>
                <w:szCs w:val="22"/>
                <w:lang w:eastAsia="ca-ES"/>
              </w:rPr>
              <w:t>Despeses ge</w:t>
            </w:r>
            <w:r>
              <w:rPr>
                <w:rFonts w:cs="Arial"/>
                <w:color w:val="000000"/>
                <w:szCs w:val="22"/>
                <w:lang w:eastAsia="ca-ES"/>
              </w:rPr>
              <w:t>nerals d'estructura (inclou el 1</w:t>
            </w:r>
            <w:r w:rsidRPr="00FF49ED">
              <w:rPr>
                <w:rFonts w:cs="Arial"/>
                <w:color w:val="000000"/>
                <w:szCs w:val="22"/>
                <w:lang w:eastAsia="ca-ES"/>
              </w:rPr>
              <w:t>0% de costos salarials)</w:t>
            </w:r>
          </w:p>
        </w:tc>
        <w:tc>
          <w:tcPr>
            <w:tcW w:w="1418" w:type="dxa"/>
            <w:shd w:val="clear" w:color="auto" w:fill="auto"/>
            <w:noWrap/>
            <w:hideMark/>
          </w:tcPr>
          <w:p w14:paraId="75D8187A" w14:textId="77777777" w:rsidR="006D7181" w:rsidRPr="004A4BE2" w:rsidRDefault="006D7181" w:rsidP="00D011EC">
            <w:pPr>
              <w:jc w:val="right"/>
            </w:pPr>
            <w:r w:rsidRPr="004A4BE2">
              <w:t>30,65</w:t>
            </w:r>
          </w:p>
        </w:tc>
      </w:tr>
      <w:tr w:rsidR="006D7181" w:rsidRPr="00FF49ED" w14:paraId="07A1FA57" w14:textId="77777777" w:rsidTr="00D011EC">
        <w:trPr>
          <w:trHeight w:val="300"/>
        </w:trPr>
        <w:tc>
          <w:tcPr>
            <w:tcW w:w="7361" w:type="dxa"/>
            <w:shd w:val="clear" w:color="auto" w:fill="auto"/>
            <w:noWrap/>
            <w:vAlign w:val="center"/>
            <w:hideMark/>
          </w:tcPr>
          <w:p w14:paraId="0F270DBF" w14:textId="77777777" w:rsidR="006D7181" w:rsidRPr="00FF49ED" w:rsidRDefault="006D7181" w:rsidP="00D011EC">
            <w:pPr>
              <w:jc w:val="left"/>
              <w:rPr>
                <w:rFonts w:cs="Arial"/>
                <w:color w:val="000000"/>
                <w:szCs w:val="22"/>
                <w:lang w:eastAsia="ca-ES"/>
              </w:rPr>
            </w:pPr>
            <w:r w:rsidRPr="00FF49ED">
              <w:rPr>
                <w:rFonts w:cs="Arial"/>
                <w:color w:val="000000"/>
                <w:szCs w:val="22"/>
                <w:lang w:eastAsia="ca-ES"/>
              </w:rPr>
              <w:t>Despeses financeres</w:t>
            </w:r>
          </w:p>
        </w:tc>
        <w:tc>
          <w:tcPr>
            <w:tcW w:w="1418" w:type="dxa"/>
            <w:shd w:val="clear" w:color="auto" w:fill="auto"/>
            <w:noWrap/>
            <w:hideMark/>
          </w:tcPr>
          <w:p w14:paraId="68470544" w14:textId="77777777" w:rsidR="006D7181" w:rsidRPr="004A4BE2" w:rsidRDefault="006D7181" w:rsidP="00D011EC">
            <w:pPr>
              <w:jc w:val="right"/>
            </w:pPr>
            <w:r w:rsidRPr="004A4BE2">
              <w:t>0,49</w:t>
            </w:r>
          </w:p>
        </w:tc>
      </w:tr>
      <w:tr w:rsidR="006D7181" w:rsidRPr="00FF49ED" w14:paraId="32F0E0A7" w14:textId="77777777" w:rsidTr="00D011EC">
        <w:trPr>
          <w:trHeight w:val="300"/>
        </w:trPr>
        <w:tc>
          <w:tcPr>
            <w:tcW w:w="7361" w:type="dxa"/>
            <w:shd w:val="clear" w:color="auto" w:fill="auto"/>
            <w:noWrap/>
            <w:vAlign w:val="center"/>
            <w:hideMark/>
          </w:tcPr>
          <w:p w14:paraId="6C0DA003" w14:textId="77777777" w:rsidR="006D7181" w:rsidRPr="00FF49ED" w:rsidRDefault="006D7181" w:rsidP="00D011EC">
            <w:pPr>
              <w:jc w:val="left"/>
              <w:rPr>
                <w:rFonts w:cs="Arial"/>
                <w:color w:val="000000"/>
                <w:szCs w:val="22"/>
                <w:lang w:eastAsia="ca-ES"/>
              </w:rPr>
            </w:pPr>
            <w:r w:rsidRPr="00FF49ED">
              <w:rPr>
                <w:rFonts w:cs="Arial"/>
                <w:color w:val="000000"/>
                <w:szCs w:val="22"/>
                <w:lang w:eastAsia="ca-ES"/>
              </w:rPr>
              <w:t>Benefici industrial</w:t>
            </w:r>
          </w:p>
        </w:tc>
        <w:tc>
          <w:tcPr>
            <w:tcW w:w="1418" w:type="dxa"/>
            <w:shd w:val="clear" w:color="auto" w:fill="auto"/>
            <w:noWrap/>
            <w:hideMark/>
          </w:tcPr>
          <w:p w14:paraId="61C08D12" w14:textId="77777777" w:rsidR="006D7181" w:rsidRDefault="006D7181" w:rsidP="00D011EC">
            <w:pPr>
              <w:jc w:val="right"/>
            </w:pPr>
            <w:r w:rsidRPr="004A4BE2">
              <w:t>3,61</w:t>
            </w:r>
          </w:p>
        </w:tc>
      </w:tr>
    </w:tbl>
    <w:p w14:paraId="5DE73CD6" w14:textId="77777777" w:rsidR="006D7181" w:rsidRDefault="006D7181" w:rsidP="006D7181">
      <w:pPr>
        <w:rPr>
          <w:rFonts w:cs="Arial"/>
          <w:b/>
          <w:szCs w:val="22"/>
        </w:rPr>
      </w:pPr>
    </w:p>
    <w:tbl>
      <w:tblPr>
        <w:tblStyle w:val="Tablaconcuadrcula"/>
        <w:tblW w:w="0" w:type="auto"/>
        <w:tblLook w:val="04A0" w:firstRow="1" w:lastRow="0" w:firstColumn="1" w:lastColumn="0" w:noHBand="0" w:noVBand="1"/>
      </w:tblPr>
      <w:tblGrid>
        <w:gridCol w:w="8495"/>
      </w:tblGrid>
      <w:tr w:rsidR="005C1A3F" w14:paraId="3F6924D1" w14:textId="77777777" w:rsidTr="00773617">
        <w:tc>
          <w:tcPr>
            <w:tcW w:w="8495" w:type="dxa"/>
          </w:tcPr>
          <w:p w14:paraId="24B47A64" w14:textId="23B9416C" w:rsidR="005C1A3F" w:rsidRPr="00930D53" w:rsidRDefault="005C1A3F" w:rsidP="00773617">
            <w:pPr>
              <w:rPr>
                <w:rFonts w:cs="Arial"/>
                <w:color w:val="000000"/>
                <w:szCs w:val="22"/>
              </w:rPr>
            </w:pPr>
            <w:r w:rsidRPr="00930D53">
              <w:rPr>
                <w:rFonts w:cs="Arial"/>
                <w:color w:val="000000"/>
                <w:szCs w:val="22"/>
              </w:rPr>
              <w:t xml:space="preserve">Conveni col·lectiu que s‘ha pres com a referència pel càlcul de les despeses laborals del contracte. </w:t>
            </w:r>
            <w:r w:rsidRPr="00930D53">
              <w:rPr>
                <w:rFonts w:eastAsia="Calibri" w:cs="Arial"/>
                <w:szCs w:val="22"/>
                <w:lang w:eastAsia="en-US"/>
              </w:rPr>
              <w:t>Conveni col·lectiu de treball del sector de tallers per a persones amb discapacitat de Catalunya</w:t>
            </w:r>
            <w:r w:rsidRPr="00930D53">
              <w:rPr>
                <w:rFonts w:cs="Arial"/>
                <w:b/>
                <w:bCs/>
                <w:szCs w:val="22"/>
              </w:rPr>
              <w:t xml:space="preserve"> (codi núm. 79000805011995).</w:t>
            </w:r>
          </w:p>
          <w:p w14:paraId="3AC81848" w14:textId="77777777" w:rsidR="005C1A3F" w:rsidRPr="00930D53" w:rsidRDefault="005C1A3F" w:rsidP="00773617">
            <w:pPr>
              <w:rPr>
                <w:rFonts w:cs="Arial"/>
                <w:color w:val="000000"/>
                <w:szCs w:val="22"/>
              </w:rPr>
            </w:pPr>
          </w:p>
          <w:p w14:paraId="518C4163" w14:textId="77777777" w:rsidR="005C1A3F" w:rsidRPr="00930D53" w:rsidRDefault="005C1A3F" w:rsidP="00773617">
            <w:pPr>
              <w:spacing w:line="276" w:lineRule="auto"/>
              <w:rPr>
                <w:rFonts w:cs="Arial"/>
                <w:color w:val="000000"/>
                <w:szCs w:val="22"/>
              </w:rPr>
            </w:pPr>
            <w:r w:rsidRPr="00930D53">
              <w:rPr>
                <w:rFonts w:cs="Arial"/>
                <w:color w:val="000000"/>
                <w:szCs w:val="22"/>
              </w:rPr>
              <w:t>(Aquesta indicació no prejutja el conveni col·lectiu que sigui d’aplicació.)</w:t>
            </w:r>
          </w:p>
          <w:p w14:paraId="150F9C8F" w14:textId="77777777" w:rsidR="00930D53" w:rsidRPr="00930D53" w:rsidRDefault="00930D53" w:rsidP="00773617">
            <w:pPr>
              <w:spacing w:line="276" w:lineRule="auto"/>
              <w:rPr>
                <w:rFonts w:cs="Arial"/>
                <w:color w:val="000000"/>
                <w:szCs w:val="22"/>
              </w:rPr>
            </w:pPr>
          </w:p>
          <w:p w14:paraId="0CB565AF" w14:textId="168CFBBE" w:rsidR="00930D53" w:rsidRPr="00930D53" w:rsidRDefault="00930D53" w:rsidP="00773617">
            <w:pPr>
              <w:spacing w:line="276" w:lineRule="auto"/>
              <w:rPr>
                <w:rFonts w:cs="Arial"/>
                <w:color w:val="000000"/>
                <w:szCs w:val="22"/>
              </w:rPr>
            </w:pPr>
            <w:r w:rsidRPr="00930D53">
              <w:rPr>
                <w:rFonts w:cs="Arial"/>
                <w:color w:val="000000"/>
                <w:szCs w:val="22"/>
              </w:rPr>
              <w:t>El nombre exacte de persones treballadores, no el podem facilitar perquè no disposem d’aquesta dada.</w:t>
            </w:r>
          </w:p>
          <w:p w14:paraId="295866B6" w14:textId="437E30EF" w:rsidR="00930D53" w:rsidRDefault="00930D53" w:rsidP="00930D53">
            <w:pPr>
              <w:spacing w:line="276" w:lineRule="auto"/>
              <w:rPr>
                <w:rFonts w:cs="Arial"/>
                <w:szCs w:val="22"/>
              </w:rPr>
            </w:pPr>
          </w:p>
        </w:tc>
      </w:tr>
    </w:tbl>
    <w:p w14:paraId="7CE97EDA" w14:textId="77777777" w:rsidR="005C1A3F" w:rsidRDefault="005C1A3F" w:rsidP="006D7181">
      <w:pPr>
        <w:rPr>
          <w:rFonts w:cs="Arial"/>
          <w:b/>
          <w:szCs w:val="22"/>
        </w:rPr>
      </w:pPr>
    </w:p>
    <w:p w14:paraId="0B15B33D" w14:textId="77777777" w:rsidR="006D7181" w:rsidRPr="00241AC0" w:rsidRDefault="006D7181" w:rsidP="006D7181">
      <w:pPr>
        <w:spacing w:line="276" w:lineRule="auto"/>
        <w:rPr>
          <w:rFonts w:cs="Arial"/>
          <w:szCs w:val="22"/>
        </w:rPr>
      </w:pPr>
    </w:p>
    <w:p w14:paraId="5A89E84D" w14:textId="77777777" w:rsidR="006D7181" w:rsidRPr="00241AC0" w:rsidRDefault="006D7181" w:rsidP="006D7181">
      <w:pPr>
        <w:spacing w:line="276" w:lineRule="auto"/>
        <w:ind w:hanging="2"/>
        <w:rPr>
          <w:rFonts w:cs="Arial"/>
          <w:szCs w:val="22"/>
        </w:rPr>
      </w:pPr>
      <w:r>
        <w:rPr>
          <w:rFonts w:cs="Arial"/>
          <w:szCs w:val="22"/>
        </w:rPr>
        <w:t>Sabadell, a la data de la signatura electrònica.</w:t>
      </w:r>
    </w:p>
    <w:p w14:paraId="77A1B433" w14:textId="77777777" w:rsidR="006D7181" w:rsidRPr="00241AC0" w:rsidRDefault="006D7181" w:rsidP="006D7181">
      <w:pPr>
        <w:spacing w:line="276" w:lineRule="auto"/>
        <w:rPr>
          <w:rFonts w:cs="Arial"/>
          <w:szCs w:val="22"/>
        </w:rPr>
      </w:pPr>
    </w:p>
    <w:p w14:paraId="118B0DC1" w14:textId="77777777" w:rsidR="006D7181" w:rsidRPr="00E23620" w:rsidRDefault="006D7181" w:rsidP="006D7181">
      <w:pPr>
        <w:spacing w:before="100" w:beforeAutospacing="1" w:after="230"/>
        <w:rPr>
          <w:rFonts w:cs="Arial"/>
          <w:spacing w:val="-1"/>
          <w:szCs w:val="22"/>
        </w:rPr>
      </w:pPr>
    </w:p>
    <w:p w14:paraId="38AC36C3" w14:textId="324CD6A5" w:rsidR="00317A51" w:rsidRPr="006D7181" w:rsidRDefault="00317A51" w:rsidP="006D7181"/>
    <w:sectPr w:rsidR="00317A51" w:rsidRPr="006D7181" w:rsidSect="00C2470C">
      <w:headerReference w:type="even" r:id="rId10"/>
      <w:headerReference w:type="default" r:id="rId11"/>
      <w:footerReference w:type="even" r:id="rId12"/>
      <w:footerReference w:type="default" r:id="rId13"/>
      <w:footerReference w:type="first" r:id="rId14"/>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8CAFE" w14:textId="77777777" w:rsidR="0030409B" w:rsidRDefault="0030409B">
      <w:r>
        <w:separator/>
      </w:r>
    </w:p>
  </w:endnote>
  <w:endnote w:type="continuationSeparator" w:id="0">
    <w:p w14:paraId="0815999C" w14:textId="77777777" w:rsidR="0030409B" w:rsidRDefault="0030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00DE3" w14:textId="77777777" w:rsidR="00A671FE" w:rsidRPr="00403A17" w:rsidRDefault="00D56086" w:rsidP="00E06890">
    <w:pPr>
      <w:pStyle w:val="Piedepgina"/>
      <w:ind w:left="-993" w:right="-851"/>
      <w:jc w:val="center"/>
      <w:rPr>
        <w:rFonts w:cs="Arial"/>
        <w:sz w:val="14"/>
        <w:szCs w:val="14"/>
      </w:rPr>
    </w:pPr>
    <w:r w:rsidRPr="00403A17">
      <w:rPr>
        <w:rFonts w:cs="Frutiger-LightCn"/>
        <w:b/>
        <w:sz w:val="14"/>
        <w:szCs w:val="14"/>
        <w:lang w:eastAsia="es-ES_tradnl"/>
      </w:rPr>
      <w:t>Ajuntament de Sabadell</w:t>
    </w:r>
    <w:r w:rsidRPr="00403A17">
      <w:rPr>
        <w:rFonts w:cs="Frutiger-LightCn"/>
        <w:sz w:val="14"/>
        <w:szCs w:val="14"/>
        <w:lang w:eastAsia="es-ES_tradnl"/>
      </w:rPr>
      <w:t xml:space="preserve"> </w:t>
    </w:r>
    <w:r w:rsidRPr="00403A17">
      <w:rPr>
        <w:rFonts w:cs="Arial"/>
        <w:sz w:val="14"/>
        <w:szCs w:val="14"/>
      </w:rPr>
      <w:t>· Plaça de Sant Roc, 1 · 08201, Sabadell · Tel. 93 745 31 00 · www.sabadell.cat · NIF P0818600I</w:t>
    </w:r>
  </w:p>
  <w:p w14:paraId="4451A577" w14:textId="77777777" w:rsidR="00A671FE" w:rsidRPr="00403A17" w:rsidRDefault="00A671FE" w:rsidP="00E06890">
    <w:pPr>
      <w:pStyle w:val="Piedepgina"/>
      <w:ind w:left="-993" w:right="-569"/>
      <w:jc w:val="center"/>
      <w:rPr>
        <w:rFonts w:cs="Arial"/>
        <w:sz w:val="8"/>
        <w:szCs w:val="16"/>
      </w:rPr>
    </w:pPr>
  </w:p>
  <w:p w14:paraId="0B45A492" w14:textId="77777777" w:rsidR="00A671FE" w:rsidRPr="00403A17" w:rsidRDefault="00D56086" w:rsidP="00E06890">
    <w:pPr>
      <w:pStyle w:val="Piedepgina"/>
      <w:jc w:val="right"/>
      <w:rPr>
        <w:rFonts w:cs="Frutiger-LightCn"/>
        <w:sz w:val="16"/>
        <w:szCs w:val="16"/>
        <w:lang w:eastAsia="es-ES_tradnl"/>
      </w:rPr>
    </w:pPr>
    <w:r w:rsidRPr="00403A17">
      <w:rPr>
        <w:rFonts w:cs="Frutiger-LightCn"/>
        <w:sz w:val="16"/>
        <w:szCs w:val="16"/>
        <w:lang w:eastAsia="es-ES_tradnl"/>
      </w:rPr>
      <w:fldChar w:fldCharType="begin"/>
    </w:r>
    <w:r w:rsidRPr="00403A17">
      <w:rPr>
        <w:rFonts w:cs="Frutiger-LightCn"/>
        <w:sz w:val="16"/>
        <w:szCs w:val="16"/>
        <w:lang w:eastAsia="es-ES_tradnl"/>
      </w:rPr>
      <w:instrText xml:space="preserve"> PAGE </w:instrText>
    </w:r>
    <w:r w:rsidRPr="00403A17">
      <w:rPr>
        <w:rFonts w:cs="Frutiger-LightCn"/>
        <w:sz w:val="16"/>
        <w:szCs w:val="16"/>
        <w:lang w:eastAsia="es-ES_tradnl"/>
      </w:rPr>
      <w:fldChar w:fldCharType="separate"/>
    </w:r>
    <w:r w:rsidR="0077407F">
      <w:rPr>
        <w:rFonts w:cs="Frutiger-LightCn"/>
        <w:noProof/>
        <w:sz w:val="16"/>
        <w:szCs w:val="16"/>
        <w:lang w:eastAsia="es-ES_tradnl"/>
      </w:rPr>
      <w:t>2</w:t>
    </w:r>
    <w:r w:rsidRPr="00403A17">
      <w:rPr>
        <w:rFonts w:cs="Frutiger-LightCn"/>
        <w:sz w:val="16"/>
        <w:szCs w:val="16"/>
        <w:lang w:eastAsia="es-ES_tradnl"/>
      </w:rPr>
      <w:fldChar w:fldCharType="end"/>
    </w:r>
    <w:r w:rsidRPr="00403A17">
      <w:rPr>
        <w:rFonts w:cs="Frutiger-LightCn"/>
        <w:sz w:val="16"/>
        <w:szCs w:val="16"/>
        <w:lang w:eastAsia="es-ES_tradnl"/>
      </w:rPr>
      <w:t>/</w:t>
    </w:r>
    <w:r w:rsidR="00D82ABE" w:rsidRPr="00403A17">
      <w:rPr>
        <w:rFonts w:cs="Frutiger-LightCn"/>
        <w:sz w:val="16"/>
        <w:szCs w:val="16"/>
        <w:lang w:eastAsia="es-ES_tradnl"/>
      </w:rPr>
      <w:fldChar w:fldCharType="begin"/>
    </w:r>
    <w:r w:rsidR="00D82ABE" w:rsidRPr="00403A17">
      <w:rPr>
        <w:rFonts w:cs="Frutiger-LightCn"/>
        <w:sz w:val="16"/>
        <w:szCs w:val="16"/>
        <w:lang w:eastAsia="es-ES_tradnl"/>
      </w:rPr>
      <w:instrText xml:space="preserve"> NUMPAGES  \* MERGEFORMAT </w:instrText>
    </w:r>
    <w:r w:rsidR="00D82ABE" w:rsidRPr="00403A17">
      <w:rPr>
        <w:rFonts w:cs="Frutiger-LightCn"/>
        <w:sz w:val="16"/>
        <w:szCs w:val="16"/>
        <w:lang w:eastAsia="es-ES_tradnl"/>
      </w:rPr>
      <w:fldChar w:fldCharType="separate"/>
    </w:r>
    <w:r w:rsidR="0077407F">
      <w:rPr>
        <w:rFonts w:cs="Frutiger-LightCn"/>
        <w:noProof/>
        <w:sz w:val="16"/>
        <w:szCs w:val="16"/>
        <w:lang w:eastAsia="es-ES_tradnl"/>
      </w:rPr>
      <w:t>3</w:t>
    </w:r>
    <w:r w:rsidR="00D82ABE" w:rsidRPr="00403A17">
      <w:rPr>
        <w:rFonts w:cs="Frutiger-LightCn"/>
        <w:sz w:val="16"/>
        <w:szCs w:val="16"/>
        <w:lang w:eastAsia="es-ES_tradn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B5673" w14:textId="77777777" w:rsidR="00A671FE" w:rsidRPr="00403A17" w:rsidRDefault="00D56086" w:rsidP="00711E1E">
    <w:pPr>
      <w:pStyle w:val="Piedepgina"/>
      <w:ind w:left="-993" w:right="-851"/>
      <w:jc w:val="center"/>
      <w:rPr>
        <w:rFonts w:cs="Arial"/>
        <w:sz w:val="14"/>
        <w:szCs w:val="14"/>
      </w:rPr>
    </w:pPr>
    <w:r w:rsidRPr="00403A17">
      <w:rPr>
        <w:rFonts w:cs="Frutiger-LightCn"/>
        <w:b/>
        <w:sz w:val="14"/>
        <w:szCs w:val="14"/>
        <w:lang w:eastAsia="es-ES_tradnl"/>
      </w:rPr>
      <w:t>Ajuntament de Sabadell</w:t>
    </w:r>
    <w:r w:rsidRPr="00403A17">
      <w:rPr>
        <w:rFonts w:cs="Frutiger-LightCn"/>
        <w:sz w:val="14"/>
        <w:szCs w:val="14"/>
        <w:lang w:eastAsia="es-ES_tradnl"/>
      </w:rPr>
      <w:t xml:space="preserve"> </w:t>
    </w:r>
    <w:r w:rsidRPr="00403A17">
      <w:rPr>
        <w:rFonts w:cs="Arial"/>
        <w:sz w:val="14"/>
        <w:szCs w:val="14"/>
      </w:rPr>
      <w:t>· Plaça de Sant Roc, 1 · 08201, Sabadell · Tel. 93 745 31 00 · www.sabadell.cat · NIF P0818600I</w:t>
    </w:r>
  </w:p>
  <w:p w14:paraId="0050381F" w14:textId="77777777" w:rsidR="00A671FE" w:rsidRPr="00403A17" w:rsidRDefault="00A671FE" w:rsidP="00802E58">
    <w:pPr>
      <w:pStyle w:val="Piedepgina"/>
      <w:ind w:left="-993" w:right="-569"/>
      <w:jc w:val="center"/>
      <w:rPr>
        <w:rFonts w:cs="Arial"/>
        <w:sz w:val="8"/>
        <w:szCs w:val="16"/>
      </w:rPr>
    </w:pPr>
  </w:p>
  <w:p w14:paraId="2085B589" w14:textId="77777777" w:rsidR="00A671FE" w:rsidRPr="00403A17" w:rsidRDefault="00D56086" w:rsidP="009672BD">
    <w:pPr>
      <w:pStyle w:val="Piedepgina"/>
      <w:jc w:val="right"/>
      <w:rPr>
        <w:rFonts w:cs="Frutiger-LightCn"/>
        <w:sz w:val="16"/>
        <w:szCs w:val="16"/>
        <w:lang w:eastAsia="es-ES_tradnl"/>
      </w:rPr>
    </w:pPr>
    <w:r w:rsidRPr="00403A17">
      <w:rPr>
        <w:rFonts w:cs="Frutiger-LightCn"/>
        <w:sz w:val="16"/>
        <w:szCs w:val="16"/>
        <w:lang w:eastAsia="es-ES_tradnl"/>
      </w:rPr>
      <w:fldChar w:fldCharType="begin"/>
    </w:r>
    <w:r w:rsidRPr="00403A17">
      <w:rPr>
        <w:rFonts w:cs="Frutiger-LightCn"/>
        <w:sz w:val="16"/>
        <w:szCs w:val="16"/>
        <w:lang w:eastAsia="es-ES_tradnl"/>
      </w:rPr>
      <w:instrText xml:space="preserve"> PAGE </w:instrText>
    </w:r>
    <w:r w:rsidRPr="00403A17">
      <w:rPr>
        <w:rFonts w:cs="Frutiger-LightCn"/>
        <w:sz w:val="16"/>
        <w:szCs w:val="16"/>
        <w:lang w:eastAsia="es-ES_tradnl"/>
      </w:rPr>
      <w:fldChar w:fldCharType="separate"/>
    </w:r>
    <w:r w:rsidR="0077407F">
      <w:rPr>
        <w:rFonts w:cs="Frutiger-LightCn"/>
        <w:noProof/>
        <w:sz w:val="16"/>
        <w:szCs w:val="16"/>
        <w:lang w:eastAsia="es-ES_tradnl"/>
      </w:rPr>
      <w:t>1</w:t>
    </w:r>
    <w:r w:rsidRPr="00403A17">
      <w:rPr>
        <w:rFonts w:cs="Frutiger-LightCn"/>
        <w:sz w:val="16"/>
        <w:szCs w:val="16"/>
        <w:lang w:eastAsia="es-ES_tradnl"/>
      </w:rPr>
      <w:fldChar w:fldCharType="end"/>
    </w:r>
    <w:r w:rsidRPr="00403A17">
      <w:rPr>
        <w:rFonts w:cs="Frutiger-LightCn"/>
        <w:sz w:val="16"/>
        <w:szCs w:val="16"/>
        <w:lang w:eastAsia="es-ES_tradnl"/>
      </w:rPr>
      <w:t>/</w:t>
    </w:r>
    <w:r w:rsidR="00D82ABE" w:rsidRPr="00403A17">
      <w:rPr>
        <w:rFonts w:cs="Frutiger-LightCn"/>
        <w:sz w:val="16"/>
        <w:szCs w:val="16"/>
        <w:lang w:eastAsia="es-ES_tradnl"/>
      </w:rPr>
      <w:fldChar w:fldCharType="begin"/>
    </w:r>
    <w:r w:rsidR="00D82ABE" w:rsidRPr="00403A17">
      <w:rPr>
        <w:rFonts w:cs="Frutiger-LightCn"/>
        <w:sz w:val="16"/>
        <w:szCs w:val="16"/>
        <w:lang w:eastAsia="es-ES_tradnl"/>
      </w:rPr>
      <w:instrText xml:space="preserve"> NUMPAGES  \* MERGEFORMAT </w:instrText>
    </w:r>
    <w:r w:rsidR="00D82ABE" w:rsidRPr="00403A17">
      <w:rPr>
        <w:rFonts w:cs="Frutiger-LightCn"/>
        <w:sz w:val="16"/>
        <w:szCs w:val="16"/>
        <w:lang w:eastAsia="es-ES_tradnl"/>
      </w:rPr>
      <w:fldChar w:fldCharType="separate"/>
    </w:r>
    <w:r w:rsidR="0077407F">
      <w:rPr>
        <w:rFonts w:cs="Frutiger-LightCn"/>
        <w:noProof/>
        <w:sz w:val="16"/>
        <w:szCs w:val="16"/>
        <w:lang w:eastAsia="es-ES_tradnl"/>
      </w:rPr>
      <w:t>3</w:t>
    </w:r>
    <w:r w:rsidR="00D82ABE" w:rsidRPr="00403A17">
      <w:rPr>
        <w:rFonts w:cs="Frutiger-LightCn"/>
        <w:sz w:val="16"/>
        <w:szCs w:val="16"/>
        <w:lang w:eastAsia="es-ES_tradn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561A9" w14:textId="77777777" w:rsidR="00A671FE" w:rsidRPr="009344E9" w:rsidRDefault="00D56086"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47E04B70" w14:textId="77777777" w:rsidR="00A671FE" w:rsidRPr="009344E9" w:rsidRDefault="00D56086" w:rsidP="00B851BD">
    <w:pPr>
      <w:pStyle w:val="Piedepgina"/>
      <w:rPr>
        <w:szCs w:val="16"/>
      </w:rPr>
    </w:pPr>
    <w:r>
      <w:rPr>
        <w:noProof/>
        <w:szCs w:val="16"/>
        <w:lang w:eastAsia="ca-ES"/>
      </w:rPr>
      <mc:AlternateContent>
        <mc:Choice Requires="wps">
          <w:drawing>
            <wp:anchor distT="0" distB="0" distL="114300" distR="114300" simplePos="0" relativeHeight="251658240" behindDoc="0" locked="0" layoutInCell="0" allowOverlap="1" wp14:anchorId="6E2F6C4D" wp14:editId="2C5AA535">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1F196" w14:textId="77777777" w:rsidR="00A671FE" w:rsidRDefault="00D56086" w:rsidP="00C2470C">
                          <w:pPr>
                            <w:pStyle w:val="Ttulo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2F6C4D" id="_x0000_t202" coordsize="21600,21600" o:spt="202" path="m,l,21600r21600,l21600,xe">
              <v:stroke joinstyle="miter"/>
              <v:path gradientshapeok="t" o:connecttype="rect"/>
            </v:shapetype>
            <v:shape id="Text Box 2" o:spid="_x0000_s1026" type="#_x0000_t202" style="position:absolute;left:0;text-align:left;margin-left:42.75pt;margin-top:762.75pt;width:510.2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" o:allowincell="f" filled="f" stroked="f">
              <v:textbox inset="0,0,0,0">
                <w:txbxContent>
                  <w:p w14:paraId="4FD1F196" w14:textId="77777777" w:rsidR="00A671FE" w:rsidRDefault="00D56086" w:rsidP="00C2470C">
                    <w:pPr>
                      <w:pStyle w:val="Ttulo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w10:wrap anchorx="page" anchory="page"/>
            </v:shape>
          </w:pict>
        </mc:Fallback>
      </mc:AlternateContent>
    </w:r>
    <w:r>
      <w:rPr>
        <w:noProof/>
        <w:szCs w:val="16"/>
        <w:lang w:eastAsia="ca-ES"/>
      </w:rPr>
      <mc:AlternateContent>
        <mc:Choice Requires="wps">
          <w:drawing>
            <wp:anchor distT="0" distB="0" distL="114300" distR="114300" simplePos="0" relativeHeight="251660288" behindDoc="0" locked="0" layoutInCell="0" allowOverlap="1" wp14:anchorId="2C80B700" wp14:editId="60F93F2F">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23F68" w14:textId="77777777" w:rsidR="0030409B" w:rsidRDefault="0030409B">
      <w:r>
        <w:separator/>
      </w:r>
    </w:p>
  </w:footnote>
  <w:footnote w:type="continuationSeparator" w:id="0">
    <w:p w14:paraId="4062C77D" w14:textId="77777777" w:rsidR="0030409B" w:rsidRDefault="00304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CA671" w14:textId="77777777" w:rsidR="00790D58" w:rsidRDefault="00790D58" w:rsidP="00790D58">
    <w:pPr>
      <w:rPr>
        <w:noProof/>
        <w:lang w:val="es-ES"/>
      </w:rPr>
    </w:pPr>
  </w:p>
  <w:p w14:paraId="09CA07D5" w14:textId="77777777" w:rsidR="00A671FE" w:rsidRDefault="00D56086" w:rsidP="00C077D7">
    <w:pPr>
      <w:pStyle w:val="Encabezado"/>
      <w:ind w:firstLine="0"/>
      <w:jc w:val="left"/>
      <w:rPr>
        <w:noProof/>
        <w:lang w:val="es-ES"/>
      </w:rPr>
    </w:pPr>
    <w:r w:rsidRPr="00C478F9">
      <w:rPr>
        <w:noProof/>
        <w:lang w:eastAsia="ca-ES"/>
      </w:rPr>
      <w:drawing>
        <wp:inline distT="0" distB="0" distL="0" distR="0" wp14:anchorId="247D6B70" wp14:editId="7A8F8006">
          <wp:extent cx="911171" cy="323850"/>
          <wp:effectExtent l="0" t="0" r="3810" b="0"/>
          <wp:docPr id="9" name="Imatge 7" descr="C:\Users\nbatet\AppData\Local\Microsoft\Windows\Temporary Internet Files\Content.Outlook\HT5RI59L\Ajunta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Users\nbatet\AppData\Local\Microsoft\Windows\Temporary Internet Files\Content.Outlook\HT5RI59L\Ajuntame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2109" cy="331292"/>
                  </a:xfrm>
                  <a:prstGeom prst="rect">
                    <a:avLst/>
                  </a:prstGeom>
                  <a:noFill/>
                  <a:ln>
                    <a:noFill/>
                  </a:ln>
                </pic:spPr>
              </pic:pic>
            </a:graphicData>
          </a:graphic>
        </wp:inline>
      </w:drawing>
    </w:r>
  </w:p>
  <w:p w14:paraId="269B347F" w14:textId="77777777" w:rsidR="00403A17" w:rsidRDefault="00403A17" w:rsidP="00C077D7">
    <w:pPr>
      <w:pStyle w:val="Encabezado"/>
      <w:ind w:firstLine="0"/>
      <w:jc w:val="left"/>
      <w:rPr>
        <w:noProof/>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2D54C" w14:textId="77777777" w:rsidR="00C2470C" w:rsidRPr="00860104" w:rsidRDefault="00C2470C" w:rsidP="00860104">
    <w:pPr>
      <w:pStyle w:val="Encabezad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160A83"/>
    <w:multiLevelType w:val="hybridMultilevel"/>
    <w:tmpl w:val="EBAA90C6"/>
    <w:lvl w:ilvl="0" w:tplc="84F89ADE">
      <w:start w:val="1"/>
      <w:numFmt w:val="bullet"/>
      <w:lvlText w:val="-"/>
      <w:lvlJc w:val="left"/>
      <w:pPr>
        <w:ind w:left="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1A69154">
      <w:start w:val="1"/>
      <w:numFmt w:val="bullet"/>
      <w:lvlText w:val="o"/>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EAE8B5E">
      <w:start w:val="1"/>
      <w:numFmt w:val="bullet"/>
      <w:lvlText w:val="▪"/>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E9A274C">
      <w:start w:val="1"/>
      <w:numFmt w:val="bullet"/>
      <w:lvlText w:val="•"/>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E0C98D2">
      <w:start w:val="1"/>
      <w:numFmt w:val="bullet"/>
      <w:lvlText w:val="o"/>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13AC4C8">
      <w:start w:val="1"/>
      <w:numFmt w:val="bullet"/>
      <w:lvlText w:val="▪"/>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A1A3710">
      <w:start w:val="1"/>
      <w:numFmt w:val="bullet"/>
      <w:lvlText w:val="•"/>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1DCC342">
      <w:start w:val="1"/>
      <w:numFmt w:val="bullet"/>
      <w:lvlText w:val="o"/>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CBA95D2">
      <w:start w:val="1"/>
      <w:numFmt w:val="bullet"/>
      <w:lvlText w:val="▪"/>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22EA"/>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71523"/>
    <w:rsid w:val="00174522"/>
    <w:rsid w:val="0018391D"/>
    <w:rsid w:val="00183A6F"/>
    <w:rsid w:val="001871BC"/>
    <w:rsid w:val="00197357"/>
    <w:rsid w:val="00197414"/>
    <w:rsid w:val="001A1C59"/>
    <w:rsid w:val="001A3C8B"/>
    <w:rsid w:val="001A715F"/>
    <w:rsid w:val="001B7C41"/>
    <w:rsid w:val="001D5076"/>
    <w:rsid w:val="001F565E"/>
    <w:rsid w:val="00212113"/>
    <w:rsid w:val="00213432"/>
    <w:rsid w:val="002139E6"/>
    <w:rsid w:val="0022160D"/>
    <w:rsid w:val="002266F7"/>
    <w:rsid w:val="002625B3"/>
    <w:rsid w:val="002627BC"/>
    <w:rsid w:val="0027170C"/>
    <w:rsid w:val="00272180"/>
    <w:rsid w:val="0028333A"/>
    <w:rsid w:val="00286EFA"/>
    <w:rsid w:val="00297690"/>
    <w:rsid w:val="002B62EF"/>
    <w:rsid w:val="002B6854"/>
    <w:rsid w:val="002B743E"/>
    <w:rsid w:val="002D0C53"/>
    <w:rsid w:val="002D2989"/>
    <w:rsid w:val="002D5DFC"/>
    <w:rsid w:val="002E4400"/>
    <w:rsid w:val="00303BCE"/>
    <w:rsid w:val="0030409B"/>
    <w:rsid w:val="00310201"/>
    <w:rsid w:val="003177B5"/>
    <w:rsid w:val="00317A51"/>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546D4"/>
    <w:rsid w:val="00493083"/>
    <w:rsid w:val="00497CC7"/>
    <w:rsid w:val="004B3273"/>
    <w:rsid w:val="004C15A5"/>
    <w:rsid w:val="004D795A"/>
    <w:rsid w:val="004D79C2"/>
    <w:rsid w:val="004E278C"/>
    <w:rsid w:val="00506ED9"/>
    <w:rsid w:val="005079A7"/>
    <w:rsid w:val="00513FD7"/>
    <w:rsid w:val="0053094D"/>
    <w:rsid w:val="0053180C"/>
    <w:rsid w:val="00576ECE"/>
    <w:rsid w:val="005912F2"/>
    <w:rsid w:val="005962BD"/>
    <w:rsid w:val="005969D8"/>
    <w:rsid w:val="005B585B"/>
    <w:rsid w:val="005C1A3F"/>
    <w:rsid w:val="005E258C"/>
    <w:rsid w:val="005E435A"/>
    <w:rsid w:val="005F0538"/>
    <w:rsid w:val="005F2BFF"/>
    <w:rsid w:val="005F5F5D"/>
    <w:rsid w:val="00603CC8"/>
    <w:rsid w:val="006227E9"/>
    <w:rsid w:val="006252B7"/>
    <w:rsid w:val="00630471"/>
    <w:rsid w:val="00631968"/>
    <w:rsid w:val="00657069"/>
    <w:rsid w:val="00665296"/>
    <w:rsid w:val="006704A9"/>
    <w:rsid w:val="00680579"/>
    <w:rsid w:val="0068716D"/>
    <w:rsid w:val="00690C89"/>
    <w:rsid w:val="006B3CBF"/>
    <w:rsid w:val="006C2ED8"/>
    <w:rsid w:val="006C47C6"/>
    <w:rsid w:val="006C5ABE"/>
    <w:rsid w:val="006C6A8D"/>
    <w:rsid w:val="006D6890"/>
    <w:rsid w:val="006D7181"/>
    <w:rsid w:val="006E32A4"/>
    <w:rsid w:val="006E5083"/>
    <w:rsid w:val="006E71DD"/>
    <w:rsid w:val="006F6545"/>
    <w:rsid w:val="0070109B"/>
    <w:rsid w:val="00704980"/>
    <w:rsid w:val="00711E1E"/>
    <w:rsid w:val="00722F9D"/>
    <w:rsid w:val="007260FC"/>
    <w:rsid w:val="007265EA"/>
    <w:rsid w:val="007322B9"/>
    <w:rsid w:val="00736F24"/>
    <w:rsid w:val="00747C76"/>
    <w:rsid w:val="00770CB1"/>
    <w:rsid w:val="0077407F"/>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7925"/>
    <w:rsid w:val="008369E0"/>
    <w:rsid w:val="00851B00"/>
    <w:rsid w:val="00854B8F"/>
    <w:rsid w:val="00860104"/>
    <w:rsid w:val="008618AA"/>
    <w:rsid w:val="00874601"/>
    <w:rsid w:val="00874638"/>
    <w:rsid w:val="008853D8"/>
    <w:rsid w:val="00892B66"/>
    <w:rsid w:val="008D40A0"/>
    <w:rsid w:val="008D722B"/>
    <w:rsid w:val="008E6D77"/>
    <w:rsid w:val="008F1498"/>
    <w:rsid w:val="0090158D"/>
    <w:rsid w:val="0090473C"/>
    <w:rsid w:val="00924FBA"/>
    <w:rsid w:val="00930D53"/>
    <w:rsid w:val="009344E9"/>
    <w:rsid w:val="00934683"/>
    <w:rsid w:val="009450BA"/>
    <w:rsid w:val="009573F8"/>
    <w:rsid w:val="00961C11"/>
    <w:rsid w:val="009672BD"/>
    <w:rsid w:val="00972E0E"/>
    <w:rsid w:val="0098596A"/>
    <w:rsid w:val="0099083D"/>
    <w:rsid w:val="009927D1"/>
    <w:rsid w:val="00992D54"/>
    <w:rsid w:val="00994056"/>
    <w:rsid w:val="009A7BF5"/>
    <w:rsid w:val="009B317D"/>
    <w:rsid w:val="009B70EE"/>
    <w:rsid w:val="009C4547"/>
    <w:rsid w:val="009D3D10"/>
    <w:rsid w:val="009D45B9"/>
    <w:rsid w:val="00A21DA4"/>
    <w:rsid w:val="00A34139"/>
    <w:rsid w:val="00A400C9"/>
    <w:rsid w:val="00A626BC"/>
    <w:rsid w:val="00A671FE"/>
    <w:rsid w:val="00A94935"/>
    <w:rsid w:val="00AD59EE"/>
    <w:rsid w:val="00AF4F15"/>
    <w:rsid w:val="00B0072E"/>
    <w:rsid w:val="00B01AB3"/>
    <w:rsid w:val="00B029D2"/>
    <w:rsid w:val="00B05CF8"/>
    <w:rsid w:val="00B21CE2"/>
    <w:rsid w:val="00B27441"/>
    <w:rsid w:val="00B32A13"/>
    <w:rsid w:val="00B40E25"/>
    <w:rsid w:val="00B62E36"/>
    <w:rsid w:val="00B71832"/>
    <w:rsid w:val="00B71F99"/>
    <w:rsid w:val="00B851BD"/>
    <w:rsid w:val="00B87C14"/>
    <w:rsid w:val="00B921CA"/>
    <w:rsid w:val="00BA3B28"/>
    <w:rsid w:val="00BB64DA"/>
    <w:rsid w:val="00BC1EEB"/>
    <w:rsid w:val="00BC2AA5"/>
    <w:rsid w:val="00BE0DD1"/>
    <w:rsid w:val="00BF4F95"/>
    <w:rsid w:val="00BF611F"/>
    <w:rsid w:val="00C0046A"/>
    <w:rsid w:val="00C077D7"/>
    <w:rsid w:val="00C15F0C"/>
    <w:rsid w:val="00C16142"/>
    <w:rsid w:val="00C2470C"/>
    <w:rsid w:val="00C40B6C"/>
    <w:rsid w:val="00C442A7"/>
    <w:rsid w:val="00C478F9"/>
    <w:rsid w:val="00C64295"/>
    <w:rsid w:val="00C858C9"/>
    <w:rsid w:val="00C87A2A"/>
    <w:rsid w:val="00CA27EF"/>
    <w:rsid w:val="00CD2554"/>
    <w:rsid w:val="00CD6A4A"/>
    <w:rsid w:val="00CE06AF"/>
    <w:rsid w:val="00CE2AFF"/>
    <w:rsid w:val="00CF2658"/>
    <w:rsid w:val="00D05E8E"/>
    <w:rsid w:val="00D20644"/>
    <w:rsid w:val="00D24451"/>
    <w:rsid w:val="00D56086"/>
    <w:rsid w:val="00D62B34"/>
    <w:rsid w:val="00D64CDE"/>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38D7"/>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 w:val="00FF72FB"/>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E1C11"/>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Ttulo1">
    <w:name w:val="heading 1"/>
    <w:basedOn w:val="Normal"/>
    <w:next w:val="Encabezado"/>
    <w:link w:val="Ttulo1Car"/>
    <w:qFormat/>
    <w:rsid w:val="00C2470C"/>
    <w:pPr>
      <w:outlineLvl w:val="0"/>
    </w:pPr>
  </w:style>
  <w:style w:type="paragraph" w:styleId="Ttulo2">
    <w:name w:val="heading 2"/>
    <w:basedOn w:val="Ttulo1"/>
    <w:next w:val="Normal"/>
    <w:qFormat/>
    <w:rsid w:val="00C2470C"/>
    <w:pPr>
      <w:outlineLvl w:val="1"/>
    </w:pPr>
  </w:style>
  <w:style w:type="paragraph" w:styleId="Ttulo3">
    <w:name w:val="heading 3"/>
    <w:basedOn w:val="Ttulo2"/>
    <w:next w:val="Normal"/>
    <w:qFormat/>
    <w:rsid w:val="00C2470C"/>
    <w:pPr>
      <w:outlineLvl w:val="2"/>
    </w:pPr>
  </w:style>
  <w:style w:type="paragraph" w:styleId="Ttulo4">
    <w:name w:val="heading 4"/>
    <w:basedOn w:val="Ttulo3"/>
    <w:next w:val="Normal"/>
    <w:link w:val="Ttulo4Car"/>
    <w:qFormat/>
    <w:rsid w:val="00C2470C"/>
    <w:pPr>
      <w:outlineLvl w:val="3"/>
    </w:pPr>
  </w:style>
  <w:style w:type="paragraph" w:styleId="Ttulo5">
    <w:name w:val="heading 5"/>
    <w:basedOn w:val="Ttulo4"/>
    <w:next w:val="Normal"/>
    <w:qFormat/>
    <w:rsid w:val="00C2470C"/>
    <w:pPr>
      <w:outlineLvl w:val="4"/>
    </w:pPr>
  </w:style>
  <w:style w:type="paragraph" w:styleId="Ttulo6">
    <w:name w:val="heading 6"/>
    <w:basedOn w:val="Ttulo5"/>
    <w:next w:val="Normal"/>
    <w:qFormat/>
    <w:rsid w:val="00C2470C"/>
    <w:pPr>
      <w:outlineLvl w:val="5"/>
    </w:pPr>
  </w:style>
  <w:style w:type="paragraph" w:styleId="Ttulo7">
    <w:name w:val="heading 7"/>
    <w:basedOn w:val="Ttulo6"/>
    <w:next w:val="Normal"/>
    <w:qFormat/>
    <w:rsid w:val="00C2470C"/>
    <w:pPr>
      <w:outlineLvl w:val="6"/>
    </w:pPr>
  </w:style>
  <w:style w:type="paragraph" w:styleId="Ttulo8">
    <w:name w:val="heading 8"/>
    <w:basedOn w:val="Sinespaciado"/>
    <w:next w:val="Normal"/>
    <w:link w:val="Ttulo8Car"/>
    <w:uiPriority w:val="9"/>
    <w:unhideWhenUsed/>
    <w:qFormat/>
    <w:rsid w:val="00C2470C"/>
    <w:pPr>
      <w:outlineLvl w:val="7"/>
    </w:pPr>
  </w:style>
  <w:style w:type="paragraph" w:styleId="Ttulo9">
    <w:name w:val="heading 9"/>
    <w:basedOn w:val="Ttulo8"/>
    <w:next w:val="Normal"/>
    <w:link w:val="Ttulo9Car"/>
    <w:uiPriority w:val="9"/>
    <w:unhideWhenUsed/>
    <w:rsid w:val="00C2470C"/>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6F6545"/>
    <w:pPr>
      <w:tabs>
        <w:tab w:val="center" w:pos="4252"/>
        <w:tab w:val="right" w:pos="8504"/>
      </w:tabs>
      <w:spacing w:before="120"/>
      <w:ind w:firstLine="425"/>
    </w:pPr>
  </w:style>
  <w:style w:type="paragraph" w:styleId="Piedepgina">
    <w:name w:val="footer"/>
    <w:basedOn w:val="Normal"/>
    <w:semiHidden/>
    <w:rsid w:val="006F6545"/>
    <w:pPr>
      <w:tabs>
        <w:tab w:val="center" w:pos="4252"/>
        <w:tab w:val="right" w:pos="8504"/>
      </w:tabs>
    </w:pPr>
  </w:style>
  <w:style w:type="paragraph" w:styleId="Descripcin">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Fuentedeprrafopredeter"/>
    <w:semiHidden/>
    <w:rsid w:val="006F6545"/>
  </w:style>
  <w:style w:type="table" w:styleId="Tablaconcuadrcula">
    <w:name w:val="Table Grid"/>
    <w:basedOn w:val="Tab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C2470C"/>
    <w:rPr>
      <w:rFonts w:ascii="Arial" w:hAnsi="Arial"/>
      <w:sz w:val="22"/>
      <w:lang w:val="ca-ES"/>
    </w:rPr>
  </w:style>
  <w:style w:type="paragraph" w:styleId="Mapadeldocumento">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Mapadeldocumento"/>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odeglobo">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707"/>
    <w:rPr>
      <w:rFonts w:ascii="Tahoma" w:hAnsi="Tahoma" w:cs="Tahoma"/>
      <w:sz w:val="16"/>
      <w:szCs w:val="16"/>
      <w:lang w:val="ca-ES"/>
    </w:rPr>
  </w:style>
  <w:style w:type="paragraph" w:styleId="Prrafodelista">
    <w:name w:val="List Paragraph"/>
    <w:basedOn w:val="Normal"/>
    <w:uiPriority w:val="34"/>
    <w:rsid w:val="000B387E"/>
    <w:pPr>
      <w:ind w:left="720"/>
      <w:contextualSpacing/>
    </w:pPr>
  </w:style>
  <w:style w:type="character" w:customStyle="1" w:styleId="Ttulo4Car">
    <w:name w:val="Título 4 Car"/>
    <w:basedOn w:val="Fuentedeprrafopredeter"/>
    <w:link w:val="Ttulo4"/>
    <w:rsid w:val="00C2470C"/>
    <w:rPr>
      <w:rFonts w:ascii="Arial" w:hAnsi="Arial"/>
      <w:sz w:val="22"/>
      <w:lang w:val="ca-ES"/>
    </w:rPr>
  </w:style>
  <w:style w:type="character" w:customStyle="1" w:styleId="EncabezadoCar">
    <w:name w:val="Encabezado Car"/>
    <w:basedOn w:val="Fuentedeprrafopredeter"/>
    <w:link w:val="Encabezado"/>
    <w:semiHidden/>
    <w:rsid w:val="0001423A"/>
    <w:rPr>
      <w:rFonts w:ascii="Verdana" w:hAnsi="Verdana"/>
      <w:lang w:val="ca-ES"/>
    </w:rPr>
  </w:style>
  <w:style w:type="character" w:styleId="Hipervnculo">
    <w:name w:val="Hyperlink"/>
    <w:basedOn w:val="Fuentedeprrafopredeter"/>
    <w:uiPriority w:val="99"/>
    <w:unhideWhenUsed/>
    <w:rsid w:val="002D2989"/>
    <w:rPr>
      <w:color w:val="0000FF" w:themeColor="hyperlink"/>
      <w:u w:val="single"/>
    </w:rPr>
  </w:style>
  <w:style w:type="paragraph" w:styleId="Sinespaciado">
    <w:name w:val="No Spacing"/>
    <w:basedOn w:val="Ttulo7"/>
    <w:uiPriority w:val="1"/>
    <w:rsid w:val="00C2470C"/>
  </w:style>
  <w:style w:type="character" w:customStyle="1" w:styleId="Ttulo8Car">
    <w:name w:val="Título 8 Car"/>
    <w:basedOn w:val="Fuentedeprrafopredeter"/>
    <w:link w:val="Ttulo8"/>
    <w:uiPriority w:val="9"/>
    <w:rsid w:val="00C2470C"/>
    <w:rPr>
      <w:rFonts w:ascii="Arial" w:hAnsi="Arial"/>
      <w:sz w:val="22"/>
      <w:lang w:val="ca-ES"/>
    </w:rPr>
  </w:style>
  <w:style w:type="character" w:customStyle="1" w:styleId="Ttulo9Car">
    <w:name w:val="Título 9 Car"/>
    <w:basedOn w:val="Fuentedeprrafopredeter"/>
    <w:link w:val="Ttulo9"/>
    <w:uiPriority w:val="9"/>
    <w:rsid w:val="00C2470C"/>
    <w:rPr>
      <w:rFonts w:ascii="Arial" w:hAnsi="Arial"/>
      <w:sz w:val="22"/>
      <w:lang w:val="ca-ES"/>
    </w:rPr>
  </w:style>
  <w:style w:type="character" w:styleId="Refdecomentario">
    <w:name w:val="annotation reference"/>
    <w:basedOn w:val="Fuentedeprrafopredeter"/>
    <w:uiPriority w:val="99"/>
    <w:semiHidden/>
    <w:unhideWhenUsed/>
    <w:rsid w:val="000C5C7B"/>
    <w:rPr>
      <w:sz w:val="16"/>
      <w:szCs w:val="16"/>
    </w:rPr>
  </w:style>
  <w:style w:type="paragraph" w:styleId="Textocomentario">
    <w:name w:val="annotation text"/>
    <w:basedOn w:val="Normal"/>
    <w:link w:val="TextocomentarioCar"/>
    <w:uiPriority w:val="99"/>
    <w:semiHidden/>
    <w:unhideWhenUsed/>
    <w:rsid w:val="000C5C7B"/>
    <w:rPr>
      <w:sz w:val="20"/>
    </w:rPr>
  </w:style>
  <w:style w:type="character" w:customStyle="1" w:styleId="TextocomentarioCar">
    <w:name w:val="Texto comentario Car"/>
    <w:basedOn w:val="Fuentedeprrafopredeter"/>
    <w:link w:val="Textocomentario"/>
    <w:uiPriority w:val="99"/>
    <w:semiHidden/>
    <w:rsid w:val="000C5C7B"/>
    <w:rPr>
      <w:rFonts w:ascii="Arial" w:hAnsi="Arial"/>
      <w:lang w:val="ca-ES"/>
    </w:rPr>
  </w:style>
  <w:style w:type="paragraph" w:styleId="Asuntodelcomentario">
    <w:name w:val="annotation subject"/>
    <w:basedOn w:val="Textocomentario"/>
    <w:next w:val="Textocomentario"/>
    <w:link w:val="AsuntodelcomentarioCar"/>
    <w:uiPriority w:val="99"/>
    <w:semiHidden/>
    <w:unhideWhenUsed/>
    <w:rsid w:val="000C5C7B"/>
    <w:rPr>
      <w:b/>
      <w:bCs/>
    </w:rPr>
  </w:style>
  <w:style w:type="character" w:customStyle="1" w:styleId="AsuntodelcomentarioCar">
    <w:name w:val="Asunto del comentario Car"/>
    <w:basedOn w:val="TextocomentarioCar"/>
    <w:link w:val="Asuntodelcomentario"/>
    <w:uiPriority w:val="99"/>
    <w:semiHidden/>
    <w:rsid w:val="000C5C7B"/>
    <w:rPr>
      <w:rFonts w:ascii="Arial" w:hAnsi="Arial"/>
      <w:b/>
      <w:bCs/>
      <w:lang w:val="ca-ES"/>
    </w:rPr>
  </w:style>
  <w:style w:type="character" w:styleId="Textodelmarcadordeposicin">
    <w:name w:val="Placeholder Text"/>
    <w:basedOn w:val="Fuentedeprrafopredeter"/>
    <w:uiPriority w:val="99"/>
    <w:semiHidden/>
    <w:rsid w:val="000C5C7B"/>
    <w:rPr>
      <w:color w:val="808080"/>
    </w:rPr>
  </w:style>
  <w:style w:type="paragraph" w:styleId="Textonotapie">
    <w:name w:val="footnote text"/>
    <w:basedOn w:val="Normal"/>
    <w:link w:val="TextonotapieCar"/>
    <w:uiPriority w:val="99"/>
    <w:semiHidden/>
    <w:unhideWhenUsed/>
    <w:rsid w:val="000C5C7B"/>
    <w:rPr>
      <w:rFonts w:ascii="Times New Roman" w:hAnsi="Times New Roman"/>
      <w:sz w:val="20"/>
      <w:lang w:val="x-none"/>
    </w:rPr>
  </w:style>
  <w:style w:type="character" w:customStyle="1" w:styleId="TextonotapieCar">
    <w:name w:val="Texto nota pie Car"/>
    <w:basedOn w:val="Fuentedeprrafopredeter"/>
    <w:link w:val="Textonotapie"/>
    <w:uiPriority w:val="99"/>
    <w:semiHidden/>
    <w:rsid w:val="000C5C7B"/>
    <w:rPr>
      <w:lang w:val="x-none"/>
    </w:rPr>
  </w:style>
  <w:style w:type="character" w:styleId="Refdenotaalpie">
    <w:name w:val="footnote reference"/>
    <w:uiPriority w:val="99"/>
    <w:semiHidden/>
    <w:unhideWhenUsed/>
    <w:rsid w:val="000C5C7B"/>
    <w:rPr>
      <w:vertAlign w:val="superscript"/>
    </w:rPr>
  </w:style>
  <w:style w:type="paragraph" w:styleId="Textoindependiente3">
    <w:name w:val="Body Text 3"/>
    <w:basedOn w:val="Normal"/>
    <w:link w:val="Textoindependiente3Car"/>
    <w:semiHidden/>
    <w:rsid w:val="006D7181"/>
    <w:pPr>
      <w:tabs>
        <w:tab w:val="left" w:pos="-720"/>
      </w:tabs>
      <w:suppressAutoHyphens/>
      <w:outlineLvl w:val="0"/>
    </w:pPr>
    <w:rPr>
      <w:rFonts w:ascii="Times New Roman" w:hAnsi="Times New Roman"/>
      <w:b/>
      <w:spacing w:val="-3"/>
      <w:sz w:val="24"/>
      <w:u w:val="single"/>
      <w:lang w:val="x-none"/>
    </w:rPr>
  </w:style>
  <w:style w:type="character" w:customStyle="1" w:styleId="Textoindependiente3Car">
    <w:name w:val="Texto independiente 3 Car"/>
    <w:basedOn w:val="Fuentedeprrafopredeter"/>
    <w:link w:val="Textoindependiente3"/>
    <w:semiHidden/>
    <w:rsid w:val="006D7181"/>
    <w:rPr>
      <w:b/>
      <w:spacing w:val="-3"/>
      <w:sz w:val="24"/>
      <w:u w:val="single"/>
      <w:lang w:val="x-none"/>
    </w:rPr>
  </w:style>
  <w:style w:type="character" w:styleId="Hipervnculovisitado">
    <w:name w:val="FollowedHyperlink"/>
    <w:basedOn w:val="Fuentedeprrafopredeter"/>
    <w:uiPriority w:val="99"/>
    <w:semiHidden/>
    <w:unhideWhenUsed/>
    <w:rsid w:val="006D71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bde.es/rss_www/Ratio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2F528-BB7F-4346-A5F8-C079648E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0</TotalTime>
  <Pages>3</Pages>
  <Words>462</Words>
  <Characters>2618</Characters>
  <Application>Microsoft Office Word</Application>
  <DocSecurity>0</DocSecurity>
  <Lines>21</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Quiros S Isabel SERVEIS GENERALS I COMPRES</dc:creator>
  <cp:lastModifiedBy>Quiros S Isabel SERVEIS GENERALS I COMPRES</cp:lastModifiedBy>
  <cp:revision>2</cp:revision>
  <cp:lastPrinted>2015-04-24T12:36:00Z</cp:lastPrinted>
  <dcterms:created xsi:type="dcterms:W3CDTF">2025-11-06T12:39:00Z</dcterms:created>
  <dcterms:modified xsi:type="dcterms:W3CDTF">2025-11-06T12:39:00Z</dcterms:modified>
</cp:coreProperties>
</file>