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color w:val="000000"/>
          <w:sz w:val="22"/>
          <w:szCs w:val="22"/>
          <w:lang w:val="ca-ES"/>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P</w:t>
      </w:r>
      <w:r>
        <w:rPr>
          <w:rFonts w:eastAsia="Arial" w:cs="Arial" w:ascii="Arial" w:hAnsi="Arial"/>
          <w:b/>
          <w:bCs/>
          <w:i/>
          <w:iCs/>
          <w:color w:val="000000"/>
          <w:sz w:val="22"/>
          <w:szCs w:val="22"/>
          <w:u w:val="none"/>
          <w:shd w:fill="auto" w:val="clear"/>
          <w:lang w:val="ca-ES"/>
        </w:rPr>
        <w:t>ropos</w:t>
      </w:r>
      <w:r>
        <w:rPr>
          <w:rFonts w:eastAsia="Arial" w:cs="Arial" w:ascii="Arial" w:hAnsi="Arial"/>
          <w:b/>
          <w:bCs/>
          <w:i/>
          <w:iCs/>
          <w:color w:val="000000"/>
          <w:sz w:val="22"/>
          <w:szCs w:val="22"/>
          <w:u w:val="none"/>
          <w:shd w:fill="auto" w:val="clear"/>
          <w:lang w:val="ca-ES"/>
        </w:rPr>
        <w:t xml:space="preserve">ta </w:t>
      </w:r>
      <w:r>
        <w:rPr>
          <w:rFonts w:eastAsia="Arial" w:cs="Arial" w:ascii="Arial" w:hAnsi="Arial"/>
          <w:b/>
          <w:bCs/>
          <w:i/>
          <w:iCs/>
          <w:color w:val="000000"/>
          <w:sz w:val="22"/>
          <w:szCs w:val="22"/>
          <w:u w:val="none"/>
          <w:shd w:fill="auto" w:val="clear"/>
          <w:lang w:val="ca-ES"/>
        </w:rPr>
        <w:t xml:space="preserve">econòmica </w:t>
      </w:r>
      <w:r>
        <w:rPr>
          <w:rFonts w:eastAsia="Arial" w:cs="Arial" w:ascii="Arial" w:hAnsi="Arial"/>
          <w:b/>
          <w:bCs/>
          <w:i/>
          <w:iCs/>
          <w:color w:val="000000"/>
          <w:sz w:val="22"/>
          <w:szCs w:val="22"/>
          <w:u w:val="none"/>
          <w:shd w:fill="auto" w:val="clear"/>
          <w:lang w:val="ca-ES"/>
        </w:rPr>
        <w:t xml:space="preserve">i documentació tècnica avaluable de forma automàtica  per participar en el procediment obert </w:t>
      </w:r>
      <w:r>
        <w:rPr>
          <w:rFonts w:eastAsia="Arial" w:cs="Arial" w:ascii="Arial" w:hAnsi="Arial"/>
          <w:b/>
          <w:bCs/>
          <w:i/>
          <w:iCs/>
          <w:color w:val="000000"/>
          <w:sz w:val="22"/>
          <w:szCs w:val="22"/>
          <w:u w:val="none"/>
          <w:shd w:fill="auto" w:val="clear"/>
          <w:lang w:val="ca-ES"/>
        </w:rPr>
        <w:t>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presentada per;</w:t>
      </w:r>
    </w:p>
    <w:p>
      <w:pPr>
        <w:pStyle w:val="BodyText"/>
        <w:spacing w:lineRule="auto" w:line="276" w:before="0" w:after="140"/>
        <w:jc w:val="both"/>
        <w:rPr>
          <w:rFonts w:ascii="Arial" w:hAnsi="Arial" w:eastAsia="NSimSun" w:cs="Arial"/>
          <w:b w:val="false"/>
          <w:bCs w:val="false"/>
          <w:i w:val="false"/>
          <w:i w:val="false"/>
          <w:iCs w:val="false"/>
          <w:strike w:val="false"/>
          <w:dstrike w:val="false"/>
          <w:outline w:val="false"/>
          <w:shadow w:val="false"/>
          <w:color w:val="000000"/>
          <w:kern w:val="2"/>
          <w:sz w:val="22"/>
          <w:szCs w:val="22"/>
          <w:u w:val="none"/>
          <w:shd w:fill="auto" w:val="clear"/>
          <w:lang w:val="ca-ES" w:eastAsia="zh-CN" w:bidi="hi-IN"/>
        </w:rPr>
      </w:pPr>
      <w:r>
        <w:rPr>
          <w:rFonts w:eastAsia="NSimSun" w:cs="Arial" w:ascii="Arial" w:hAnsi="Arial"/>
          <w:b w:val="false"/>
          <w:bCs w:val="false"/>
          <w:i w:val="false"/>
          <w:iCs w:val="false"/>
          <w:strike w:val="false"/>
          <w:dstrike w:val="false"/>
          <w:outline w:val="false"/>
          <w:shadow w:val="false"/>
          <w:color w:val="000000"/>
          <w:kern w:val="2"/>
          <w:sz w:val="22"/>
          <w:szCs w:val="22"/>
          <w:u w:val="none"/>
          <w:shd w:fill="auto" w:val="clear"/>
          <w:lang w:val="ca-ES" w:eastAsia="zh-CN" w:bidi="hi-IN"/>
        </w:rPr>
      </w:r>
    </w:p>
    <w:p>
      <w:pPr>
        <w:pStyle w:val="BodyText"/>
        <w:spacing w:lineRule="auto" w:line="276" w:before="0" w:after="140"/>
        <w:jc w:val="both"/>
        <w:rPr>
          <w:rFonts w:ascii="Arial" w:hAnsi="Arial" w:eastAsia="Arial" w:cs="Arial"/>
          <w:b/>
          <w:bCs/>
          <w:i w:val="false"/>
          <w:i w:val="false"/>
          <w:iCs w:val="false"/>
          <w:color w:val="000000"/>
          <w:sz w:val="22"/>
          <w:szCs w:val="22"/>
          <w:u w:val="none"/>
          <w:shd w:fill="auto" w:val="clear"/>
          <w:lang w:val="ca-ES"/>
        </w:rPr>
      </w:pPr>
      <w:r>
        <w:rPr>
          <w:rFonts w:eastAsia="Arial" w:cs="Arial" w:ascii="Arial" w:hAnsi="Arial"/>
          <w:b/>
          <w:bCs/>
          <w:i w:val="false"/>
          <w:iCs w:val="false"/>
          <w:color w:val="000000"/>
          <w:sz w:val="22"/>
          <w:szCs w:val="22"/>
          <w:u w:val="none"/>
          <w:shd w:fill="auto" w:val="clear"/>
          <w:lang w:val="ca-ES"/>
        </w:rPr>
        <w:t>LOT 1: Estructura, instal·lacions, ascensor.</w:t>
      </w:r>
    </w:p>
    <w:p>
      <w:pPr>
        <w:pStyle w:val="BodyText"/>
        <w:pBdr/>
        <w:spacing w:lineRule="auto" w:line="276" w:before="0" w:after="140"/>
        <w:jc w:val="both"/>
        <w:rPr>
          <w:rFonts w:ascii="Arial" w:hAnsi="Arial" w:eastAsia="Arial" w:cs="Arial"/>
          <w:b w:val="false"/>
          <w:bCs w:val="false"/>
          <w:i w:val="false"/>
          <w:i w:val="false"/>
          <w:iCs w:val="false"/>
          <w:color w:val="000000"/>
          <w:sz w:val="22"/>
          <w:szCs w:val="22"/>
          <w:u w:val="none"/>
          <w:shd w:fill="auto" w:val="clear"/>
          <w:lang w:val="ca-ES"/>
        </w:rPr>
      </w:pPr>
      <w:r>
        <w:rPr>
          <w:rFonts w:eastAsia="Arial" w:cs="Arial" w:ascii="Arial" w:hAnsi="Arial"/>
          <w:b w:val="false"/>
          <w:bCs w:val="false"/>
          <w:i w:val="false"/>
          <w:iCs w:val="false"/>
          <w:color w:val="000000"/>
          <w:sz w:val="22"/>
          <w:szCs w:val="22"/>
          <w:u w:val="none"/>
          <w:shd w:fill="auto" w:val="clear"/>
          <w:lang w:val="ca-ES"/>
        </w:rPr>
      </w:r>
    </w:p>
    <w:p>
      <w:pPr>
        <w:pStyle w:val="Subtitle"/>
        <w:widowControl/>
        <w:pBdr/>
        <w:bidi w:val="0"/>
        <w:spacing w:lineRule="auto" w:line="276" w:before="57" w:after="57"/>
        <w:jc w:val="both"/>
        <w:rPr>
          <w:rFonts w:ascii="Arial" w:hAnsi="Arial"/>
          <w:color w:val="000000"/>
          <w:sz w:val="22"/>
          <w:szCs w:val="22"/>
          <w:lang w:val="ca-ES"/>
        </w:rPr>
      </w:pPr>
      <w:r>
        <w:rPr>
          <w:i/>
          <w:iCs/>
          <w:color w:val="000000"/>
          <w:sz w:val="22"/>
          <w:szCs w:val="22"/>
          <w:lang w:val="ca-ES"/>
        </w:rPr>
        <w:t xml:space="preserve">"En/Na ......................................... amb NIF núm. ................, en nom propi, (o en representació de l'empresa .............., CIF núm. .............., domiciliada a ........... carrer ........................, núm. .......), assabentat/da de les condicions exigides per optar a la contractació relativa </w:t>
      </w:r>
      <w:r>
        <w:rPr>
          <w:i/>
          <w:iCs/>
          <w:color w:val="000000"/>
          <w:sz w:val="22"/>
          <w:szCs w:val="22"/>
          <w:lang w:val="ca-ES"/>
        </w:rPr>
        <w:t xml:space="preserve">al contracte d’obres ......................................................, es  compromet </w:t>
      </w:r>
      <w:r>
        <w:rPr>
          <w:i/>
          <w:iCs/>
          <w:color w:val="000000"/>
          <w:sz w:val="22"/>
          <w:szCs w:val="22"/>
          <w:lang w:val="ca-ES"/>
        </w:rPr>
        <w:t xml:space="preserve">a portar-la a terme amb subjecció als Plecs de Prescripcions Tècniques Particulars i de Clàusules Administratives Particulars  </w:t>
      </w:r>
      <w:r>
        <w:rPr>
          <w:i/>
          <w:iCs/>
          <w:color w:val="000000"/>
          <w:sz w:val="22"/>
          <w:szCs w:val="22"/>
          <w:lang w:val="ca-ES"/>
        </w:rPr>
        <w:t>amb les següents condicions:</w:t>
      </w:r>
    </w:p>
    <w:p>
      <w:pPr>
        <w:pStyle w:val="BodyText"/>
        <w:widowControl/>
        <w:pBdr/>
        <w:bidi w:val="0"/>
        <w:spacing w:lineRule="auto" w:line="276" w:before="57" w:after="57"/>
        <w:jc w:val="both"/>
        <w:rPr>
          <w:rFonts w:ascii="Arial" w:hAnsi="Arial"/>
          <w:i/>
          <w:i/>
          <w:iCs/>
          <w:color w:val="000000"/>
          <w:sz w:val="22"/>
          <w:szCs w:val="22"/>
          <w:lang w:val="ca-ES"/>
        </w:rPr>
      </w:pPr>
      <w:r>
        <w:rPr>
          <w:rFonts w:ascii="Arial" w:hAnsi="Arial"/>
          <w:i/>
          <w:iCs/>
          <w:color w:val="000000"/>
          <w:sz w:val="22"/>
          <w:szCs w:val="22"/>
          <w:lang w:val="ca-ES"/>
        </w:rPr>
      </w:r>
    </w:p>
    <w:p>
      <w:pPr>
        <w:pStyle w:val="Normal"/>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B.1. </w:t>
      </w:r>
      <w:r>
        <w:rPr>
          <w:rFonts w:cs="Arial" w:ascii="Arial" w:hAnsi="Arial"/>
          <w:b w:val="false"/>
          <w:bCs w:val="false"/>
          <w:i/>
          <w:iCs/>
          <w:strike w:val="false"/>
          <w:dstrike w:val="false"/>
          <w:color w:val="auto"/>
          <w:sz w:val="22"/>
          <w:szCs w:val="22"/>
          <w:u w:val="single"/>
        </w:rPr>
        <w:t>Oferta econòmica sobre el pressupost de licitació</w:t>
      </w:r>
    </w:p>
    <w:p>
      <w:pPr>
        <w:pStyle w:val="Normal"/>
        <w:spacing w:lineRule="auto" w:line="276"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8917" w:type="dxa"/>
        <w:jc w:val="right"/>
        <w:tblInd w:w="0" w:type="dxa"/>
        <w:tblLayout w:type="fixed"/>
        <w:tblCellMar>
          <w:top w:w="55" w:type="dxa"/>
          <w:left w:w="55" w:type="dxa"/>
          <w:bottom w:w="55" w:type="dxa"/>
          <w:right w:w="55" w:type="dxa"/>
        </w:tblCellMar>
      </w:tblPr>
      <w:tblGrid>
        <w:gridCol w:w="1145"/>
        <w:gridCol w:w="2482"/>
        <w:gridCol w:w="2223"/>
        <w:gridCol w:w="3067"/>
      </w:tblGrid>
      <w:tr>
        <w:trPr/>
        <w:tc>
          <w:tcPr>
            <w:tcW w:w="114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2482"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PRESSUPOST NET OFERT  (IVA exclòs)</w:t>
            </w:r>
          </w:p>
        </w:tc>
        <w:tc>
          <w:tcPr>
            <w:tcW w:w="2223"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 xml:space="preserve">IMPORT IVA </w:t>
            </w:r>
          </w:p>
        </w:tc>
        <w:tc>
          <w:tcPr>
            <w:tcW w:w="3067" w:type="dxa"/>
            <w:tcBorders>
              <w:top w:val="single" w:sz="4" w:space="0" w:color="000000"/>
              <w:left w:val="single" w:sz="4" w:space="0" w:color="000000"/>
              <w:bottom w:val="single" w:sz="4" w:space="0" w:color="000000"/>
              <w:right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PRESSUPOST DE LA LICITACIÓ (IVA inclòs)</w:t>
            </w:r>
          </w:p>
        </w:tc>
      </w:tr>
      <w:tr>
        <w:trPr/>
        <w:tc>
          <w:tcPr>
            <w:tcW w:w="114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TOTAL</w:t>
            </w:r>
          </w:p>
        </w:tc>
        <w:tc>
          <w:tcPr>
            <w:tcW w:w="2482"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2223"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3067" w:type="dxa"/>
            <w:tcBorders>
              <w:top w:val="single" w:sz="4" w:space="0" w:color="000000"/>
              <w:left w:val="single" w:sz="4" w:space="0" w:color="000000"/>
              <w:bottom w:val="single" w:sz="4" w:space="0" w:color="000000"/>
              <w:right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r>
    </w:tbl>
    <w:p>
      <w:pPr>
        <w:pStyle w:val="Normal"/>
        <w:bidi w:val="0"/>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*Quedaran excloses del procediment de licitació les ofertes que presentin un import superior al pressupost base de licitació. L’import de l’oferta s’haurà d’indicar sense IVA però caldrà obligatòriament que s’indiqui l’import corresponent a l’IVA de l’oferta. </w:t>
      </w:r>
    </w:p>
    <w:p>
      <w:pPr>
        <w:pStyle w:val="Normal"/>
        <w:bidi w:val="0"/>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t xml:space="preserve">** L’oferta econòmica desglossarà els costos directes i indirectes precisant el benefici industrial i les despeses generals, i s’imputarà l’IVA amb partida independent. </w:t>
      </w:r>
    </w:p>
    <w:p>
      <w:pPr>
        <w:pStyle w:val="Normal"/>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B.2. </w:t>
      </w:r>
      <w:r>
        <w:rPr>
          <w:rFonts w:cs="Arial" w:ascii="Arial" w:hAnsi="Arial"/>
          <w:b w:val="false"/>
          <w:bCs w:val="false"/>
          <w:i/>
          <w:iCs/>
          <w:strike w:val="false"/>
          <w:dstrike w:val="false"/>
          <w:color w:val="auto"/>
          <w:sz w:val="22"/>
          <w:szCs w:val="22"/>
          <w:u w:val="single"/>
        </w:rPr>
        <w:t>Oferta de rebaixa dels preus contradictoris</w:t>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3660" w:type="dxa"/>
        <w:jc w:val="left"/>
        <w:tblInd w:w="756" w:type="dxa"/>
        <w:tblLayout w:type="fixed"/>
        <w:tblCellMar>
          <w:top w:w="55" w:type="dxa"/>
          <w:left w:w="55" w:type="dxa"/>
          <w:bottom w:w="55" w:type="dxa"/>
          <w:right w:w="55" w:type="dxa"/>
        </w:tblCellMar>
      </w:tblPr>
      <w:tblGrid>
        <w:gridCol w:w="3660"/>
      </w:tblGrid>
      <w:tr>
        <w:trPr/>
        <w:tc>
          <w:tcPr>
            <w:tcW w:w="3660" w:type="dxa"/>
            <w:tcBorders>
              <w:top w:val="single" w:sz="4" w:space="0" w:color="000000"/>
              <w:left w:val="single" w:sz="4" w:space="0" w:color="000000"/>
              <w:bottom w:val="single" w:sz="4" w:space="0" w:color="000000"/>
            </w:tcBorders>
          </w:tcPr>
          <w:p>
            <w:pPr>
              <w:pStyle w:val="Contingutdelataula"/>
              <w:jc w:val="both"/>
              <w:rPr>
                <w:rFonts w:ascii="Arial" w:hAnsi="Arial" w:cs="Arial"/>
                <w:b w:val="false"/>
                <w:bCs w:val="false"/>
                <w:i/>
                <w:i/>
                <w:iCs/>
                <w:strike w:val="false"/>
                <w:dstrike w:val="false"/>
                <w:outline w:val="false"/>
                <w:shadow w:val="false"/>
                <w:color w:val="auto"/>
                <w:sz w:val="22"/>
                <w:szCs w:val="22"/>
                <w:u w:val="none"/>
              </w:rPr>
            </w:pPr>
            <w:r>
              <w:rPr>
                <w:rFonts w:cs="Arial" w:ascii="Arial" w:hAnsi="Arial"/>
                <w:b w:val="false"/>
                <w:bCs w:val="false"/>
                <w:i/>
                <w:iCs/>
                <w:strike w:val="false"/>
                <w:dstrike w:val="false"/>
                <w:outline w:val="false"/>
                <w:shadow w:val="false"/>
                <w:color w:val="auto"/>
                <w:sz w:val="22"/>
                <w:szCs w:val="22"/>
                <w:u w:val="none"/>
              </w:rPr>
              <w:t>BAIXA OFERTA SOBRE PREUS CONTRADICTORIS</w:t>
            </w:r>
          </w:p>
        </w:tc>
      </w:tr>
      <w:tr>
        <w:trPr/>
        <w:tc>
          <w:tcPr>
            <w:tcW w:w="3660" w:type="dxa"/>
            <w:tcBorders>
              <w:top w:val="single" w:sz="4" w:space="0" w:color="000000"/>
              <w:left w:val="single" w:sz="4" w:space="0" w:color="000000"/>
              <w:bottom w:val="single" w:sz="4" w:space="0" w:color="000000"/>
            </w:tcBorders>
          </w:tcPr>
          <w:p>
            <w:pPr>
              <w:pStyle w:val="Contingutdelataula"/>
              <w:jc w:val="both"/>
              <w:rPr>
                <w:rFonts w:ascii="Arial" w:hAnsi="Arial"/>
                <w:sz w:val="22"/>
                <w:szCs w:val="22"/>
              </w:rPr>
            </w:pPr>
            <w:r>
              <w:rPr>
                <w:rFonts w:eastAsia="Arial" w:cs="Arial" w:ascii="Arial" w:hAnsi="Arial"/>
                <w:b w:val="false"/>
                <w:bCs w:val="false"/>
                <w:i/>
                <w:iCs/>
                <w:strike w:val="false"/>
                <w:dstrike w:val="false"/>
                <w:outline w:val="false"/>
                <w:shadow w:val="false"/>
                <w:color w:val="auto"/>
                <w:sz w:val="22"/>
                <w:szCs w:val="22"/>
                <w:u w:val="none"/>
              </w:rPr>
              <w:t xml:space="preserve">                         </w:t>
            </w:r>
            <w:r>
              <w:rPr>
                <w:rFonts w:cs="Arial" w:ascii="Arial" w:hAnsi="Arial"/>
                <w:b w:val="false"/>
                <w:bCs w:val="false"/>
                <w:i/>
                <w:iCs/>
                <w:strike w:val="false"/>
                <w:dstrike w:val="false"/>
                <w:outline w:val="false"/>
                <w:shadow w:val="false"/>
                <w:color w:val="auto"/>
                <w:sz w:val="22"/>
                <w:szCs w:val="22"/>
                <w:u w:val="none"/>
              </w:rPr>
              <w:t>................%</w:t>
            </w:r>
          </w:p>
        </w:tc>
      </w:tr>
    </w:tbl>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B.3. </w:t>
      </w:r>
      <w:r>
        <w:rPr>
          <w:rFonts w:cs="Arial" w:ascii="Arial" w:hAnsi="Arial"/>
          <w:b w:val="false"/>
          <w:bCs w:val="false"/>
          <w:i/>
          <w:iCs/>
          <w:strike w:val="false"/>
          <w:dstrike w:val="false"/>
          <w:color w:val="auto"/>
          <w:sz w:val="22"/>
          <w:szCs w:val="22"/>
          <w:u w:val="single"/>
        </w:rPr>
        <w:t>Oferta d’ampliació del termini de garantia</w:t>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4995" w:type="dxa"/>
        <w:jc w:val="left"/>
        <w:tblInd w:w="771" w:type="dxa"/>
        <w:tblLayout w:type="fixed"/>
        <w:tblCellMar>
          <w:top w:w="55" w:type="dxa"/>
          <w:left w:w="55" w:type="dxa"/>
          <w:bottom w:w="55" w:type="dxa"/>
          <w:right w:w="55" w:type="dxa"/>
        </w:tblCellMar>
      </w:tblPr>
      <w:tblGrid>
        <w:gridCol w:w="4995"/>
      </w:tblGrid>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jc w:val="both"/>
              <w:rPr>
                <w:rFonts w:ascii="Arial" w:hAnsi="Arial"/>
                <w:b w:val="false"/>
                <w:bCs w:val="false"/>
                <w:sz w:val="22"/>
                <w:szCs w:val="22"/>
              </w:rPr>
            </w:pPr>
            <w:r>
              <w:rPr>
                <w:rFonts w:cs="Arial" w:ascii="Arial" w:hAnsi="Arial"/>
                <w:b w:val="false"/>
                <w:bCs w:val="false"/>
                <w:i/>
                <w:iCs/>
                <w:strike w:val="false"/>
                <w:dstrike w:val="false"/>
                <w:outline w:val="false"/>
                <w:shadow w:val="false"/>
                <w:color w:val="auto"/>
                <w:sz w:val="22"/>
                <w:szCs w:val="22"/>
                <w:u w:val="none"/>
              </w:rPr>
              <w:t xml:space="preserve">Nombre de mesos </w:t>
            </w:r>
            <w:r>
              <w:rPr>
                <w:rFonts w:cs="Arial" w:ascii="Arial" w:hAnsi="Arial"/>
                <w:b w:val="false"/>
                <w:bCs w:val="false"/>
                <w:i/>
                <w:iCs/>
                <w:strike w:val="false"/>
                <w:dstrike w:val="false"/>
                <w:outline w:val="false"/>
                <w:shadow w:val="false"/>
                <w:color w:val="auto"/>
                <w:sz w:val="22"/>
                <w:szCs w:val="22"/>
                <w:u w:val="single"/>
              </w:rPr>
              <w:t>addicionals</w:t>
            </w:r>
            <w:r>
              <w:rPr>
                <w:rFonts w:cs="Arial" w:ascii="Arial" w:hAnsi="Arial"/>
                <w:b w:val="false"/>
                <w:bCs w:val="false"/>
                <w:i/>
                <w:iCs/>
                <w:strike w:val="false"/>
                <w:dstrike w:val="false"/>
                <w:outline w:val="false"/>
                <w:shadow w:val="false"/>
                <w:color w:val="auto"/>
                <w:sz w:val="22"/>
                <w:szCs w:val="22"/>
                <w:u w:val="none"/>
              </w:rPr>
              <w:t xml:space="preserve"> de garantia</w:t>
            </w:r>
          </w:p>
        </w:tc>
      </w:tr>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jc w:val="both"/>
              <w:rPr>
                <w:rFonts w:ascii="Arial" w:hAnsi="Arial" w:eastAsia="Arial" w:cs="Arial"/>
                <w:b w:val="false"/>
                <w:bCs w:val="false"/>
                <w:i/>
                <w:i/>
                <w:iCs/>
                <w:strike w:val="false"/>
                <w:dstrike w:val="false"/>
                <w:outline w:val="false"/>
                <w:shadow w:val="false"/>
                <w:color w:val="auto"/>
                <w:sz w:val="22"/>
                <w:szCs w:val="22"/>
                <w:u w:val="none"/>
              </w:rPr>
            </w:pPr>
            <w:r>
              <w:rPr>
                <w:rFonts w:eastAsia="Arial" w:cs="Arial" w:ascii="Arial" w:hAnsi="Arial"/>
                <w:b w:val="false"/>
                <w:bCs w:val="false"/>
                <w:i/>
                <w:iCs/>
                <w:strike w:val="false"/>
                <w:dstrike w:val="false"/>
                <w:outline w:val="false"/>
                <w:shadow w:val="false"/>
                <w:color w:val="auto"/>
                <w:sz w:val="22"/>
                <w:szCs w:val="22"/>
                <w:u w:val="none"/>
              </w:rPr>
              <w:t xml:space="preserve">                       </w:t>
            </w:r>
          </w:p>
        </w:tc>
      </w:tr>
    </w:tbl>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lineRule="auto" w:line="276" w:before="0" w:after="0"/>
        <w:jc w:val="both"/>
        <w:rPr>
          <w:rFonts w:ascii="Arial" w:hAnsi="Arial"/>
          <w:sz w:val="22"/>
          <w:szCs w:val="22"/>
        </w:rPr>
      </w:pPr>
      <w:r>
        <w:rPr>
          <w:rFonts w:eastAsia="NSimSun" w:cs="Arial" w:ascii="Arial" w:hAnsi="Arial"/>
          <w:b w:val="false"/>
          <w:bCs w:val="false"/>
          <w:i/>
          <w:iCs/>
          <w:strike w:val="false"/>
          <w:dstrike w:val="false"/>
          <w:color w:val="auto"/>
          <w:kern w:val="2"/>
          <w:sz w:val="22"/>
          <w:szCs w:val="22"/>
          <w:u w:val="none"/>
          <w:lang w:val="ca-ES" w:eastAsia="zh-CN" w:bidi="hi-IN"/>
        </w:rPr>
        <w:t xml:space="preserve">*El licitador haurà d’especificar el nombre de </w:t>
      </w:r>
      <w:r>
        <w:rPr>
          <w:rFonts w:eastAsia="NSimSun" w:cs="Arial" w:ascii="Arial" w:hAnsi="Arial"/>
          <w:b w:val="false"/>
          <w:bCs w:val="false"/>
          <w:i/>
          <w:iCs/>
          <w:strike w:val="false"/>
          <w:dstrike w:val="false"/>
          <w:color w:val="auto"/>
          <w:kern w:val="2"/>
          <w:sz w:val="22"/>
          <w:szCs w:val="22"/>
          <w:u w:val="single"/>
          <w:lang w:val="ca-ES" w:eastAsia="zh-CN" w:bidi="hi-IN"/>
        </w:rPr>
        <w:t>mesos addicionals</w:t>
      </w:r>
      <w:r>
        <w:rPr>
          <w:rFonts w:eastAsia="NSimSun" w:cs="Arial" w:ascii="Arial" w:hAnsi="Arial"/>
          <w:b w:val="false"/>
          <w:bCs w:val="false"/>
          <w:i/>
          <w:iCs/>
          <w:strike w:val="false"/>
          <w:dstrike w:val="false"/>
          <w:color w:val="auto"/>
          <w:kern w:val="2"/>
          <w:sz w:val="22"/>
          <w:szCs w:val="22"/>
          <w:u w:val="none"/>
          <w:lang w:val="ca-ES" w:eastAsia="zh-CN" w:bidi="hi-IN"/>
        </w:rPr>
        <w:t xml:space="preserve"> d’ampliació de termini de garantia, fins a un màxim que suposi doblar el termini de garantia especificat al Plec. El termini de garantia mínim es fixa en 12 mesos des del dia següent al de l'Acta de recepció. Per aquest motiu la garantia màxima que poden ampliar els licitador és només per 12 mesos més.</w:t>
      </w:r>
    </w:p>
    <w:p>
      <w:pPr>
        <w:pStyle w:val="Normal"/>
        <w:widowControl/>
        <w:pBdr/>
        <w:bidi w:val="0"/>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rPr>
          <w:rFonts w:ascii="Arial" w:hAnsi="Arial" w:cs="Arial"/>
          <w:b/>
          <w:bCs/>
          <w:sz w:val="22"/>
          <w:szCs w:val="22"/>
          <w:lang w:val="ca-ES"/>
        </w:rPr>
      </w:pPr>
      <w:r>
        <w:rPr>
          <w:rFonts w:cs="Arial" w:ascii="Arial" w:hAnsi="Arial"/>
          <w:b/>
          <w:bCs/>
          <w:sz w:val="22"/>
          <w:szCs w:val="22"/>
          <w:lang w:val="ca-ES"/>
        </w:rPr>
      </w:r>
    </w:p>
    <w:p>
      <w:pPr>
        <w:pStyle w:val="TOC1"/>
        <w:numPr>
          <w:ilvl w:val="0"/>
          <w:numId w:val="2"/>
        </w:numPr>
        <w:pBdr/>
        <w:spacing w:lineRule="auto" w:line="276"/>
        <w:jc w:val="both"/>
        <w:rPr>
          <w:rFonts w:ascii="Arial" w:hAnsi="Arial" w:cs="Arial"/>
          <w:b/>
          <w:bCs/>
          <w:sz w:val="22"/>
          <w:szCs w:val="22"/>
          <w:lang w:val="ca-ES"/>
        </w:rPr>
      </w:pPr>
      <w:r>
        <w:rPr>
          <w:rFonts w:cs="Arial"/>
          <w:b/>
          <w:bCs/>
          <w:sz w:val="22"/>
          <w:szCs w:val="22"/>
          <w:lang w:val="ca-ES"/>
        </w:rPr>
      </w:r>
    </w:p>
    <w:p>
      <w:pPr>
        <w:pStyle w:val="Subtitle"/>
        <w:widowControl/>
        <w:pBdr/>
        <w:bidi w:val="0"/>
        <w:spacing w:lineRule="auto" w:line="276" w:before="57" w:after="57"/>
        <w:jc w:val="both"/>
        <w:rPr>
          <w:rFonts w:ascii="Arial" w:hAnsi="Arial" w:cs="Arial"/>
          <w:b/>
          <w:bCs/>
          <w:color w:val="auto"/>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cs="Arial"/>
          <w:b/>
          <w:bCs/>
          <w:i/>
          <w:iCs/>
          <w:color w:val="000000"/>
          <w:sz w:val="22"/>
          <w:szCs w:val="22"/>
          <w:lang w:val="ca-ES"/>
        </w:rPr>
        <w:t>.</w:t>
      </w:r>
      <w:r>
        <w:rPr>
          <w:rFonts w:cs="Arial"/>
          <w:b w:val="false"/>
          <w:bCs w:val="false"/>
          <w:i/>
          <w:iCs/>
          <w:color w:val="000000"/>
          <w:sz w:val="22"/>
          <w:szCs w:val="22"/>
          <w:lang w:val="ca-ES"/>
        </w:rPr>
        <w:t>»</w:t>
      </w:r>
    </w:p>
    <w:p>
      <w:pPr>
        <w:pStyle w:val="BodyText"/>
        <w:spacing w:lineRule="auto" w:line="276" w:before="0" w:after="120"/>
        <w:jc w:val="both"/>
        <w:rPr>
          <w:rFonts w:ascii="Arial" w:hAnsi="Arial" w:eastAsia="Arial" w:cs="Arial"/>
          <w:b w:val="false"/>
          <w:bCs w:val="false"/>
          <w:i/>
          <w:i/>
          <w:iCs/>
          <w:color w:val="000000"/>
          <w:sz w:val="22"/>
          <w:szCs w:val="22"/>
          <w:u w:val="none"/>
          <w:shd w:fill="auto" w:val="clear"/>
          <w:lang w:val="ca-ES"/>
        </w:rPr>
      </w:pPr>
      <w:r>
        <w:rPr>
          <w:rFonts w:ascii="Arial" w:hAnsi="Arial"/>
          <w:color w:val="auto"/>
          <w:sz w:val="22"/>
          <w:szCs w:val="22"/>
          <w:lang w:val="ca-E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3">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3">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paragraph" w:styleId="Contingutdelataulauser">
    <w:name w:val="Contingut de la taula (user)"/>
    <w:basedOn w:val="Normal"/>
    <w:qFormat/>
    <w:pPr>
      <w:suppressLineNumbers/>
    </w:pPr>
    <w:rPr/>
  </w:style>
  <w:style w:type="paragraph" w:styleId="Contingutdelataula">
    <w:name w:val="Contingut de la taula"/>
    <w:basedOn w:val="Normal"/>
    <w:qFormat/>
    <w:pPr>
      <w:suppressLineNumbers/>
    </w:pPr>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20</TotalTime>
  <Application>LibreOffice/24.8.7.2$Windows_X86_64 LibreOffice_project/e07d0a63a46349d29051da79b1fde8160bab2a89</Application>
  <AppVersion>15.0000</AppVersion>
  <Pages>2</Pages>
  <Words>270</Words>
  <Characters>1726</Characters>
  <CharactersWithSpaces>2034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2025-11-10T12:25:47Z</dcterms:modified>
  <cp:revision>22</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