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1B" w:rsidRDefault="00164D1B" w:rsidP="00164D1B">
      <w:pPr>
        <w:pStyle w:val="Peu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64D1B" w:rsidRPr="00164D1B" w:rsidRDefault="00164D1B" w:rsidP="00164D1B">
      <w:pPr>
        <w:pStyle w:val="Peu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164D1B">
        <w:rPr>
          <w:rFonts w:ascii="Arial Narrow" w:hAnsi="Arial Narrow" w:cs="Arial"/>
          <w:b/>
          <w:sz w:val="22"/>
          <w:szCs w:val="22"/>
          <w:u w:val="single"/>
        </w:rPr>
        <w:t xml:space="preserve">ANNEX 6 </w:t>
      </w:r>
    </w:p>
    <w:p w:rsidR="00164D1B" w:rsidRPr="00164D1B" w:rsidRDefault="00164D1B" w:rsidP="00164D1B">
      <w:pPr>
        <w:pStyle w:val="Peu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64D1B" w:rsidRPr="00164D1B" w:rsidRDefault="00164D1B" w:rsidP="00164D1B">
      <w:pPr>
        <w:pStyle w:val="Peu"/>
        <w:jc w:val="both"/>
        <w:rPr>
          <w:rFonts w:ascii="Arial Narrow" w:hAnsi="Arial Narrow" w:cs="Arial"/>
          <w:sz w:val="22"/>
          <w:szCs w:val="22"/>
          <w:u w:val="single"/>
        </w:rPr>
      </w:pPr>
      <w:r w:rsidRPr="00164D1B">
        <w:rPr>
          <w:rFonts w:ascii="Arial Narrow" w:hAnsi="Arial Narrow" w:cs="Arial"/>
          <w:sz w:val="22"/>
          <w:szCs w:val="22"/>
          <w:u w:val="single"/>
        </w:rPr>
        <w:t>TARIFES MÀXIMES APLICABLES AL SERVEI DE VISITES DE LA COLÒNIA GÜELL I LA CRIPTA DE LA COLÒNIA GÜELL</w:t>
      </w:r>
    </w:p>
    <w:p w:rsidR="00164D1B" w:rsidRPr="00164D1B" w:rsidRDefault="00164D1B" w:rsidP="00164D1B">
      <w:pPr>
        <w:pStyle w:val="Peu"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  <w:r w:rsidRPr="00164D1B">
        <w:rPr>
          <w:rFonts w:ascii="Arial Narrow" w:hAnsi="Arial Narrow"/>
          <w:bCs/>
          <w:sz w:val="22"/>
          <w:szCs w:val="22"/>
        </w:rPr>
        <w:t xml:space="preserve">Per al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període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comprés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entre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l’inici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del contracte, que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està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fixat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pel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dia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21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d’abril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de 2025, i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fins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el 31 de desembre de 2025,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estaran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vigents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la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relació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de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preus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màxims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en euros que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segueix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quals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s’haurà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d’aplicar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l’IVA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corresponent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que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actualment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està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fixat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en un 10%, i que també queda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detallat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a la taula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següent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>:</w:t>
      </w: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1029"/>
        <w:gridCol w:w="1014"/>
        <w:gridCol w:w="1029"/>
        <w:gridCol w:w="1014"/>
      </w:tblGrid>
      <w:tr w:rsidR="00164D1B" w:rsidRPr="00164D1B" w:rsidTr="00313EFE">
        <w:tc>
          <w:tcPr>
            <w:tcW w:w="5495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Tipologia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visites</w:t>
            </w:r>
          </w:p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Entrada general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Entrada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reduïda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*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sense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134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134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sense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134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  <w:vAlign w:val="center"/>
          </w:tcPr>
          <w:p w:rsidR="00164D1B" w:rsidRPr="00164D1B" w:rsidRDefault="00164D1B" w:rsidP="00164D1B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audioguiada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9,09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8,00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  <w:vAlign w:val="center"/>
          </w:tcPr>
          <w:p w:rsidR="00164D1B" w:rsidRPr="00164D1B" w:rsidRDefault="00164D1B" w:rsidP="00164D1B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no guiada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>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6,36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7,00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  <w:vAlign w:val="center"/>
          </w:tcPr>
          <w:p w:rsidR="00164D1B" w:rsidRPr="00164D1B" w:rsidRDefault="00164D1B" w:rsidP="00164D1B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Cripta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10,00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8,70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11,82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9,27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10,20</w:t>
            </w:r>
          </w:p>
        </w:tc>
      </w:tr>
      <w:tr w:rsidR="00164D1B" w:rsidRPr="00164D1B" w:rsidTr="00313EFE">
        <w:tc>
          <w:tcPr>
            <w:tcW w:w="5495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10,00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8,70</w:t>
            </w:r>
          </w:p>
        </w:tc>
      </w:tr>
    </w:tbl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9"/>
        <w:gridCol w:w="979"/>
        <w:gridCol w:w="1102"/>
        <w:gridCol w:w="1168"/>
      </w:tblGrid>
      <w:tr w:rsidR="00164D1B" w:rsidRPr="00164D1B" w:rsidTr="00164D1B">
        <w:tc>
          <w:tcPr>
            <w:tcW w:w="4106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Tipologia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visites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Entrada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grups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no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escolars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Entrada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grups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escolars</w:t>
            </w:r>
            <w:proofErr w:type="spellEnd"/>
          </w:p>
        </w:tc>
      </w:tr>
      <w:tr w:rsidR="00164D1B" w:rsidRPr="00164D1B" w:rsidTr="00164D1B">
        <w:tc>
          <w:tcPr>
            <w:tcW w:w="4106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sense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979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102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sense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168" w:type="dxa"/>
            <w:shd w:val="clear" w:color="auto" w:fill="auto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164D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</w:tr>
      <w:tr w:rsidR="00164D1B" w:rsidRPr="00164D1B" w:rsidTr="00164D1B">
        <w:tc>
          <w:tcPr>
            <w:tcW w:w="4106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audioguiada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6,82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7,50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Modalitat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no disponible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Modalitat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no disponible</w:t>
            </w:r>
          </w:p>
        </w:tc>
      </w:tr>
      <w:tr w:rsidR="00164D1B" w:rsidRPr="00164D1B" w:rsidTr="00164D1B">
        <w:tc>
          <w:tcPr>
            <w:tcW w:w="4106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no guiada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>***</w:t>
            </w:r>
          </w:p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6,09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6,70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4,55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5,00</w:t>
            </w:r>
          </w:p>
        </w:tc>
      </w:tr>
      <w:tr w:rsidR="00164D1B" w:rsidRPr="00164D1B" w:rsidTr="00164D1B">
        <w:tc>
          <w:tcPr>
            <w:tcW w:w="4106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Cripta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8,09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8,90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7,27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8,00</w:t>
            </w:r>
          </w:p>
        </w:tc>
      </w:tr>
      <w:tr w:rsidR="00164D1B" w:rsidRPr="00164D1B" w:rsidTr="00164D1B">
        <w:tc>
          <w:tcPr>
            <w:tcW w:w="4106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Cripta i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8,82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9,70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8,18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9,00</w:t>
            </w:r>
          </w:p>
        </w:tc>
      </w:tr>
      <w:tr w:rsidR="00164D1B" w:rsidRPr="00164D1B" w:rsidTr="00164D1B">
        <w:tc>
          <w:tcPr>
            <w:tcW w:w="4106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Visita guiada a la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Colònia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Güell en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inclou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escoles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) +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exposició</w:t>
            </w:r>
            <w:proofErr w:type="spellEnd"/>
            <w:r w:rsidRPr="00164D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164D1B">
              <w:rPr>
                <w:rFonts w:ascii="Arial Narrow" w:hAnsi="Arial Narrow"/>
                <w:bCs/>
                <w:sz w:val="22"/>
                <w:szCs w:val="22"/>
              </w:rPr>
              <w:t>permanent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8,09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8,90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7,27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4D1B" w:rsidRPr="00164D1B" w:rsidRDefault="00164D1B" w:rsidP="00313EF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164D1B">
              <w:rPr>
                <w:rFonts w:ascii="Arial Narrow" w:hAnsi="Arial Narrow"/>
                <w:bCs/>
                <w:sz w:val="22"/>
                <w:szCs w:val="22"/>
              </w:rPr>
              <w:t>8,00</w:t>
            </w:r>
          </w:p>
        </w:tc>
      </w:tr>
    </w:tbl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  <w:r w:rsidRPr="00164D1B">
        <w:rPr>
          <w:rFonts w:ascii="Arial Narrow" w:hAnsi="Arial Narrow"/>
          <w:bCs/>
          <w:sz w:val="22"/>
          <w:szCs w:val="22"/>
        </w:rPr>
        <w:t>*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L’entrada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reduïda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s’aplica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a les persones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jubilades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pensionistes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estudiants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membres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de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famílies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nombroses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i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amb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targeta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de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discapacitat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>.</w:t>
      </w: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</w:p>
    <w:p w:rsidR="00164D1B" w:rsidRPr="00164D1B" w:rsidRDefault="00164D1B" w:rsidP="00164D1B">
      <w:pPr>
        <w:jc w:val="both"/>
        <w:rPr>
          <w:rFonts w:ascii="Arial Narrow" w:hAnsi="Arial Narrow"/>
          <w:bCs/>
          <w:sz w:val="22"/>
          <w:szCs w:val="22"/>
        </w:rPr>
      </w:pPr>
      <w:r w:rsidRPr="00164D1B">
        <w:rPr>
          <w:rFonts w:ascii="Arial Narrow" w:hAnsi="Arial Narrow"/>
          <w:bCs/>
          <w:sz w:val="22"/>
          <w:szCs w:val="22"/>
        </w:rPr>
        <w:t>**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L’entrada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per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grups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no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escolars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s’apliquen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que arriben a la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Colònia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com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tals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i no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que es formen a partir de la suma de persones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visitants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individuals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, que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se’ls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aplicarà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l’entrada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general o la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reduïda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segons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 xml:space="preserve"> la </w:t>
      </w:r>
      <w:proofErr w:type="spellStart"/>
      <w:r w:rsidRPr="00164D1B">
        <w:rPr>
          <w:rFonts w:ascii="Arial Narrow" w:hAnsi="Arial Narrow"/>
          <w:bCs/>
          <w:sz w:val="22"/>
          <w:szCs w:val="22"/>
        </w:rPr>
        <w:t>tipologia</w:t>
      </w:r>
      <w:proofErr w:type="spellEnd"/>
      <w:r w:rsidRPr="00164D1B">
        <w:rPr>
          <w:rFonts w:ascii="Arial Narrow" w:hAnsi="Arial Narrow"/>
          <w:bCs/>
          <w:sz w:val="22"/>
          <w:szCs w:val="22"/>
        </w:rPr>
        <w:t>.</w:t>
      </w:r>
    </w:p>
    <w:p w:rsidR="00164D1B" w:rsidRPr="00164D1B" w:rsidRDefault="00164D1B" w:rsidP="00164D1B">
      <w:pPr>
        <w:jc w:val="both"/>
        <w:rPr>
          <w:rFonts w:ascii="Arial Narrow" w:hAnsi="Arial Narrow"/>
          <w:sz w:val="22"/>
          <w:szCs w:val="22"/>
        </w:rPr>
      </w:pPr>
    </w:p>
    <w:p w:rsidR="00164D1B" w:rsidRPr="00164D1B" w:rsidRDefault="00164D1B" w:rsidP="00164D1B">
      <w:pPr>
        <w:jc w:val="both"/>
        <w:rPr>
          <w:rFonts w:ascii="Arial Narrow" w:hAnsi="Arial Narrow"/>
          <w:sz w:val="22"/>
          <w:szCs w:val="22"/>
        </w:rPr>
      </w:pPr>
      <w:r w:rsidRPr="00164D1B">
        <w:rPr>
          <w:rFonts w:ascii="Arial Narrow" w:hAnsi="Arial Narrow"/>
          <w:sz w:val="22"/>
          <w:szCs w:val="22"/>
        </w:rPr>
        <w:t xml:space="preserve">***La visita no guiada </w:t>
      </w:r>
      <w:proofErr w:type="spellStart"/>
      <w:r w:rsidRPr="00164D1B">
        <w:rPr>
          <w:rFonts w:ascii="Arial Narrow" w:hAnsi="Arial Narrow"/>
          <w:sz w:val="22"/>
          <w:szCs w:val="22"/>
        </w:rPr>
        <w:t>és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l’opció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que </w:t>
      </w:r>
      <w:proofErr w:type="spellStart"/>
      <w:r w:rsidRPr="00164D1B">
        <w:rPr>
          <w:rFonts w:ascii="Arial Narrow" w:hAnsi="Arial Narrow"/>
          <w:sz w:val="22"/>
          <w:szCs w:val="22"/>
        </w:rPr>
        <w:t>s’ofereix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a les persones o </w:t>
      </w:r>
      <w:proofErr w:type="spellStart"/>
      <w:r w:rsidRPr="00164D1B">
        <w:rPr>
          <w:rFonts w:ascii="Arial Narrow" w:hAnsi="Arial Narrow"/>
          <w:sz w:val="22"/>
          <w:szCs w:val="22"/>
        </w:rPr>
        <w:t>grups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no </w:t>
      </w:r>
      <w:proofErr w:type="spellStart"/>
      <w:r w:rsidRPr="00164D1B">
        <w:rPr>
          <w:rFonts w:ascii="Arial Narrow" w:hAnsi="Arial Narrow"/>
          <w:sz w:val="22"/>
          <w:szCs w:val="22"/>
        </w:rPr>
        <w:t>escolars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que </w:t>
      </w:r>
      <w:proofErr w:type="spellStart"/>
      <w:r w:rsidRPr="00164D1B">
        <w:rPr>
          <w:rFonts w:ascii="Arial Narrow" w:hAnsi="Arial Narrow"/>
          <w:sz w:val="22"/>
          <w:szCs w:val="22"/>
        </w:rPr>
        <w:t>venen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sense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reserva </w:t>
      </w:r>
      <w:proofErr w:type="spellStart"/>
      <w:r w:rsidRPr="00164D1B">
        <w:rPr>
          <w:rFonts w:ascii="Arial Narrow" w:hAnsi="Arial Narrow"/>
          <w:sz w:val="22"/>
          <w:szCs w:val="22"/>
        </w:rPr>
        <w:t>prèvia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i no hi ha </w:t>
      </w:r>
      <w:proofErr w:type="spellStart"/>
      <w:r w:rsidRPr="00164D1B">
        <w:rPr>
          <w:rFonts w:ascii="Arial Narrow" w:hAnsi="Arial Narrow"/>
          <w:sz w:val="22"/>
          <w:szCs w:val="22"/>
        </w:rPr>
        <w:t>disponibilitat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d’audioguies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, o </w:t>
      </w:r>
      <w:proofErr w:type="spellStart"/>
      <w:r w:rsidRPr="00164D1B">
        <w:rPr>
          <w:rFonts w:ascii="Arial Narrow" w:hAnsi="Arial Narrow"/>
          <w:sz w:val="22"/>
          <w:szCs w:val="22"/>
        </w:rPr>
        <w:t>bé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als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grups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escolars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on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el </w:t>
      </w:r>
      <w:proofErr w:type="spellStart"/>
      <w:r w:rsidRPr="00164D1B">
        <w:rPr>
          <w:rFonts w:ascii="Arial Narrow" w:hAnsi="Arial Narrow"/>
          <w:sz w:val="22"/>
          <w:szCs w:val="22"/>
        </w:rPr>
        <w:t>professorat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realitza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la visita </w:t>
      </w:r>
      <w:proofErr w:type="spellStart"/>
      <w:r w:rsidRPr="00164D1B">
        <w:rPr>
          <w:rFonts w:ascii="Arial Narrow" w:hAnsi="Arial Narrow"/>
          <w:sz w:val="22"/>
          <w:szCs w:val="22"/>
        </w:rPr>
        <w:t>sense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64D1B">
        <w:rPr>
          <w:rFonts w:ascii="Arial Narrow" w:hAnsi="Arial Narrow"/>
          <w:sz w:val="22"/>
          <w:szCs w:val="22"/>
        </w:rPr>
        <w:t>necessitat</w:t>
      </w:r>
      <w:proofErr w:type="spellEnd"/>
      <w:r w:rsidRPr="00164D1B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164D1B">
        <w:rPr>
          <w:rFonts w:ascii="Arial Narrow" w:hAnsi="Arial Narrow"/>
          <w:sz w:val="22"/>
          <w:szCs w:val="22"/>
        </w:rPr>
        <w:t>guies</w:t>
      </w:r>
      <w:proofErr w:type="spellEnd"/>
      <w:r w:rsidRPr="00164D1B">
        <w:rPr>
          <w:rFonts w:ascii="Arial Narrow" w:hAnsi="Arial Narrow"/>
          <w:sz w:val="22"/>
          <w:szCs w:val="22"/>
        </w:rPr>
        <w:t>.</w:t>
      </w:r>
    </w:p>
    <w:p w:rsidR="00384EB5" w:rsidRPr="00164D1B" w:rsidRDefault="00384EB5" w:rsidP="00164D1B"/>
    <w:sectPr w:rsidR="00384EB5" w:rsidRPr="00164D1B" w:rsidSect="00164D1B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164D1B"/>
    <w:rsid w:val="00384EB5"/>
    <w:rsid w:val="005779ED"/>
    <w:rsid w:val="009D7228"/>
    <w:rsid w:val="00C05328"/>
    <w:rsid w:val="00E15E62"/>
    <w:rsid w:val="00E817F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2025-11-04T15:35:00Z</cp:lastPrinted>
  <dcterms:created xsi:type="dcterms:W3CDTF">2025-11-04T15:38:00Z</dcterms:created>
  <dcterms:modified xsi:type="dcterms:W3CDTF">2025-11-04T15:38:00Z</dcterms:modified>
</cp:coreProperties>
</file>