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47E2" w14:textId="77777777" w:rsidR="00E942CE" w:rsidRPr="00E942CE" w:rsidRDefault="00E942CE" w:rsidP="00E942CE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69131503"/>
      <w:bookmarkStart w:id="1" w:name="_Toc210737632"/>
      <w:r w:rsidRPr="00E942CE">
        <w:rPr>
          <w:rFonts w:eastAsia="Arial" w:cs="Arial"/>
          <w:b/>
          <w:bCs/>
          <w:sz w:val="20"/>
          <w:szCs w:val="20"/>
          <w:lang w:eastAsia="en-US"/>
        </w:rPr>
        <w:t>ANNEX: MODEL</w:t>
      </w:r>
      <w:r w:rsidRPr="00E942CE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E942CE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E942CE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E942CE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E942CE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E942CE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1"/>
    </w:p>
    <w:p w14:paraId="59A172FB" w14:textId="77777777" w:rsidR="00E942CE" w:rsidRPr="00E942CE" w:rsidRDefault="00E942CE" w:rsidP="00E942CE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21C4E4C5" w14:textId="77777777" w:rsidR="00E942CE" w:rsidRPr="00E942CE" w:rsidRDefault="00E942CE" w:rsidP="00E942CE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E942CE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>, DECLARA</w:t>
      </w:r>
      <w:r w:rsidRPr="00E942CE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 xml:space="preserve">sota la seva responsabilitat, com a empresa licitadora del </w:t>
      </w:r>
      <w:r w:rsidRPr="00E942CE">
        <w:rPr>
          <w:rFonts w:eastAsia="Arial MT" w:cs="Arial"/>
          <w:b/>
          <w:bCs/>
          <w:sz w:val="20"/>
          <w:szCs w:val="20"/>
          <w:lang w:eastAsia="en-US"/>
        </w:rPr>
        <w:t>contracte del servei de docència del Programa educatiu de diversificació curriculars adreçat a l’alumnat de 4t de secundària de l’Institut Thalassa</w:t>
      </w:r>
      <w:r w:rsidRPr="00E942CE">
        <w:rPr>
          <w:rFonts w:eastAsia="Arial MT" w:cs="Arial"/>
          <w:sz w:val="20"/>
          <w:szCs w:val="20"/>
          <w:lang w:eastAsia="en-US"/>
        </w:rPr>
        <w:t>, amb expedient número 1403-0726/2025:</w:t>
      </w:r>
      <w:hyperlink r:id="rId8" w:anchor="/annexa/tram/pending//viewdossier/92977/210260" w:tgtFrame="_blank" w:history="1"/>
    </w:p>
    <w:p w14:paraId="19892E63" w14:textId="77777777" w:rsidR="00E942CE" w:rsidRPr="00E942CE" w:rsidRDefault="00E942CE" w:rsidP="00E942CE">
      <w:pPr>
        <w:widowControl w:val="0"/>
        <w:autoSpaceDE w:val="0"/>
        <w:spacing w:after="0" w:line="240" w:lineRule="auto"/>
        <w:rPr>
          <w:rFonts w:eastAsia="Arial MT" w:cs="Arial"/>
          <w:sz w:val="20"/>
          <w:szCs w:val="20"/>
          <w:lang w:eastAsia="en-US"/>
        </w:rPr>
      </w:pPr>
    </w:p>
    <w:p w14:paraId="3EC5571E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>Que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està</w:t>
      </w:r>
      <w:r w:rsidRPr="00E942CE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E942CE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E942C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per</w:t>
      </w:r>
      <w:r w:rsidRPr="00E942CE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contractar</w:t>
      </w:r>
      <w:r w:rsidRPr="00E942CE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amb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l'Administració,</w:t>
      </w:r>
      <w:r w:rsidRPr="00E942CE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ja</w:t>
      </w:r>
      <w:r w:rsidRPr="00E942C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que</w:t>
      </w:r>
      <w:r w:rsidRPr="00E942CE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té</w:t>
      </w:r>
      <w:r w:rsidRPr="00E942CE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la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capacitat</w:t>
      </w:r>
      <w:r w:rsidRPr="00E942CE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d’obrar</w:t>
      </w:r>
      <w:r w:rsidRPr="00E942CE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E942CE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E942CE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contractes</w:t>
      </w:r>
      <w:r w:rsidRPr="00E942CE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del sector</w:t>
      </w:r>
      <w:r w:rsidRPr="00E942CE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públic.</w:t>
      </w:r>
    </w:p>
    <w:p w14:paraId="33ABFADB" w14:textId="77777777" w:rsidR="00E942CE" w:rsidRPr="00E942CE" w:rsidRDefault="00E942CE" w:rsidP="00E942CE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7C37F0B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E942CE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E942CE">
        <w:rPr>
          <w:rFonts w:eastAsia="Arial MT" w:cs="Arial"/>
          <w:sz w:val="20"/>
          <w:szCs w:val="20"/>
          <w:lang w:eastAsia="en-US"/>
        </w:rPr>
        <w:t>:</w:t>
      </w:r>
    </w:p>
    <w:p w14:paraId="51EDC0E1" w14:textId="77777777" w:rsidR="00E942CE" w:rsidRPr="00E942CE" w:rsidRDefault="00E942CE" w:rsidP="00E942C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ab/>
      </w:r>
      <w:r w:rsidRPr="00E942CE">
        <w:rPr>
          <w:rFonts w:eastAsia="Arial MT" w:cs="Arial"/>
          <w:sz w:val="20"/>
          <w:szCs w:val="20"/>
          <w:lang w:eastAsia="en-US"/>
        </w:rPr>
        <w:tab/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</w:t>
      </w:r>
      <w:r w:rsidRPr="00E942CE">
        <w:rPr>
          <w:rFonts w:eastAsia="Arial MT" w:cs="Arial"/>
          <w:sz w:val="20"/>
          <w:szCs w:val="20"/>
          <w:lang w:eastAsia="en-US"/>
        </w:rPr>
        <w:tab/>
        <w:t>es troba inscrit en el Registre Electrònic d’Empreses Licitadores de la Generalitat de Catalunya (RELI).</w:t>
      </w:r>
    </w:p>
    <w:p w14:paraId="290D698E" w14:textId="77777777" w:rsidR="00E942CE" w:rsidRPr="00E942CE" w:rsidRDefault="00E942CE" w:rsidP="00E942C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ab/>
      </w:r>
      <w:r w:rsidRPr="00E942CE">
        <w:rPr>
          <w:rFonts w:eastAsia="Arial MT" w:cs="Arial"/>
          <w:sz w:val="20"/>
          <w:szCs w:val="20"/>
          <w:lang w:eastAsia="en-US"/>
        </w:rPr>
        <w:tab/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E942CE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E942CE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0297430F" w14:textId="77777777" w:rsidR="00E942CE" w:rsidRPr="00E942CE" w:rsidRDefault="00E942CE" w:rsidP="00E942C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ab/>
      </w:r>
      <w:r w:rsidRPr="00E942CE">
        <w:rPr>
          <w:rFonts w:eastAsia="Arial MT" w:cs="Arial"/>
          <w:sz w:val="20"/>
          <w:szCs w:val="20"/>
          <w:lang w:eastAsia="en-US"/>
        </w:rPr>
        <w:tab/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7FF43B16" w14:textId="77777777" w:rsidR="00E942CE" w:rsidRPr="00E942CE" w:rsidRDefault="00E942CE" w:rsidP="00E942C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78BB461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E942CE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E942CE">
        <w:rPr>
          <w:rFonts w:cs="Arial"/>
          <w:sz w:val="20"/>
          <w:szCs w:val="20"/>
        </w:rPr>
        <w:t>:</w:t>
      </w:r>
    </w:p>
    <w:p w14:paraId="2593C1AF" w14:textId="77777777" w:rsidR="00E942CE" w:rsidRPr="00E942CE" w:rsidRDefault="00E942CE" w:rsidP="00E942C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E942C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07A2540" w14:textId="77777777" w:rsidR="00E942CE" w:rsidRPr="00E942CE" w:rsidRDefault="00E942CE" w:rsidP="00E942C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E942C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8F3D773" w14:textId="77777777" w:rsidR="00E942CE" w:rsidRPr="00E942CE" w:rsidRDefault="00E942CE" w:rsidP="00E942C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E942C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D9D3065" w14:textId="77777777" w:rsidR="00E942CE" w:rsidRPr="00E942CE" w:rsidRDefault="00E942CE" w:rsidP="00E942C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E942C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2564F76" w14:textId="77777777" w:rsidR="00E942CE" w:rsidRPr="00E942CE" w:rsidRDefault="00E942CE" w:rsidP="00E942C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E942C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4332142" w14:textId="77777777" w:rsidR="00E942CE" w:rsidRPr="00E942CE" w:rsidRDefault="00E942CE" w:rsidP="00E942C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E942C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B160B96" w14:textId="53F6F739" w:rsidR="00E942CE" w:rsidRPr="00E942CE" w:rsidRDefault="00E942CE" w:rsidP="00E942C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E942C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7C73690" w14:textId="77777777" w:rsidR="00E942CE" w:rsidRPr="00E942CE" w:rsidRDefault="00E942CE" w:rsidP="00E942CE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0084E737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>Que</w:t>
      </w:r>
      <w:r w:rsidRPr="00E942CE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disposa</w:t>
      </w:r>
      <w:r w:rsidRPr="00E942CE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de</w:t>
      </w:r>
      <w:r w:rsidRPr="00E942CE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les</w:t>
      </w:r>
      <w:r w:rsidRPr="00E942CE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autoritzacions</w:t>
      </w:r>
      <w:r w:rsidRPr="00E942CE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necessàries</w:t>
      </w:r>
      <w:r w:rsidRPr="00E942CE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per</w:t>
      </w:r>
      <w:r w:rsidRPr="00E942CE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exercir</w:t>
      </w:r>
      <w:r w:rsidRPr="00E942CE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l’activitat.</w:t>
      </w:r>
    </w:p>
    <w:p w14:paraId="05A6E59A" w14:textId="77777777" w:rsidR="00E942CE" w:rsidRPr="00E942CE" w:rsidRDefault="00E942CE" w:rsidP="00E942CE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EC2F666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</w:t>
      </w:r>
      <w:r w:rsidRPr="00E942CE">
        <w:rPr>
          <w:rFonts w:eastAsia="Arial MT" w:cs="Arial"/>
          <w:sz w:val="20"/>
          <w:szCs w:val="20"/>
          <w:lang w:eastAsia="en-US"/>
        </w:rPr>
        <w:tab/>
        <w:t>Que</w:t>
      </w:r>
      <w:r w:rsidRPr="00E942CE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integra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la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solvència</w:t>
      </w:r>
      <w:r w:rsidRPr="00E942CE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amb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mitjans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d’altra/es</w:t>
      </w:r>
      <w:r w:rsidRPr="00E942C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empreses,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i</w:t>
      </w:r>
      <w:r w:rsidRPr="00E942CE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que</w:t>
      </w:r>
      <w:r w:rsidRPr="00E942C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existeix</w:t>
      </w:r>
      <w:r w:rsidRPr="00E942C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el</w:t>
      </w:r>
      <w:r w:rsidRPr="00E942C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487387E5" w14:textId="77777777" w:rsidR="00E942CE" w:rsidRPr="00E942CE" w:rsidRDefault="00E942CE" w:rsidP="00E942CE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</w:t>
      </w:r>
      <w:r w:rsidRPr="00E942CE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E942CE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empreses.</w:t>
      </w:r>
    </w:p>
    <w:p w14:paraId="133138E1" w14:textId="77777777" w:rsidR="00E942CE" w:rsidRPr="00E942CE" w:rsidRDefault="00E942CE" w:rsidP="00E942CE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25FDDA9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12C79901" w14:textId="77777777" w:rsidR="00E942CE" w:rsidRPr="00E942CE" w:rsidRDefault="00E942CE" w:rsidP="00E942CE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E457177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91E9B41" w14:textId="77777777" w:rsidR="00E942CE" w:rsidRPr="00E942CE" w:rsidRDefault="00E942CE" w:rsidP="00E942CE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4636C8DB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3EC454E6" w14:textId="77777777" w:rsidR="00E942CE" w:rsidRPr="00E942CE" w:rsidRDefault="00E942CE" w:rsidP="00E942CE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0CF9BF25" w14:textId="77777777" w:rsidR="00E942CE" w:rsidRPr="00E942CE" w:rsidRDefault="00E942CE" w:rsidP="00E942C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E942CE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E942CE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E942CE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E942CE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E942CE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E942CE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64269BC5" w14:textId="77777777" w:rsidR="00E942CE" w:rsidRPr="00E942CE" w:rsidRDefault="00E942CE" w:rsidP="00E942CE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3832D0A6" w14:textId="77777777" w:rsidR="00E942CE" w:rsidRPr="00E942CE" w:rsidRDefault="00E942CE" w:rsidP="00E942CE">
      <w:pPr>
        <w:ind w:left="284"/>
        <w:jc w:val="both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ab/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107B425B" w14:textId="77777777" w:rsidR="00E942CE" w:rsidRPr="00E942CE" w:rsidRDefault="00E942CE" w:rsidP="00E942CE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 Té previst subcontractar</w:t>
      </w:r>
      <w:r w:rsidRPr="00E942CE">
        <w:rPr>
          <w:rFonts w:cs="Arial"/>
          <w:sz w:val="20"/>
          <w:szCs w:val="20"/>
        </w:rPr>
        <w:t xml:space="preserve"> a </w:t>
      </w:r>
      <w:r w:rsidRPr="00E942CE">
        <w:rPr>
          <w:rFonts w:cs="Arial"/>
          <w:sz w:val="20"/>
          <w:szCs w:val="20"/>
          <w:highlight w:val="darkGray"/>
        </w:rPr>
        <w:t xml:space="preserve">     </w:t>
      </w:r>
      <w:r w:rsidRPr="00E942CE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E942CE">
        <w:rPr>
          <w:rFonts w:eastAsia="Arial MT" w:cs="Arial"/>
          <w:sz w:val="20"/>
          <w:szCs w:val="20"/>
          <w:lang w:eastAsia="en-US"/>
        </w:rPr>
        <w:t>:</w:t>
      </w:r>
    </w:p>
    <w:p w14:paraId="63AD4C90" w14:textId="77777777" w:rsidR="00E942CE" w:rsidRPr="00E942CE" w:rsidRDefault="00E942CE" w:rsidP="00E942CE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0A5F104D" w14:textId="77777777" w:rsidR="00E942CE" w:rsidRPr="00E942CE" w:rsidRDefault="00E942CE" w:rsidP="00E942CE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ab/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 els servidors.</w:t>
      </w:r>
    </w:p>
    <w:p w14:paraId="7C01013B" w14:textId="77777777" w:rsidR="00E942CE" w:rsidRPr="00E942CE" w:rsidRDefault="00E942CE" w:rsidP="00E942CE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[</w:t>
      </w: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E942CE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4D993B87" w14:textId="77777777" w:rsidR="00E942CE" w:rsidRPr="00E942CE" w:rsidRDefault="00E942CE" w:rsidP="00E942C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A8D9711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74E925AA" w14:textId="77777777" w:rsidR="00E942CE" w:rsidRPr="00E942CE" w:rsidRDefault="00E942CE" w:rsidP="00E942C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2F56D755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318F9300" w14:textId="77777777" w:rsidR="00E942CE" w:rsidRPr="00E942CE" w:rsidRDefault="00E942CE" w:rsidP="00E942CE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6C072689" w14:textId="77777777" w:rsidR="00E942CE" w:rsidRPr="00E942CE" w:rsidRDefault="00E942CE" w:rsidP="00E942C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695E572B" w14:textId="77777777" w:rsidR="00E942CE" w:rsidRPr="00E942CE" w:rsidRDefault="00E942CE" w:rsidP="00E942C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3430122" w14:textId="77777777" w:rsidR="00E942CE" w:rsidRPr="00E942CE" w:rsidRDefault="00E942CE" w:rsidP="00E942C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1C8F6080" w14:textId="77777777" w:rsidR="00E942CE" w:rsidRPr="00E942CE" w:rsidRDefault="00E942CE" w:rsidP="00E942CE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4375DE99" w14:textId="77777777" w:rsidR="00E942CE" w:rsidRPr="00E942CE" w:rsidRDefault="00E942CE" w:rsidP="00E942C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BE97418" w14:textId="77777777" w:rsidR="00E942CE" w:rsidRPr="00E942CE" w:rsidRDefault="00E942CE" w:rsidP="00E942CE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6176E65" w14:textId="77777777" w:rsidR="00E942CE" w:rsidRPr="00E942CE" w:rsidRDefault="00E942CE" w:rsidP="00E942C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E942C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E942CE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2BF302F1" w14:textId="77777777" w:rsidR="00E942CE" w:rsidRPr="00E942CE" w:rsidRDefault="00E942CE" w:rsidP="00E942C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24C4A0C2" w:rsidR="00666B40" w:rsidRPr="00E942CE" w:rsidRDefault="00E942CE" w:rsidP="00E942CE">
      <w:pPr>
        <w:rPr>
          <w:rFonts w:eastAsia="Arial MT" w:cs="Arial"/>
          <w:sz w:val="20"/>
          <w:szCs w:val="20"/>
        </w:rPr>
      </w:pPr>
      <w:r w:rsidRPr="00E942CE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bookmarkEnd w:id="0"/>
    <w:sectPr w:rsidR="00666B40" w:rsidRPr="00E942CE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2A9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862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BDC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2CE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866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5618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2025-11-05T09:10:00Z</dcterms:created>
  <dcterms:modified xsi:type="dcterms:W3CDTF">2025-11-05T09:10:00Z</dcterms:modified>
</cp:coreProperties>
</file>