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58EB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11471DBD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57AB39C" w14:textId="77777777" w:rsidR="009B535C" w:rsidRDefault="009B535C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6791495B" w14:textId="704C9846" w:rsidR="001643CA" w:rsidRPr="00515EAD" w:rsidRDefault="001643CA" w:rsidP="00164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  <w:r w:rsidRPr="00515EAD">
        <w:rPr>
          <w:rFonts w:eastAsia="Calibri" w:cs="Arial"/>
          <w:b/>
          <w:sz w:val="22"/>
          <w:szCs w:val="22"/>
          <w:lang w:eastAsia="en-US"/>
        </w:rPr>
        <w:t>Procediment obert SIMPLIFICAT ABREUJAT</w:t>
      </w:r>
    </w:p>
    <w:p w14:paraId="4BB80F89" w14:textId="77777777" w:rsidR="001643CA" w:rsidRPr="00515EAD" w:rsidRDefault="001643CA" w:rsidP="001643CA">
      <w:pPr>
        <w:ind w:left="720" w:hanging="436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1A215337" w14:textId="427EBEDE" w:rsidR="006E2E70" w:rsidRDefault="001643CA" w:rsidP="00CD0CE4">
      <w:pPr>
        <w:ind w:left="720" w:hanging="436"/>
        <w:jc w:val="center"/>
        <w:rPr>
          <w:rFonts w:eastAsia="Calibri" w:cs="Arial"/>
          <w:b/>
          <w:i/>
          <w:sz w:val="22"/>
          <w:szCs w:val="22"/>
          <w:lang w:eastAsia="en-US"/>
        </w:rPr>
      </w:pPr>
      <w:r w:rsidRPr="00515EAD">
        <w:rPr>
          <w:rFonts w:eastAsia="Calibri" w:cs="Arial"/>
          <w:b/>
          <w:sz w:val="22"/>
          <w:szCs w:val="22"/>
          <w:lang w:eastAsia="en-US"/>
        </w:rPr>
        <w:t>ANNEX</w:t>
      </w:r>
      <w:r w:rsidR="0039004E" w:rsidRPr="00515EAD">
        <w:rPr>
          <w:rFonts w:eastAsia="Calibri" w:cs="Arial"/>
          <w:b/>
          <w:sz w:val="22"/>
          <w:szCs w:val="22"/>
          <w:lang w:eastAsia="en-US"/>
        </w:rPr>
        <w:t xml:space="preserve"> I</w:t>
      </w:r>
      <w:r w:rsidR="00674BF8">
        <w:rPr>
          <w:rFonts w:eastAsia="Calibri" w:cs="Arial"/>
          <w:b/>
          <w:sz w:val="22"/>
          <w:szCs w:val="22"/>
          <w:lang w:eastAsia="en-US"/>
        </w:rPr>
        <w:t>I</w:t>
      </w:r>
      <w:r w:rsidRPr="00515EAD">
        <w:rPr>
          <w:rFonts w:eastAsia="Calibri" w:cs="Arial"/>
          <w:b/>
          <w:sz w:val="22"/>
          <w:szCs w:val="22"/>
          <w:lang w:eastAsia="en-US"/>
        </w:rPr>
        <w:t xml:space="preserve"> AL PCAP</w:t>
      </w:r>
      <w:r w:rsidR="006E2E70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="00B37CC2" w:rsidRPr="00B37CC2">
        <w:rPr>
          <w:rFonts w:ascii="Roboto Medium" w:hAnsi="Roboto Medium"/>
          <w:sz w:val="22"/>
          <w:szCs w:val="22"/>
        </w:rPr>
        <w:t xml:space="preserve">CONTRACTE </w:t>
      </w:r>
      <w:r w:rsidR="00CD0CE4" w:rsidRPr="00CD0CE4">
        <w:rPr>
          <w:rFonts w:ascii="Roboto Medium" w:hAnsi="Roboto Medium"/>
          <w:sz w:val="22"/>
          <w:szCs w:val="22"/>
        </w:rPr>
        <w:t>MIXT DE SUBMINISTRAMENT I SERVEIS PER A LA SONORITZACIÓ DEL PAVELLÓ EL CASTELL</w:t>
      </w:r>
    </w:p>
    <w:p w14:paraId="4313FA12" w14:textId="09A85714" w:rsidR="001643CA" w:rsidRPr="00515EAD" w:rsidRDefault="001643CA" w:rsidP="001643CA">
      <w:pPr>
        <w:ind w:left="720" w:hanging="11"/>
        <w:jc w:val="center"/>
        <w:rPr>
          <w:rFonts w:eastAsia="Calibri" w:cs="Arial"/>
          <w:i/>
          <w:sz w:val="22"/>
          <w:szCs w:val="22"/>
          <w:lang w:eastAsia="en-US"/>
        </w:rPr>
      </w:pPr>
      <w:r w:rsidRPr="00515EAD">
        <w:rPr>
          <w:rFonts w:eastAsia="Calibri" w:cs="Arial"/>
          <w:b/>
          <w:i/>
          <w:sz w:val="22"/>
          <w:szCs w:val="22"/>
          <w:lang w:eastAsia="en-US"/>
        </w:rPr>
        <w:t>A INSERIR EN EL SOBRE</w:t>
      </w:r>
      <w:r w:rsidRPr="00515EAD">
        <w:rPr>
          <w:rFonts w:eastAsia="Calibri" w:cs="Arial"/>
          <w:i/>
          <w:sz w:val="22"/>
          <w:szCs w:val="22"/>
          <w:lang w:eastAsia="en-US"/>
        </w:rPr>
        <w:t xml:space="preserve"> </w:t>
      </w:r>
      <w:r w:rsidRPr="00515EAD">
        <w:rPr>
          <w:rFonts w:eastAsia="Calibri" w:cs="Arial"/>
          <w:b/>
          <w:i/>
          <w:sz w:val="22"/>
          <w:szCs w:val="22"/>
          <w:lang w:eastAsia="en-US"/>
        </w:rPr>
        <w:t>ÚNIC DIGITAL</w:t>
      </w:r>
      <w:r w:rsidRPr="00515EAD">
        <w:rPr>
          <w:rFonts w:eastAsia="Calibri" w:cs="Arial"/>
          <w:i/>
          <w:sz w:val="22"/>
          <w:szCs w:val="22"/>
          <w:lang w:eastAsia="en-US"/>
        </w:rPr>
        <w:t xml:space="preserve"> </w:t>
      </w:r>
    </w:p>
    <w:p w14:paraId="706D6292" w14:textId="77777777" w:rsidR="001643CA" w:rsidRPr="00515EAD" w:rsidRDefault="001643CA" w:rsidP="001643CA">
      <w:pPr>
        <w:ind w:left="720" w:hanging="11"/>
        <w:jc w:val="center"/>
        <w:rPr>
          <w:rFonts w:eastAsia="Calibri" w:cs="Arial"/>
          <w:i/>
          <w:sz w:val="22"/>
          <w:szCs w:val="22"/>
          <w:lang w:eastAsia="en-US"/>
        </w:rPr>
      </w:pPr>
    </w:p>
    <w:p w14:paraId="2F6B79AB" w14:textId="77777777" w:rsidR="001643CA" w:rsidRDefault="001643CA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49276E10" w14:textId="77777777" w:rsidR="004B6AF4" w:rsidRPr="00515EAD" w:rsidRDefault="004B6AF4" w:rsidP="001643CA">
      <w:pPr>
        <w:ind w:left="720" w:hanging="11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08B62698" w14:textId="50908FD7" w:rsidR="001643CA" w:rsidRPr="00515EAD" w:rsidRDefault="001643CA" w:rsidP="001643CA">
      <w:pPr>
        <w:contextualSpacing/>
        <w:jc w:val="center"/>
        <w:rPr>
          <w:rFonts w:eastAsia="Calibri" w:cs="Arial"/>
          <w:b/>
          <w:sz w:val="22"/>
          <w:szCs w:val="22"/>
          <w:u w:val="single"/>
          <w:lang w:eastAsia="en-US"/>
        </w:rPr>
      </w:pP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 xml:space="preserve">Model de proposició </w:t>
      </w:r>
      <w:r w:rsidRPr="00515EAD">
        <w:rPr>
          <w:rFonts w:cs="Arial"/>
          <w:b/>
          <w:sz w:val="22"/>
          <w:szCs w:val="22"/>
          <w:u w:val="single"/>
        </w:rPr>
        <w:t>avaluable d’acord amb criteris automàtics</w:t>
      </w:r>
      <w:r w:rsidRPr="00515EAD">
        <w:rPr>
          <w:rFonts w:eastAsia="Calibri" w:cs="Arial"/>
          <w:b/>
          <w:sz w:val="22"/>
          <w:szCs w:val="22"/>
          <w:u w:val="single"/>
          <w:lang w:eastAsia="en-US"/>
        </w:rPr>
        <w:t>:</w:t>
      </w:r>
    </w:p>
    <w:p w14:paraId="4EF35355" w14:textId="77777777" w:rsidR="001643CA" w:rsidRPr="00515EAD" w:rsidRDefault="001643CA" w:rsidP="001643CA">
      <w:pPr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7F06AFE4" w14:textId="77777777" w:rsidR="006E2E70" w:rsidRPr="006E2E70" w:rsidRDefault="006E2E70" w:rsidP="006E2E70">
      <w:pPr>
        <w:jc w:val="both"/>
        <w:rPr>
          <w:rFonts w:eastAsia="Calibri" w:cs="Arial"/>
          <w:bCs/>
          <w:color w:val="00B0F0"/>
          <w:sz w:val="22"/>
          <w:szCs w:val="22"/>
          <w:lang w:eastAsia="en-US"/>
        </w:rPr>
      </w:pPr>
    </w:p>
    <w:p w14:paraId="7D6C5AE6" w14:textId="5A72FC81" w:rsidR="0097552F" w:rsidRPr="00D712EC" w:rsidRDefault="0097552F" w:rsidP="0097552F">
      <w:pPr>
        <w:contextualSpacing/>
        <w:jc w:val="both"/>
        <w:rPr>
          <w:rFonts w:cs="Arial"/>
          <w:sz w:val="22"/>
          <w:szCs w:val="22"/>
        </w:rPr>
      </w:pPr>
      <w:r w:rsidRPr="00B9047D">
        <w:rPr>
          <w:rFonts w:cs="Arial"/>
          <w:sz w:val="22"/>
          <w:szCs w:val="22"/>
        </w:rPr>
        <w:t xml:space="preserve">"El Sr./La Sra.......................................... amb NIF núm................., </w:t>
      </w:r>
      <w:r w:rsidRPr="00B9047D">
        <w:rPr>
          <w:rFonts w:cs="Arial"/>
          <w:i/>
          <w:sz w:val="22"/>
          <w:szCs w:val="22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B9047D">
        <w:rPr>
          <w:rFonts w:cs="Arial"/>
          <w:sz w:val="22"/>
          <w:szCs w:val="22"/>
        </w:rPr>
        <w:t xml:space="preserve"> </w:t>
      </w:r>
      <w:r w:rsidRPr="00B9047D">
        <w:rPr>
          <w:rFonts w:cs="Arial"/>
          <w:i/>
          <w:sz w:val="22"/>
          <w:szCs w:val="22"/>
        </w:rPr>
        <w:t>(persona de contacte......................,</w:t>
      </w:r>
      <w:r w:rsidRPr="00B9047D">
        <w:rPr>
          <w:rFonts w:cs="Arial"/>
          <w:sz w:val="22"/>
          <w:szCs w:val="22"/>
        </w:rPr>
        <w:t xml:space="preserve"> adreça de correu electrònic ................,  telèfon núm. ............... i fax núm.. .. .....................), </w:t>
      </w:r>
      <w:r w:rsidRPr="000956CF">
        <w:rPr>
          <w:rFonts w:cs="Arial"/>
          <w:sz w:val="22"/>
          <w:szCs w:val="22"/>
        </w:rPr>
        <w:t xml:space="preserve">assabentat/da de les condicions exigides per optar </w:t>
      </w:r>
      <w:r w:rsidR="00E91B48" w:rsidRPr="00F47CD4">
        <w:rPr>
          <w:rFonts w:cs="Arial"/>
          <w:sz w:val="22"/>
          <w:szCs w:val="22"/>
        </w:rPr>
        <w:t>a</w:t>
      </w:r>
      <w:r w:rsidR="00E91B48">
        <w:rPr>
          <w:rFonts w:cs="Arial"/>
          <w:sz w:val="22"/>
          <w:szCs w:val="22"/>
        </w:rPr>
        <w:t>l</w:t>
      </w:r>
      <w:r w:rsidR="00E91B48" w:rsidRPr="00F47CD4">
        <w:rPr>
          <w:rFonts w:cs="Arial"/>
          <w:sz w:val="22"/>
          <w:szCs w:val="22"/>
        </w:rPr>
        <w:t xml:space="preserve"> </w:t>
      </w:r>
      <w:r w:rsidR="00E91B48" w:rsidRPr="00C152F7">
        <w:rPr>
          <w:b/>
          <w:sz w:val="22"/>
          <w:szCs w:val="22"/>
        </w:rPr>
        <w:t xml:space="preserve">contracte </w:t>
      </w:r>
      <w:r w:rsidR="00F2128D" w:rsidRPr="009B3251">
        <w:rPr>
          <w:b/>
          <w:bCs/>
          <w:sz w:val="22"/>
          <w:szCs w:val="22"/>
        </w:rPr>
        <w:t xml:space="preserve">mixt de subministrament i serveis per a la </w:t>
      </w:r>
      <w:r w:rsidR="00F2128D" w:rsidRPr="00D712EC">
        <w:rPr>
          <w:b/>
          <w:bCs/>
          <w:sz w:val="22"/>
          <w:szCs w:val="22"/>
        </w:rPr>
        <w:t>sonorització del pavelló El Castell</w:t>
      </w:r>
      <w:r w:rsidRPr="00D712EC">
        <w:rPr>
          <w:rFonts w:cs="Arial"/>
          <w:sz w:val="22"/>
          <w:szCs w:val="22"/>
        </w:rPr>
        <w:t>, es compromet a portar-la a terme amb subjecció al Plec de Clàusules Administratives Particulars i al Plec de Prescripcions Tècniques Particulars, que accepta íntegrament,</w:t>
      </w:r>
      <w:r w:rsidR="00E91B48" w:rsidRPr="00D712EC">
        <w:rPr>
          <w:rFonts w:cs="Arial"/>
          <w:sz w:val="22"/>
          <w:szCs w:val="22"/>
        </w:rPr>
        <w:t xml:space="preserve"> per una durada de </w:t>
      </w:r>
      <w:r w:rsidR="00F2128D" w:rsidRPr="00D712EC">
        <w:rPr>
          <w:rFonts w:cs="Arial"/>
          <w:sz w:val="22"/>
          <w:szCs w:val="22"/>
        </w:rPr>
        <w:t>3 mesos</w:t>
      </w:r>
      <w:r w:rsidR="00E91B48" w:rsidRPr="00D712EC">
        <w:rPr>
          <w:rFonts w:cs="Arial"/>
          <w:sz w:val="22"/>
          <w:szCs w:val="22"/>
        </w:rPr>
        <w:t xml:space="preserve">, </w:t>
      </w:r>
      <w:r w:rsidRPr="00D712EC">
        <w:rPr>
          <w:rFonts w:cs="Arial"/>
          <w:sz w:val="22"/>
          <w:szCs w:val="22"/>
        </w:rPr>
        <w:t>realitzant la següent oferta:</w:t>
      </w:r>
      <w:r w:rsidR="007E323C" w:rsidRPr="00D712EC">
        <w:rPr>
          <w:rFonts w:cs="Arial"/>
          <w:sz w:val="22"/>
          <w:szCs w:val="22"/>
        </w:rPr>
        <w:t xml:space="preserve"> </w:t>
      </w:r>
    </w:p>
    <w:p w14:paraId="074A5955" w14:textId="77777777" w:rsidR="00F2128D" w:rsidRPr="00D712EC" w:rsidRDefault="00F2128D" w:rsidP="0097552F">
      <w:pPr>
        <w:contextualSpacing/>
        <w:jc w:val="both"/>
        <w:rPr>
          <w:rFonts w:cs="Arial"/>
          <w:sz w:val="22"/>
          <w:szCs w:val="22"/>
        </w:rPr>
      </w:pPr>
    </w:p>
    <w:p w14:paraId="3FD0516D" w14:textId="0EBFED7E" w:rsidR="00F2128D" w:rsidRPr="00D712EC" w:rsidRDefault="00F2128D" w:rsidP="00F2128D">
      <w:pPr>
        <w:pStyle w:val="Prrafodelista"/>
        <w:numPr>
          <w:ilvl w:val="0"/>
          <w:numId w:val="16"/>
        </w:numPr>
        <w:jc w:val="both"/>
        <w:rPr>
          <w:rFonts w:cs="Arial"/>
          <w:b/>
          <w:bCs/>
          <w:sz w:val="22"/>
          <w:szCs w:val="22"/>
        </w:rPr>
      </w:pPr>
      <w:r w:rsidRPr="00D712EC">
        <w:rPr>
          <w:rFonts w:cs="Arial"/>
          <w:b/>
          <w:bCs/>
          <w:sz w:val="22"/>
          <w:szCs w:val="22"/>
        </w:rPr>
        <w:t>Oferta econòmica:</w:t>
      </w:r>
    </w:p>
    <w:p w14:paraId="05A7D1F3" w14:textId="77777777" w:rsidR="00D47A44" w:rsidRPr="00D712EC" w:rsidRDefault="00D47A44" w:rsidP="0097552F">
      <w:pPr>
        <w:contextualSpacing/>
        <w:jc w:val="both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058"/>
        <w:gridCol w:w="3062"/>
        <w:gridCol w:w="3056"/>
      </w:tblGrid>
      <w:tr w:rsidR="00D47A44" w:rsidRPr="00275795" w14:paraId="1100D256" w14:textId="77777777" w:rsidTr="00D47A44">
        <w:trPr>
          <w:trHeight w:val="489"/>
        </w:trPr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38436B27" w14:textId="5EAB5F31" w:rsidR="00D47A44" w:rsidRPr="00D712EC" w:rsidRDefault="00D47A44" w:rsidP="00821935">
            <w:pPr>
              <w:contextualSpacing/>
              <w:jc w:val="both"/>
              <w:rPr>
                <w:rFonts w:cs="Arial"/>
                <w:b/>
                <w:bCs/>
                <w:sz w:val="22"/>
                <w:szCs w:val="32"/>
              </w:rPr>
            </w:pPr>
            <w:r w:rsidRPr="00D712EC">
              <w:rPr>
                <w:rFonts w:cs="Arial"/>
                <w:b/>
                <w:bCs/>
                <w:sz w:val="22"/>
                <w:szCs w:val="32"/>
              </w:rPr>
              <w:t>Base imposable</w:t>
            </w:r>
            <w:r w:rsidR="00F2128D" w:rsidRPr="00D712EC">
              <w:rPr>
                <w:rFonts w:cs="Arial"/>
                <w:b/>
                <w:bCs/>
                <w:sz w:val="22"/>
                <w:szCs w:val="32"/>
              </w:rPr>
              <w:t xml:space="preserve"> (3 mesos)</w:t>
            </w:r>
          </w:p>
        </w:tc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0D728C4A" w14:textId="78B22081" w:rsidR="00D47A44" w:rsidRPr="00D712EC" w:rsidRDefault="00D47A44" w:rsidP="00821935">
            <w:pPr>
              <w:contextualSpacing/>
              <w:jc w:val="both"/>
              <w:rPr>
                <w:rFonts w:cs="Arial"/>
                <w:b/>
                <w:bCs/>
                <w:sz w:val="22"/>
                <w:szCs w:val="32"/>
              </w:rPr>
            </w:pPr>
            <w:r w:rsidRPr="00D712EC">
              <w:rPr>
                <w:rFonts w:cs="Arial"/>
                <w:b/>
                <w:bCs/>
                <w:sz w:val="22"/>
                <w:szCs w:val="32"/>
              </w:rPr>
              <w:t xml:space="preserve">IVA XXX% </w:t>
            </w:r>
            <w:r w:rsidR="00D712EC" w:rsidRPr="00D712EC">
              <w:rPr>
                <w:rFonts w:cs="Arial"/>
                <w:b/>
                <w:bCs/>
                <w:color w:val="0070C0"/>
                <w:sz w:val="22"/>
                <w:szCs w:val="32"/>
              </w:rPr>
              <w:t>(indicar el que correspongui)</w:t>
            </w:r>
          </w:p>
        </w:tc>
        <w:tc>
          <w:tcPr>
            <w:tcW w:w="3078" w:type="dxa"/>
            <w:tcBorders>
              <w:bottom w:val="single" w:sz="12" w:space="0" w:color="666666"/>
            </w:tcBorders>
            <w:shd w:val="clear" w:color="auto" w:fill="DEEAF6"/>
          </w:tcPr>
          <w:p w14:paraId="7E7CB38B" w14:textId="4CD6E26B" w:rsidR="00D47A44" w:rsidRPr="00D712EC" w:rsidRDefault="00D47A44" w:rsidP="00821935">
            <w:pPr>
              <w:contextualSpacing/>
              <w:jc w:val="both"/>
              <w:rPr>
                <w:rFonts w:cs="Arial"/>
                <w:b/>
                <w:bCs/>
                <w:sz w:val="22"/>
                <w:szCs w:val="32"/>
              </w:rPr>
            </w:pPr>
            <w:r w:rsidRPr="00D712EC">
              <w:rPr>
                <w:rFonts w:cs="Arial"/>
                <w:b/>
                <w:bCs/>
                <w:sz w:val="22"/>
                <w:szCs w:val="32"/>
              </w:rPr>
              <w:t xml:space="preserve">Import total </w:t>
            </w:r>
            <w:r w:rsidR="00F2128D" w:rsidRPr="00D712EC">
              <w:rPr>
                <w:rFonts w:cs="Arial"/>
                <w:b/>
                <w:bCs/>
                <w:sz w:val="22"/>
                <w:szCs w:val="32"/>
              </w:rPr>
              <w:t>(3 mesos)</w:t>
            </w:r>
          </w:p>
        </w:tc>
      </w:tr>
      <w:tr w:rsidR="00D47A44" w:rsidRPr="00275795" w14:paraId="3C5C281E" w14:textId="77777777" w:rsidTr="00D47A44">
        <w:trPr>
          <w:trHeight w:val="960"/>
        </w:trPr>
        <w:tc>
          <w:tcPr>
            <w:tcW w:w="3078" w:type="dxa"/>
          </w:tcPr>
          <w:p w14:paraId="6791E403" w14:textId="77777777" w:rsidR="00D47A44" w:rsidRPr="00275795" w:rsidRDefault="00D47A44" w:rsidP="00821935">
            <w:pPr>
              <w:contextualSpacing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078" w:type="dxa"/>
          </w:tcPr>
          <w:p w14:paraId="62E53ED3" w14:textId="77777777" w:rsidR="00D47A44" w:rsidRPr="00275795" w:rsidRDefault="00D47A44" w:rsidP="00821935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78" w:type="dxa"/>
          </w:tcPr>
          <w:p w14:paraId="0FA80889" w14:textId="77777777" w:rsidR="00D47A44" w:rsidRPr="00275795" w:rsidRDefault="00D47A44" w:rsidP="00821935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5865FEDE" w14:textId="7FFC7D45" w:rsidR="006E2E70" w:rsidRDefault="00D712EC" w:rsidP="002C0268">
      <w:pPr>
        <w:tabs>
          <w:tab w:val="left" w:pos="9072"/>
        </w:tabs>
        <w:spacing w:after="200" w:line="276" w:lineRule="auto"/>
        <w:ind w:left="142" w:right="-28"/>
        <w:jc w:val="both"/>
        <w:rPr>
          <w:rFonts w:cs="Arial"/>
          <w:i/>
          <w:iCs/>
          <w:color w:val="00B0F0"/>
          <w:sz w:val="22"/>
          <w:szCs w:val="22"/>
        </w:rPr>
      </w:pPr>
      <w:r>
        <w:rPr>
          <w:rFonts w:cs="Arial"/>
          <w:i/>
          <w:iCs/>
          <w:color w:val="00B0F0"/>
          <w:sz w:val="22"/>
          <w:szCs w:val="22"/>
        </w:rPr>
        <w:t>Recordar que l’oferta econòmica no pot ser superior al pressupost base de licitació, IVA exclòs.</w:t>
      </w:r>
    </w:p>
    <w:p w14:paraId="09877CBF" w14:textId="77777777" w:rsidR="006E2E70" w:rsidRDefault="006E2E70" w:rsidP="002C0268">
      <w:pPr>
        <w:tabs>
          <w:tab w:val="left" w:pos="9072"/>
        </w:tabs>
        <w:spacing w:after="200" w:line="276" w:lineRule="auto"/>
        <w:ind w:left="142" w:right="-28"/>
        <w:jc w:val="both"/>
        <w:rPr>
          <w:rFonts w:cs="Arial"/>
          <w:i/>
          <w:iCs/>
          <w:color w:val="00B0F0"/>
          <w:sz w:val="22"/>
          <w:szCs w:val="22"/>
        </w:rPr>
      </w:pPr>
    </w:p>
    <w:p w14:paraId="644FEA77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Que el preu global </w:t>
      </w:r>
      <w:r w:rsidRPr="00891000">
        <w:rPr>
          <w:rFonts w:eastAsia="Calibri" w:cs="Arial"/>
          <w:sz w:val="22"/>
          <w:szCs w:val="22"/>
          <w:lang w:eastAsia="en-US"/>
        </w:rPr>
        <w:t>l’oferta es desglossa d’acord amb els següent:</w:t>
      </w:r>
    </w:p>
    <w:p w14:paraId="68E2B08C" w14:textId="77777777" w:rsidR="009B29F4" w:rsidRPr="00891000" w:rsidRDefault="009B29F4" w:rsidP="009B29F4">
      <w:pPr>
        <w:contextualSpacing/>
        <w:jc w:val="both"/>
        <w:rPr>
          <w:rFonts w:eastAsia="Calibri" w:cs="Arial"/>
          <w:sz w:val="22"/>
          <w:szCs w:val="22"/>
          <w:lang w:eastAsia="en-US"/>
        </w:rPr>
      </w:pPr>
    </w:p>
    <w:tbl>
      <w:tblPr>
        <w:tblW w:w="4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240"/>
        <w:gridCol w:w="1500"/>
      </w:tblGrid>
      <w:tr w:rsidR="009B29F4" w:rsidRPr="00891000" w14:paraId="1803671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B9BC91E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CONCEPTE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27F7113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Import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218BF7" w14:textId="77777777" w:rsidR="009B29F4" w:rsidRPr="00891000" w:rsidRDefault="009B29F4" w:rsidP="00014B5E">
            <w:pPr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b/>
                <w:bCs/>
                <w:color w:val="000000"/>
                <w:sz w:val="22"/>
                <w:szCs w:val="22"/>
                <w:lang w:eastAsia="ca-ES"/>
              </w:rPr>
              <w:t>Percentatge</w:t>
            </w:r>
          </w:p>
        </w:tc>
      </w:tr>
      <w:tr w:rsidR="009B29F4" w:rsidRPr="00891000" w14:paraId="350B95C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A3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667F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F34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119F3756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EBD5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Costos indirectes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046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D40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37DF16AA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A9E75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BB8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01FC1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100%</w:t>
            </w:r>
          </w:p>
        </w:tc>
      </w:tr>
      <w:tr w:rsidR="009B29F4" w:rsidRPr="00891000" w14:paraId="2F7EBE6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52A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Benefici industrial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6A72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5D79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54198AE1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C42C7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Subtotal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845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D259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  <w:tr w:rsidR="009B29F4" w:rsidRPr="00891000" w14:paraId="5182BC0D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BEF7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IVA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F2C8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AF9B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9B29F4" w:rsidRPr="00891000" w14:paraId="7E49C6BE" w14:textId="77777777" w:rsidTr="00014B5E">
        <w:trPr>
          <w:trHeight w:val="30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2A66" w14:textId="77777777" w:rsidR="009B29F4" w:rsidRPr="00891000" w:rsidRDefault="009B29F4" w:rsidP="00014B5E">
            <w:pPr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83F34" w14:textId="77777777" w:rsidR="009B29F4" w:rsidRPr="00891000" w:rsidRDefault="009B29F4" w:rsidP="00014B5E">
            <w:pPr>
              <w:jc w:val="right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97EB" w14:textId="77777777" w:rsidR="009B29F4" w:rsidRPr="00891000" w:rsidRDefault="009B29F4" w:rsidP="00014B5E">
            <w:pPr>
              <w:jc w:val="center"/>
              <w:rPr>
                <w:rFonts w:cs="Calibri"/>
                <w:color w:val="000000"/>
                <w:sz w:val="22"/>
                <w:szCs w:val="22"/>
                <w:lang w:eastAsia="ca-ES"/>
              </w:rPr>
            </w:pPr>
            <w:r w:rsidRPr="00891000">
              <w:rPr>
                <w:rFonts w:cs="Calibri"/>
                <w:color w:val="000000"/>
                <w:sz w:val="22"/>
                <w:szCs w:val="22"/>
                <w:lang w:eastAsia="ca-ES"/>
              </w:rPr>
              <w:t>-</w:t>
            </w:r>
          </w:p>
        </w:tc>
      </w:tr>
    </w:tbl>
    <w:p w14:paraId="6F5A65F3" w14:textId="77777777" w:rsidR="009B29F4" w:rsidRDefault="009B29F4" w:rsidP="009B29F4">
      <w:pPr>
        <w:rPr>
          <w:sz w:val="22"/>
          <w:szCs w:val="22"/>
        </w:rPr>
      </w:pPr>
    </w:p>
    <w:p w14:paraId="7A061016" w14:textId="77777777" w:rsidR="009B29F4" w:rsidRPr="00497D87" w:rsidRDefault="009B29F4" w:rsidP="009B29F4">
      <w:p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 xml:space="preserve">NOTA: </w:t>
      </w:r>
    </w:p>
    <w:p w14:paraId="55A42316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lastRenderedPageBreak/>
        <w:t>Els costos directes són aquells que sense cap mena de dubte es poden assignar a l’execució del contracte. Es divideixen en costos de personal i costos del productes a subministrar, si s’escau.</w:t>
      </w:r>
    </w:p>
    <w:p w14:paraId="14E2F004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Els costos indirectes són aquells necessaris per a l’execució del contracte però que no es poden assignar de forma unívoca al mateix.</w:t>
      </w:r>
    </w:p>
    <w:p w14:paraId="611E87F1" w14:textId="77777777" w:rsidR="009B29F4" w:rsidRPr="00497D87" w:rsidRDefault="009B29F4" w:rsidP="009B29F4">
      <w:pPr>
        <w:numPr>
          <w:ilvl w:val="0"/>
          <w:numId w:val="11"/>
        </w:numPr>
        <w:autoSpaceDE w:val="0"/>
        <w:autoSpaceDN w:val="0"/>
        <w:adjustRightInd w:val="0"/>
        <w:rPr>
          <w:rFonts w:cs="RobotoLight"/>
          <w:sz w:val="20"/>
          <w:szCs w:val="22"/>
          <w:lang w:eastAsia="ca-ES"/>
        </w:rPr>
      </w:pPr>
      <w:r w:rsidRPr="00497D87">
        <w:rPr>
          <w:rFonts w:cs="RobotoLight"/>
          <w:sz w:val="20"/>
          <w:szCs w:val="22"/>
          <w:lang w:eastAsia="ca-ES"/>
        </w:rPr>
        <w:t>El benefici industrial és el percentatge que l’empresari es marca com a guany.</w:t>
      </w:r>
    </w:p>
    <w:p w14:paraId="6B52151F" w14:textId="77777777" w:rsidR="00674BF8" w:rsidRDefault="00674BF8" w:rsidP="00674BF8">
      <w:pPr>
        <w:jc w:val="both"/>
        <w:rPr>
          <w:sz w:val="22"/>
          <w:szCs w:val="22"/>
        </w:rPr>
      </w:pPr>
    </w:p>
    <w:p w14:paraId="470127AB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125BAA0F" w14:textId="77777777" w:rsidR="00426FBB" w:rsidRDefault="00426FBB" w:rsidP="00426FBB">
      <w:pPr>
        <w:rPr>
          <w:rFonts w:cs="Arial"/>
          <w:b/>
          <w:sz w:val="22"/>
          <w:szCs w:val="22"/>
        </w:rPr>
      </w:pPr>
    </w:p>
    <w:p w14:paraId="6197BA3E" w14:textId="77777777" w:rsidR="00674BF8" w:rsidRDefault="00674BF8" w:rsidP="00426FBB">
      <w:pPr>
        <w:rPr>
          <w:rFonts w:cs="Arial"/>
          <w:sz w:val="22"/>
          <w:szCs w:val="22"/>
        </w:rPr>
      </w:pPr>
      <w:r w:rsidRPr="00426FBB">
        <w:rPr>
          <w:rFonts w:cs="Arial"/>
          <w:b/>
          <w:sz w:val="22"/>
          <w:szCs w:val="22"/>
          <w:u w:val="single"/>
        </w:rPr>
        <w:t>Altres criteris automàtics avaluables</w:t>
      </w:r>
      <w:r w:rsidRPr="003C0A35">
        <w:rPr>
          <w:rFonts w:cs="Arial"/>
          <w:sz w:val="22"/>
          <w:szCs w:val="22"/>
        </w:rPr>
        <w:t xml:space="preserve">: </w:t>
      </w:r>
    </w:p>
    <w:p w14:paraId="14D0D097" w14:textId="77777777" w:rsidR="00590D24" w:rsidRDefault="00590D24" w:rsidP="00426FBB">
      <w:pPr>
        <w:rPr>
          <w:rFonts w:cs="Arial"/>
          <w:sz w:val="22"/>
          <w:szCs w:val="22"/>
        </w:rPr>
      </w:pPr>
    </w:p>
    <w:p w14:paraId="073D4226" w14:textId="77777777" w:rsidR="00590D24" w:rsidRPr="0097471B" w:rsidRDefault="00590D24" w:rsidP="00674BF8">
      <w:pPr>
        <w:jc w:val="both"/>
        <w:rPr>
          <w:color w:val="000000"/>
          <w:sz w:val="22"/>
          <w:szCs w:val="22"/>
          <w:highlight w:val="yellow"/>
          <w:lang w:bidi="ks-Deva"/>
        </w:rPr>
      </w:pPr>
    </w:p>
    <w:p w14:paraId="541F65E0" w14:textId="7B6483AC" w:rsidR="00590D24" w:rsidRPr="00344E03" w:rsidRDefault="00590D24" w:rsidP="00F2128D">
      <w:pPr>
        <w:pStyle w:val="Prrafodelista"/>
        <w:numPr>
          <w:ilvl w:val="0"/>
          <w:numId w:val="16"/>
        </w:numPr>
        <w:jc w:val="both"/>
        <w:rPr>
          <w:b/>
          <w:color w:val="000000"/>
          <w:sz w:val="22"/>
          <w:szCs w:val="22"/>
          <w:lang w:bidi="ks-Deva"/>
        </w:rPr>
      </w:pPr>
      <w:r w:rsidRPr="00344E03">
        <w:rPr>
          <w:b/>
          <w:color w:val="000000"/>
          <w:sz w:val="22"/>
          <w:szCs w:val="22"/>
          <w:lang w:bidi="ks-Deva"/>
        </w:rPr>
        <w:t xml:space="preserve">Termini de lliurament </w:t>
      </w:r>
    </w:p>
    <w:p w14:paraId="53941372" w14:textId="77777777" w:rsidR="00590D24" w:rsidRPr="00344E03" w:rsidRDefault="00590D24" w:rsidP="00674BF8">
      <w:pPr>
        <w:jc w:val="both"/>
        <w:rPr>
          <w:color w:val="000000"/>
          <w:sz w:val="22"/>
          <w:szCs w:val="22"/>
          <w:lang w:bidi="ks-Deva"/>
        </w:rPr>
      </w:pPr>
    </w:p>
    <w:p w14:paraId="72BAEAC8" w14:textId="7F1B09FE" w:rsidR="00674BF8" w:rsidRPr="00344E03" w:rsidRDefault="00590D24" w:rsidP="00674BF8">
      <w:pPr>
        <w:jc w:val="both"/>
        <w:rPr>
          <w:color w:val="000000"/>
          <w:sz w:val="22"/>
          <w:szCs w:val="22"/>
          <w:lang w:bidi="ks-Deva"/>
        </w:rPr>
      </w:pPr>
      <w:r w:rsidRPr="00344E03">
        <w:rPr>
          <w:color w:val="000000"/>
          <w:sz w:val="22"/>
          <w:szCs w:val="22"/>
          <w:lang w:bidi="ks-Deva"/>
        </w:rPr>
        <w:t xml:space="preserve"> </w:t>
      </w:r>
      <w:r w:rsidR="00674BF8" w:rsidRPr="00344E03">
        <w:rPr>
          <w:color w:val="000000"/>
          <w:sz w:val="22"/>
          <w:szCs w:val="22"/>
          <w:lang w:bidi="ks-Deva"/>
        </w:rPr>
        <w:t xml:space="preserve">Que la proposta </w:t>
      </w:r>
      <w:r w:rsidR="000F4732" w:rsidRPr="00344E03">
        <w:rPr>
          <w:color w:val="000000"/>
          <w:sz w:val="22"/>
          <w:szCs w:val="22"/>
          <w:lang w:bidi="ks-Deva"/>
        </w:rPr>
        <w:t>ofereix un termini de lliurament, en dies naturals, inferior al requerit a l’IN+PPT</w:t>
      </w:r>
      <w:r w:rsidR="00674BF8" w:rsidRPr="00344E03">
        <w:rPr>
          <w:color w:val="000000"/>
          <w:sz w:val="22"/>
          <w:szCs w:val="22"/>
          <w:lang w:bidi="ks-Deva"/>
        </w:rPr>
        <w:t>:</w:t>
      </w:r>
    </w:p>
    <w:p w14:paraId="07CDE9DB" w14:textId="77777777" w:rsidR="00B04C23" w:rsidRPr="00344E03" w:rsidRDefault="00B04C23" w:rsidP="00674BF8">
      <w:pPr>
        <w:jc w:val="both"/>
        <w:rPr>
          <w:color w:val="000000"/>
          <w:sz w:val="22"/>
          <w:szCs w:val="22"/>
          <w:lang w:bidi="ks-Deva"/>
        </w:rPr>
      </w:pPr>
    </w:p>
    <w:p w14:paraId="60069106" w14:textId="77777777" w:rsidR="008274CE" w:rsidRPr="00344E03" w:rsidRDefault="008274CE" w:rsidP="008274CE">
      <w:pPr>
        <w:ind w:firstLine="708"/>
        <w:contextualSpacing/>
        <w:jc w:val="both"/>
        <w:rPr>
          <w:rFonts w:ascii="Wingdings" w:hAnsi="Wingdings" w:cs="Arial" w:hint="eastAsia"/>
          <w:sz w:val="22"/>
          <w:szCs w:val="22"/>
          <w:lang w:eastAsia="ca-ES"/>
        </w:rPr>
      </w:pPr>
      <w:r w:rsidRPr="00344E03">
        <w:rPr>
          <w:rFonts w:cs="Arial"/>
          <w:sz w:val="22"/>
          <w:szCs w:val="22"/>
          <w:lang w:eastAsia="ca-ES"/>
        </w:rPr>
        <w:t xml:space="preserve">SI </w:t>
      </w:r>
      <w:sdt>
        <w:sdtPr>
          <w:id w:val="-41501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4E03">
            <w:rPr>
              <w:rFonts w:ascii="MS Gothic" w:eastAsia="MS Gothic" w:hAnsi="MS Gothic" w:hint="eastAsia"/>
            </w:rPr>
            <w:t>☐</w:t>
          </w:r>
        </w:sdtContent>
      </w:sdt>
      <w:r w:rsidRPr="00344E03">
        <w:rPr>
          <w:rFonts w:eastAsia="Calibri" w:cs="Arial"/>
          <w:iCs/>
          <w:sz w:val="22"/>
          <w:szCs w:val="22"/>
          <w:lang w:eastAsia="en-US"/>
        </w:rPr>
        <w:t xml:space="preserve">  </w:t>
      </w:r>
      <w:r w:rsidRPr="00344E03">
        <w:rPr>
          <w:rFonts w:cs="Arial"/>
          <w:sz w:val="22"/>
          <w:szCs w:val="22"/>
          <w:lang w:eastAsia="ca-ES"/>
        </w:rPr>
        <w:t xml:space="preserve"> NO </w:t>
      </w:r>
      <w:sdt>
        <w:sdtPr>
          <w:id w:val="171002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44E03">
            <w:rPr>
              <w:rFonts w:ascii="MS Gothic" w:eastAsia="MS Gothic" w:hAnsi="MS Gothic" w:hint="eastAsia"/>
            </w:rPr>
            <w:t>☐</w:t>
          </w:r>
        </w:sdtContent>
      </w:sdt>
      <w:r w:rsidRPr="00344E03">
        <w:rPr>
          <w:rFonts w:eastAsia="Calibri" w:cs="Arial"/>
          <w:iCs/>
          <w:sz w:val="22"/>
          <w:szCs w:val="22"/>
          <w:lang w:eastAsia="en-US"/>
        </w:rPr>
        <w:t xml:space="preserve">  </w:t>
      </w:r>
    </w:p>
    <w:p w14:paraId="36770A6E" w14:textId="77777777" w:rsidR="00674BF8" w:rsidRPr="00344E03" w:rsidRDefault="00674BF8" w:rsidP="00674BF8">
      <w:pPr>
        <w:contextualSpacing/>
        <w:jc w:val="both"/>
        <w:rPr>
          <w:rFonts w:ascii="Wingdings" w:hAnsi="Wingdings" w:cs="Arial" w:hint="eastAsia"/>
          <w:sz w:val="22"/>
          <w:szCs w:val="22"/>
          <w:lang w:eastAsia="ca-ES"/>
        </w:rPr>
      </w:pPr>
    </w:p>
    <w:p w14:paraId="0FD7E3E0" w14:textId="6372C4F9" w:rsidR="00674BF8" w:rsidRPr="00344E03" w:rsidRDefault="00674BF8" w:rsidP="00674BF8">
      <w:pPr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  <w:r w:rsidRPr="00344E03">
        <w:rPr>
          <w:rFonts w:eastAsia="Calibri" w:cs="Arial"/>
          <w:i/>
          <w:iCs/>
          <w:sz w:val="22"/>
          <w:szCs w:val="22"/>
          <w:lang w:eastAsia="en-US"/>
        </w:rPr>
        <w:t>(</w:t>
      </w:r>
      <w:r w:rsidR="00590D24" w:rsidRPr="00344E03">
        <w:rPr>
          <w:rFonts w:eastAsia="Calibri" w:cs="Arial"/>
          <w:i/>
          <w:iCs/>
          <w:sz w:val="22"/>
          <w:szCs w:val="22"/>
          <w:lang w:eastAsia="en-US"/>
        </w:rPr>
        <w:t>En c</w:t>
      </w:r>
      <w:r w:rsidRPr="00344E03">
        <w:rPr>
          <w:rFonts w:eastAsia="Calibri" w:cs="Arial"/>
          <w:i/>
          <w:iCs/>
          <w:sz w:val="22"/>
          <w:szCs w:val="22"/>
          <w:lang w:eastAsia="en-US"/>
        </w:rPr>
        <w:t>as que s’hagi marca</w:t>
      </w:r>
      <w:r w:rsidR="00D44E93" w:rsidRPr="00344E03">
        <w:rPr>
          <w:rFonts w:eastAsia="Calibri" w:cs="Arial"/>
          <w:i/>
          <w:iCs/>
          <w:sz w:val="22"/>
          <w:szCs w:val="22"/>
          <w:lang w:eastAsia="en-US"/>
        </w:rPr>
        <w:t xml:space="preserve">t que sí al paràgraf anterior): </w:t>
      </w:r>
      <w:r w:rsidR="00590D24" w:rsidRPr="00344E03">
        <w:rPr>
          <w:rFonts w:eastAsia="Calibri" w:cs="Arial"/>
          <w:iCs/>
          <w:sz w:val="22"/>
          <w:szCs w:val="22"/>
          <w:lang w:eastAsia="en-US"/>
        </w:rPr>
        <w:t>el termini de lliura</w:t>
      </w:r>
      <w:r w:rsidR="000F4732" w:rsidRPr="00344E03">
        <w:rPr>
          <w:rFonts w:eastAsia="Calibri" w:cs="Arial"/>
          <w:iCs/>
          <w:sz w:val="22"/>
          <w:szCs w:val="22"/>
          <w:lang w:eastAsia="en-US"/>
        </w:rPr>
        <w:t>ment serà de ................. dies.</w:t>
      </w:r>
      <w:r w:rsidR="00D712EC">
        <w:rPr>
          <w:rFonts w:eastAsia="Calibri" w:cs="Arial"/>
          <w:iCs/>
          <w:sz w:val="22"/>
          <w:szCs w:val="22"/>
          <w:lang w:eastAsia="en-US"/>
        </w:rPr>
        <w:t xml:space="preserve"> </w:t>
      </w:r>
      <w:r w:rsidR="00D712EC" w:rsidRPr="00D712EC">
        <w:rPr>
          <w:rFonts w:eastAsia="Calibri" w:cs="Arial"/>
          <w:i/>
          <w:color w:val="0070C0"/>
          <w:sz w:val="22"/>
          <w:szCs w:val="22"/>
          <w:lang w:eastAsia="en-US"/>
        </w:rPr>
        <w:t xml:space="preserve">(Cal recordar que el termini mínim a oferir és de 30 dies naturals, i el màxim, no considerant-se millora, és de 3 mesos, des de l’acta d’inici del contracte). </w:t>
      </w:r>
    </w:p>
    <w:p w14:paraId="684DB302" w14:textId="7D62987D" w:rsidR="00674BF8" w:rsidRPr="000F7AE1" w:rsidRDefault="00674BF8" w:rsidP="00674BF8">
      <w:pPr>
        <w:contextualSpacing/>
        <w:jc w:val="both"/>
        <w:rPr>
          <w:rFonts w:eastAsia="Calibri" w:cs="Arial"/>
          <w:iCs/>
          <w:color w:val="C00000"/>
          <w:sz w:val="22"/>
          <w:szCs w:val="22"/>
          <w:lang w:eastAsia="en-US"/>
        </w:rPr>
      </w:pPr>
    </w:p>
    <w:p w14:paraId="07D93B22" w14:textId="77777777" w:rsidR="00D44E93" w:rsidRPr="00344E03" w:rsidRDefault="00D44E93" w:rsidP="00D44E93">
      <w:pPr>
        <w:ind w:left="1773"/>
        <w:contextualSpacing/>
        <w:jc w:val="both"/>
        <w:rPr>
          <w:rFonts w:eastAsia="Calibri" w:cs="Arial"/>
          <w:iCs/>
          <w:sz w:val="22"/>
          <w:szCs w:val="22"/>
          <w:lang w:eastAsia="en-US"/>
        </w:rPr>
      </w:pPr>
    </w:p>
    <w:p w14:paraId="33BE2DF1" w14:textId="77777777" w:rsidR="00674BF8" w:rsidRPr="00344E03" w:rsidRDefault="00674BF8" w:rsidP="00D44E93">
      <w:pPr>
        <w:contextualSpacing/>
        <w:jc w:val="both"/>
        <w:rPr>
          <w:rFonts w:cs="Arial"/>
          <w:i/>
          <w:iCs/>
          <w:sz w:val="22"/>
          <w:szCs w:val="22"/>
        </w:rPr>
      </w:pPr>
      <w:r w:rsidRPr="00344E03">
        <w:rPr>
          <w:rFonts w:cs="Arial"/>
          <w:i/>
          <w:iCs/>
          <w:sz w:val="22"/>
          <w:szCs w:val="22"/>
        </w:rPr>
        <w:t>(</w:t>
      </w:r>
      <w:r w:rsidR="000F4732" w:rsidRPr="00344E03">
        <w:rPr>
          <w:rFonts w:cs="Arial"/>
          <w:i/>
          <w:iCs/>
          <w:sz w:val="22"/>
          <w:szCs w:val="22"/>
        </w:rPr>
        <w:t xml:space="preserve">Cal especificar el termini </w:t>
      </w:r>
      <w:r w:rsidR="00590D24" w:rsidRPr="00344E03">
        <w:rPr>
          <w:rFonts w:cs="Arial"/>
          <w:i/>
          <w:iCs/>
          <w:sz w:val="22"/>
          <w:szCs w:val="22"/>
        </w:rPr>
        <w:t>de lliura</w:t>
      </w:r>
      <w:r w:rsidR="000F4732" w:rsidRPr="00344E03">
        <w:rPr>
          <w:rFonts w:cs="Arial"/>
          <w:i/>
          <w:iCs/>
          <w:sz w:val="22"/>
          <w:szCs w:val="22"/>
        </w:rPr>
        <w:t>ment ofert com a mil</w:t>
      </w:r>
      <w:r w:rsidR="00164C09" w:rsidRPr="00344E03">
        <w:rPr>
          <w:rFonts w:cs="Arial"/>
          <w:i/>
          <w:iCs/>
          <w:sz w:val="22"/>
          <w:szCs w:val="22"/>
        </w:rPr>
        <w:t>l</w:t>
      </w:r>
      <w:r w:rsidR="000F4732" w:rsidRPr="00344E03">
        <w:rPr>
          <w:rFonts w:cs="Arial"/>
          <w:i/>
          <w:iCs/>
          <w:sz w:val="22"/>
          <w:szCs w:val="22"/>
        </w:rPr>
        <w:t>ora</w:t>
      </w:r>
      <w:r w:rsidRPr="00344E03">
        <w:rPr>
          <w:rFonts w:cs="Arial"/>
          <w:i/>
          <w:iCs/>
          <w:sz w:val="22"/>
          <w:szCs w:val="22"/>
        </w:rPr>
        <w:t>, en cas contrari, no s’obtindrà puntuació en aquest apartat)</w:t>
      </w:r>
    </w:p>
    <w:p w14:paraId="4377A7D1" w14:textId="77777777" w:rsidR="00344E03" w:rsidRPr="00344E03" w:rsidRDefault="00344E03" w:rsidP="00D44E93">
      <w:pPr>
        <w:contextualSpacing/>
        <w:jc w:val="both"/>
        <w:rPr>
          <w:rFonts w:cs="Arial"/>
          <w:i/>
          <w:iCs/>
          <w:sz w:val="22"/>
          <w:szCs w:val="22"/>
        </w:rPr>
      </w:pPr>
    </w:p>
    <w:p w14:paraId="6E458C5C" w14:textId="7F600764" w:rsidR="00344E03" w:rsidRPr="00344E03" w:rsidRDefault="00344E03" w:rsidP="00344E03">
      <w:pPr>
        <w:pStyle w:val="Prrafodelista"/>
        <w:numPr>
          <w:ilvl w:val="0"/>
          <w:numId w:val="16"/>
        </w:numPr>
        <w:jc w:val="both"/>
        <w:rPr>
          <w:rFonts w:eastAsia="Calibri" w:cs="Arial"/>
          <w:b/>
          <w:bCs/>
          <w:sz w:val="22"/>
          <w:szCs w:val="22"/>
          <w:lang w:eastAsia="en-US"/>
        </w:rPr>
      </w:pPr>
      <w:r w:rsidRPr="00344E03">
        <w:rPr>
          <w:rFonts w:eastAsia="Calibri" w:cs="Arial"/>
          <w:b/>
          <w:bCs/>
          <w:sz w:val="22"/>
          <w:szCs w:val="22"/>
          <w:lang w:eastAsia="en-US"/>
        </w:rPr>
        <w:t>Formació al personal municipal</w:t>
      </w:r>
    </w:p>
    <w:p w14:paraId="3941E0D0" w14:textId="77777777" w:rsidR="00344E03" w:rsidRDefault="00344E03" w:rsidP="00344E03">
      <w:pPr>
        <w:jc w:val="both"/>
        <w:rPr>
          <w:rFonts w:eastAsia="Calibri" w:cs="Arial"/>
          <w:b/>
          <w:bCs/>
          <w:sz w:val="22"/>
          <w:szCs w:val="22"/>
          <w:highlight w:val="yellow"/>
          <w:lang w:eastAsia="en-US"/>
        </w:rPr>
      </w:pPr>
    </w:p>
    <w:p w14:paraId="35E959F4" w14:textId="0752ADB7" w:rsidR="00344E03" w:rsidRPr="000F7AE1" w:rsidRDefault="00A320EC" w:rsidP="00344E03">
      <w:pPr>
        <w:jc w:val="both"/>
        <w:rPr>
          <w:rFonts w:eastAsia="Calibri" w:cs="Arial"/>
          <w:sz w:val="22"/>
          <w:szCs w:val="22"/>
          <w:highlight w:val="yellow"/>
          <w:lang w:eastAsia="en-US"/>
        </w:rPr>
      </w:pPr>
      <w:r w:rsidRPr="000F7AE1">
        <w:rPr>
          <w:rFonts w:eastAsia="Calibri" w:cs="Arial"/>
          <w:sz w:val="22"/>
          <w:szCs w:val="22"/>
          <w:highlight w:val="yellow"/>
          <w:lang w:eastAsia="en-US"/>
        </w:rPr>
        <w:t xml:space="preserve">Que la proposta ofereix realitzar una formació </w:t>
      </w:r>
      <w:r w:rsidR="00731248" w:rsidRPr="000F7AE1">
        <w:rPr>
          <w:rFonts w:eastAsia="Calibri" w:cs="Arial"/>
          <w:sz w:val="22"/>
          <w:szCs w:val="22"/>
          <w:highlight w:val="yellow"/>
          <w:lang w:eastAsia="en-US"/>
        </w:rPr>
        <w:t xml:space="preserve">al personal </w:t>
      </w:r>
      <w:r w:rsidR="000F7AE1" w:rsidRPr="000F7AE1">
        <w:rPr>
          <w:rFonts w:eastAsia="Calibri" w:cs="Arial"/>
          <w:sz w:val="22"/>
          <w:szCs w:val="22"/>
          <w:highlight w:val="yellow"/>
          <w:lang w:eastAsia="en-US"/>
        </w:rPr>
        <w:t xml:space="preserve">al servei d’esports en el funcionament del sistema de sonorització de l’equipament, mitjançant un curs un cop instal·lat tot el material d’un mínim de 2 hores: </w:t>
      </w:r>
    </w:p>
    <w:p w14:paraId="4BCAAC1D" w14:textId="77777777" w:rsidR="000F7AE1" w:rsidRPr="000F7AE1" w:rsidRDefault="000F7AE1" w:rsidP="00344E03">
      <w:pPr>
        <w:jc w:val="both"/>
        <w:rPr>
          <w:rFonts w:eastAsia="Calibri" w:cs="Arial"/>
          <w:sz w:val="22"/>
          <w:szCs w:val="22"/>
          <w:highlight w:val="yellow"/>
          <w:lang w:eastAsia="en-US"/>
        </w:rPr>
      </w:pPr>
    </w:p>
    <w:p w14:paraId="25CC68C5" w14:textId="77777777" w:rsidR="000F7AE1" w:rsidRPr="000F7AE1" w:rsidRDefault="000F7AE1" w:rsidP="000F7AE1">
      <w:pPr>
        <w:ind w:firstLine="708"/>
        <w:contextualSpacing/>
        <w:jc w:val="both"/>
        <w:rPr>
          <w:rFonts w:ascii="Wingdings" w:hAnsi="Wingdings" w:cs="Arial" w:hint="eastAsia"/>
          <w:sz w:val="22"/>
          <w:szCs w:val="22"/>
          <w:highlight w:val="yellow"/>
          <w:lang w:eastAsia="ca-ES"/>
        </w:rPr>
      </w:pPr>
      <w:r w:rsidRPr="000F7AE1">
        <w:rPr>
          <w:rFonts w:cs="Arial"/>
          <w:sz w:val="22"/>
          <w:szCs w:val="22"/>
          <w:highlight w:val="yellow"/>
          <w:lang w:eastAsia="ca-ES"/>
        </w:rPr>
        <w:t xml:space="preserve">SI </w:t>
      </w:r>
      <w:sdt>
        <w:sdtPr>
          <w:rPr>
            <w:highlight w:val="yellow"/>
          </w:rPr>
          <w:id w:val="689653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7AE1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Pr="000F7AE1">
        <w:rPr>
          <w:rFonts w:eastAsia="Calibri" w:cs="Arial"/>
          <w:iCs/>
          <w:sz w:val="22"/>
          <w:szCs w:val="22"/>
          <w:highlight w:val="yellow"/>
          <w:lang w:eastAsia="en-US"/>
        </w:rPr>
        <w:t xml:space="preserve">  </w:t>
      </w:r>
      <w:r w:rsidRPr="000F7AE1">
        <w:rPr>
          <w:rFonts w:cs="Arial"/>
          <w:sz w:val="22"/>
          <w:szCs w:val="22"/>
          <w:highlight w:val="yellow"/>
          <w:lang w:eastAsia="ca-ES"/>
        </w:rPr>
        <w:t xml:space="preserve"> NO </w:t>
      </w:r>
      <w:sdt>
        <w:sdtPr>
          <w:rPr>
            <w:highlight w:val="yellow"/>
          </w:rPr>
          <w:id w:val="-1541122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7AE1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Pr="000F7AE1">
        <w:rPr>
          <w:rFonts w:eastAsia="Calibri" w:cs="Arial"/>
          <w:iCs/>
          <w:sz w:val="22"/>
          <w:szCs w:val="22"/>
          <w:highlight w:val="yellow"/>
          <w:lang w:eastAsia="en-US"/>
        </w:rPr>
        <w:t xml:space="preserve">  </w:t>
      </w:r>
    </w:p>
    <w:p w14:paraId="745C509F" w14:textId="77777777" w:rsidR="000F7AE1" w:rsidRPr="000F7AE1" w:rsidRDefault="000F7AE1" w:rsidP="00344E03">
      <w:pPr>
        <w:jc w:val="both"/>
        <w:rPr>
          <w:rFonts w:eastAsia="Calibri" w:cs="Arial"/>
          <w:sz w:val="22"/>
          <w:szCs w:val="22"/>
          <w:highlight w:val="yellow"/>
          <w:lang w:eastAsia="en-US"/>
        </w:rPr>
      </w:pPr>
    </w:p>
    <w:p w14:paraId="6D90C41D" w14:textId="407F952C" w:rsidR="000F7AE1" w:rsidRPr="00344E03" w:rsidRDefault="000F7AE1" w:rsidP="000F7AE1">
      <w:pPr>
        <w:contextualSpacing/>
        <w:jc w:val="both"/>
        <w:rPr>
          <w:rFonts w:cs="Arial"/>
          <w:i/>
          <w:iCs/>
          <w:sz w:val="22"/>
          <w:szCs w:val="22"/>
        </w:rPr>
      </w:pPr>
      <w:r w:rsidRPr="000F7AE1">
        <w:rPr>
          <w:rFonts w:cs="Arial"/>
          <w:i/>
          <w:iCs/>
          <w:sz w:val="22"/>
          <w:szCs w:val="22"/>
          <w:highlight w:val="yellow"/>
        </w:rPr>
        <w:t>(Cal especificar si s’ofereix o no aquesta millora, en cas contrari, no s’obtindrà puntuació en aquest apartat)</w:t>
      </w:r>
    </w:p>
    <w:p w14:paraId="21F53EEF" w14:textId="77777777" w:rsidR="00674BF8" w:rsidRPr="0097471B" w:rsidRDefault="00674BF8" w:rsidP="00674BF8">
      <w:pPr>
        <w:autoSpaceDE w:val="0"/>
        <w:autoSpaceDN w:val="0"/>
        <w:adjustRightInd w:val="0"/>
        <w:jc w:val="both"/>
        <w:rPr>
          <w:rFonts w:cs="Roboto-Light"/>
          <w:sz w:val="22"/>
          <w:szCs w:val="22"/>
          <w:highlight w:val="yellow"/>
        </w:rPr>
      </w:pPr>
    </w:p>
    <w:p w14:paraId="587C1C22" w14:textId="77777777" w:rsidR="00556204" w:rsidRPr="00257275" w:rsidRDefault="00556204" w:rsidP="00515EAD">
      <w:pPr>
        <w:ind w:left="709" w:hanging="567"/>
        <w:rPr>
          <w:rFonts w:cs="Arial"/>
          <w:sz w:val="22"/>
          <w:szCs w:val="22"/>
          <w:highlight w:val="yellow"/>
        </w:rPr>
      </w:pPr>
    </w:p>
    <w:p w14:paraId="2C501EDE" w14:textId="77777777" w:rsidR="004B414E" w:rsidRDefault="001802A2" w:rsidP="000F4732">
      <w:pPr>
        <w:ind w:left="142"/>
        <w:rPr>
          <w:rFonts w:cs="Arial"/>
          <w:sz w:val="22"/>
          <w:szCs w:val="22"/>
        </w:rPr>
      </w:pPr>
      <w:r w:rsidRPr="00862FA1">
        <w:rPr>
          <w:rFonts w:cs="Arial"/>
          <w:sz w:val="22"/>
          <w:szCs w:val="22"/>
        </w:rPr>
        <w:t>(</w:t>
      </w:r>
      <w:r w:rsidRPr="00862FA1">
        <w:rPr>
          <w:rFonts w:cs="Arial"/>
          <w:i/>
          <w:sz w:val="22"/>
          <w:szCs w:val="22"/>
        </w:rPr>
        <w:t>Data i signatura</w:t>
      </w:r>
      <w:r w:rsidRPr="00862FA1">
        <w:rPr>
          <w:rFonts w:cs="Arial"/>
          <w:sz w:val="22"/>
          <w:szCs w:val="22"/>
        </w:rPr>
        <w:t>)."</w:t>
      </w:r>
    </w:p>
    <w:p w14:paraId="18BCEE50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230F275D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1765EC63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p w14:paraId="3C2A3E06" w14:textId="77777777" w:rsidR="007B3549" w:rsidRDefault="007B3549" w:rsidP="000F4732">
      <w:pPr>
        <w:ind w:left="142"/>
        <w:rPr>
          <w:rFonts w:cs="Arial"/>
          <w:sz w:val="22"/>
          <w:szCs w:val="22"/>
        </w:rPr>
      </w:pPr>
    </w:p>
    <w:sectPr w:rsidR="007B3549" w:rsidSect="00012F62">
      <w:headerReference w:type="default" r:id="rId11"/>
      <w:footerReference w:type="default" r:id="rId12"/>
      <w:pgSz w:w="11900" w:h="16840"/>
      <w:pgMar w:top="2410" w:right="1410" w:bottom="1021" w:left="1304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6538A" w14:textId="77777777" w:rsidR="00AC5C94" w:rsidRDefault="00AC5C94" w:rsidP="00452158">
      <w:r>
        <w:separator/>
      </w:r>
    </w:p>
  </w:endnote>
  <w:endnote w:type="continuationSeparator" w:id="0">
    <w:p w14:paraId="53C6669D" w14:textId="77777777" w:rsidR="00AC5C94" w:rsidRDefault="00AC5C94" w:rsidP="0045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3" w:usb1="5000205B" w:usb2="0000002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Light">
    <w:altName w:val="Microsoft JhengHe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4916285"/>
      <w:docPartObj>
        <w:docPartGallery w:val="Page Numbers (Bottom of Page)"/>
        <w:docPartUnique/>
      </w:docPartObj>
    </w:sdtPr>
    <w:sdtEndPr/>
    <w:sdtContent>
      <w:p w14:paraId="28D52D6E" w14:textId="77777777" w:rsidR="00F333A5" w:rsidRDefault="00F333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719" w:rsidRPr="003D2719">
          <w:rPr>
            <w:noProof/>
            <w:lang w:val="es-ES"/>
          </w:rPr>
          <w:t>5</w:t>
        </w:r>
        <w:r>
          <w:fldChar w:fldCharType="end"/>
        </w:r>
      </w:p>
    </w:sdtContent>
  </w:sdt>
  <w:p w14:paraId="153CA01E" w14:textId="77777777" w:rsidR="009C2610" w:rsidRDefault="009C26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4ED3A" w14:textId="77777777" w:rsidR="00AC5C94" w:rsidRDefault="00AC5C94" w:rsidP="00452158">
      <w:r>
        <w:separator/>
      </w:r>
    </w:p>
  </w:footnote>
  <w:footnote w:type="continuationSeparator" w:id="0">
    <w:p w14:paraId="4A086136" w14:textId="77777777" w:rsidR="00AC5C94" w:rsidRDefault="00AC5C94" w:rsidP="0045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F0DC" w14:textId="77777777" w:rsidR="00BD7A57" w:rsidRDefault="00BD7A57">
    <w:pPr>
      <w:pStyle w:val="Encabezado"/>
    </w:pPr>
  </w:p>
  <w:p w14:paraId="17C9232F" w14:textId="77777777" w:rsidR="009C2610" w:rsidRDefault="009C261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17665DC" wp14:editId="462E9ABD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FD0"/>
    <w:multiLevelType w:val="hybridMultilevel"/>
    <w:tmpl w:val="42A04BE6"/>
    <w:lvl w:ilvl="0" w:tplc="FB90906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3" w15:restartNumberingAfterBreak="0">
    <w:nsid w:val="1B49694B"/>
    <w:multiLevelType w:val="hybridMultilevel"/>
    <w:tmpl w:val="667E62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D2C47"/>
    <w:multiLevelType w:val="hybridMultilevel"/>
    <w:tmpl w:val="BAFCCD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36B45"/>
    <w:multiLevelType w:val="hybridMultilevel"/>
    <w:tmpl w:val="0E60EFA2"/>
    <w:lvl w:ilvl="0" w:tplc="0403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76D44E5"/>
    <w:multiLevelType w:val="hybridMultilevel"/>
    <w:tmpl w:val="B652F8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4761B"/>
    <w:multiLevelType w:val="hybridMultilevel"/>
    <w:tmpl w:val="7492757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E261B7"/>
    <w:multiLevelType w:val="hybridMultilevel"/>
    <w:tmpl w:val="F2E4D36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D4018"/>
    <w:multiLevelType w:val="hybridMultilevel"/>
    <w:tmpl w:val="CA7A3D80"/>
    <w:lvl w:ilvl="0" w:tplc="DB001DA6">
      <w:numFmt w:val="bullet"/>
      <w:lvlText w:val=""/>
      <w:lvlJc w:val="left"/>
      <w:pPr>
        <w:ind w:left="502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7B45568"/>
    <w:multiLevelType w:val="hybridMultilevel"/>
    <w:tmpl w:val="9AD6688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4392191"/>
    <w:multiLevelType w:val="hybridMultilevel"/>
    <w:tmpl w:val="F9DE73BE"/>
    <w:lvl w:ilvl="0" w:tplc="ED684FE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3E0777"/>
    <w:multiLevelType w:val="hybridMultilevel"/>
    <w:tmpl w:val="F46682F6"/>
    <w:lvl w:ilvl="0" w:tplc="A0F8D4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 w16cid:durableId="955411958">
    <w:abstractNumId w:val="2"/>
  </w:num>
  <w:num w:numId="2" w16cid:durableId="452358784">
    <w:abstractNumId w:val="8"/>
  </w:num>
  <w:num w:numId="3" w16cid:durableId="1583100592">
    <w:abstractNumId w:val="1"/>
  </w:num>
  <w:num w:numId="4" w16cid:durableId="371422421">
    <w:abstractNumId w:val="10"/>
  </w:num>
  <w:num w:numId="5" w16cid:durableId="562716453">
    <w:abstractNumId w:val="12"/>
  </w:num>
  <w:num w:numId="6" w16cid:durableId="618880043">
    <w:abstractNumId w:val="15"/>
  </w:num>
  <w:num w:numId="7" w16cid:durableId="1692611964">
    <w:abstractNumId w:val="3"/>
  </w:num>
  <w:num w:numId="8" w16cid:durableId="1001274720">
    <w:abstractNumId w:val="4"/>
  </w:num>
  <w:num w:numId="9" w16cid:durableId="1068914675">
    <w:abstractNumId w:val="6"/>
  </w:num>
  <w:num w:numId="10" w16cid:durableId="1034885255">
    <w:abstractNumId w:val="0"/>
  </w:num>
  <w:num w:numId="11" w16cid:durableId="1076780189">
    <w:abstractNumId w:val="11"/>
  </w:num>
  <w:num w:numId="12" w16cid:durableId="612172496">
    <w:abstractNumId w:val="13"/>
  </w:num>
  <w:num w:numId="13" w16cid:durableId="600261713">
    <w:abstractNumId w:val="5"/>
  </w:num>
  <w:num w:numId="14" w16cid:durableId="1434130747">
    <w:abstractNumId w:val="7"/>
  </w:num>
  <w:num w:numId="15" w16cid:durableId="1814907727">
    <w:abstractNumId w:val="14"/>
  </w:num>
  <w:num w:numId="16" w16cid:durableId="11704838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A51C5B"/>
    <w:rsid w:val="00012F62"/>
    <w:rsid w:val="000B1AA7"/>
    <w:rsid w:val="000C2752"/>
    <w:rsid w:val="000E7D87"/>
    <w:rsid w:val="000F4732"/>
    <w:rsid w:val="000F7AE1"/>
    <w:rsid w:val="001320CB"/>
    <w:rsid w:val="001472F7"/>
    <w:rsid w:val="00150F67"/>
    <w:rsid w:val="001643CA"/>
    <w:rsid w:val="00164C09"/>
    <w:rsid w:val="001802A2"/>
    <w:rsid w:val="001823C4"/>
    <w:rsid w:val="001878DA"/>
    <w:rsid w:val="001A7818"/>
    <w:rsid w:val="001B5F19"/>
    <w:rsid w:val="001F6C37"/>
    <w:rsid w:val="00221254"/>
    <w:rsid w:val="00257275"/>
    <w:rsid w:val="00261117"/>
    <w:rsid w:val="00293718"/>
    <w:rsid w:val="002C0268"/>
    <w:rsid w:val="002C591D"/>
    <w:rsid w:val="003442E6"/>
    <w:rsid w:val="00344E03"/>
    <w:rsid w:val="00360062"/>
    <w:rsid w:val="0039003E"/>
    <w:rsid w:val="0039004E"/>
    <w:rsid w:val="003B7ADF"/>
    <w:rsid w:val="003C690A"/>
    <w:rsid w:val="003D2719"/>
    <w:rsid w:val="00416138"/>
    <w:rsid w:val="00426FBB"/>
    <w:rsid w:val="0044291E"/>
    <w:rsid w:val="00452158"/>
    <w:rsid w:val="0049757D"/>
    <w:rsid w:val="004A1C2F"/>
    <w:rsid w:val="004A58DF"/>
    <w:rsid w:val="004B414E"/>
    <w:rsid w:val="004B6AF4"/>
    <w:rsid w:val="004C2492"/>
    <w:rsid w:val="004C5F68"/>
    <w:rsid w:val="004E3684"/>
    <w:rsid w:val="00501B09"/>
    <w:rsid w:val="00504A1B"/>
    <w:rsid w:val="00515EAD"/>
    <w:rsid w:val="00521B43"/>
    <w:rsid w:val="005555E8"/>
    <w:rsid w:val="00556204"/>
    <w:rsid w:val="0057198A"/>
    <w:rsid w:val="005806A0"/>
    <w:rsid w:val="00580A76"/>
    <w:rsid w:val="00590D24"/>
    <w:rsid w:val="005B0AEF"/>
    <w:rsid w:val="005D1E34"/>
    <w:rsid w:val="005E2661"/>
    <w:rsid w:val="005F2739"/>
    <w:rsid w:val="00630525"/>
    <w:rsid w:val="006574FB"/>
    <w:rsid w:val="00662BA9"/>
    <w:rsid w:val="00674BF8"/>
    <w:rsid w:val="00692BE9"/>
    <w:rsid w:val="006A13D0"/>
    <w:rsid w:val="006C5573"/>
    <w:rsid w:val="006E2E70"/>
    <w:rsid w:val="007224F0"/>
    <w:rsid w:val="00731248"/>
    <w:rsid w:val="007550B2"/>
    <w:rsid w:val="007942D0"/>
    <w:rsid w:val="007A3CCC"/>
    <w:rsid w:val="007B3549"/>
    <w:rsid w:val="007E323C"/>
    <w:rsid w:val="007E3F48"/>
    <w:rsid w:val="007F237E"/>
    <w:rsid w:val="007F68AB"/>
    <w:rsid w:val="00800E5E"/>
    <w:rsid w:val="00810FFC"/>
    <w:rsid w:val="00822A35"/>
    <w:rsid w:val="008274CE"/>
    <w:rsid w:val="00853488"/>
    <w:rsid w:val="00862FA1"/>
    <w:rsid w:val="0087733A"/>
    <w:rsid w:val="008C1B4B"/>
    <w:rsid w:val="008D37C9"/>
    <w:rsid w:val="00945450"/>
    <w:rsid w:val="009663FC"/>
    <w:rsid w:val="0097471B"/>
    <w:rsid w:val="0097552F"/>
    <w:rsid w:val="009B29F4"/>
    <w:rsid w:val="009B535C"/>
    <w:rsid w:val="009C0E87"/>
    <w:rsid w:val="009C2610"/>
    <w:rsid w:val="009C7E10"/>
    <w:rsid w:val="00A076FF"/>
    <w:rsid w:val="00A13EC0"/>
    <w:rsid w:val="00A270D7"/>
    <w:rsid w:val="00A320EC"/>
    <w:rsid w:val="00A45DF1"/>
    <w:rsid w:val="00A51C5B"/>
    <w:rsid w:val="00A67502"/>
    <w:rsid w:val="00AC4939"/>
    <w:rsid w:val="00AC5C94"/>
    <w:rsid w:val="00AF4DDE"/>
    <w:rsid w:val="00B039CB"/>
    <w:rsid w:val="00B04C23"/>
    <w:rsid w:val="00B202BA"/>
    <w:rsid w:val="00B37CC2"/>
    <w:rsid w:val="00B56CB8"/>
    <w:rsid w:val="00B74942"/>
    <w:rsid w:val="00BC231F"/>
    <w:rsid w:val="00BD7A57"/>
    <w:rsid w:val="00BE3C57"/>
    <w:rsid w:val="00BE647F"/>
    <w:rsid w:val="00C2323A"/>
    <w:rsid w:val="00C33451"/>
    <w:rsid w:val="00C3520A"/>
    <w:rsid w:val="00C4662E"/>
    <w:rsid w:val="00C949DC"/>
    <w:rsid w:val="00CB6E47"/>
    <w:rsid w:val="00CD0CE4"/>
    <w:rsid w:val="00CD4B18"/>
    <w:rsid w:val="00CE5629"/>
    <w:rsid w:val="00D007B1"/>
    <w:rsid w:val="00D07D8A"/>
    <w:rsid w:val="00D117F6"/>
    <w:rsid w:val="00D36420"/>
    <w:rsid w:val="00D44E93"/>
    <w:rsid w:val="00D45A33"/>
    <w:rsid w:val="00D47A44"/>
    <w:rsid w:val="00D60A38"/>
    <w:rsid w:val="00D712EC"/>
    <w:rsid w:val="00D84D6D"/>
    <w:rsid w:val="00D916D7"/>
    <w:rsid w:val="00DB3BAB"/>
    <w:rsid w:val="00DD46DC"/>
    <w:rsid w:val="00DE5B63"/>
    <w:rsid w:val="00DE6504"/>
    <w:rsid w:val="00E32FC7"/>
    <w:rsid w:val="00E506D6"/>
    <w:rsid w:val="00E5179E"/>
    <w:rsid w:val="00E7023F"/>
    <w:rsid w:val="00E91B48"/>
    <w:rsid w:val="00EB209B"/>
    <w:rsid w:val="00F01596"/>
    <w:rsid w:val="00F1391E"/>
    <w:rsid w:val="00F2128D"/>
    <w:rsid w:val="00F333A5"/>
    <w:rsid w:val="00F37717"/>
    <w:rsid w:val="00F54187"/>
    <w:rsid w:val="00FE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8BFD"/>
  <w14:defaultImageDpi w14:val="300"/>
  <w15:docId w15:val="{30E7DB05-F598-4B52-96E0-94227963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7B1"/>
    <w:rPr>
      <w:rFonts w:ascii="Roboto Light" w:hAnsi="Roboto Light"/>
      <w:sz w:val="19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aconcuadrcula">
    <w:name w:val="Table Grid"/>
    <w:basedOn w:val="Tablanormal"/>
    <w:uiPriority w:val="59"/>
    <w:rsid w:val="006305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D46DC"/>
    <w:pPr>
      <w:jc w:val="both"/>
    </w:pPr>
    <w:rPr>
      <w:rFonts w:ascii="Arial" w:eastAsia="Times New Roman" w:hAnsi="Arial" w:cs="Times New Roman"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D46DC"/>
    <w:rPr>
      <w:rFonts w:ascii="Arial" w:eastAsia="Times New Roman" w:hAnsi="Arial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556204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FE15C7"/>
    <w:rPr>
      <w:rFonts w:ascii="Roboto Light" w:hAnsi="Roboto Light"/>
      <w:sz w:val="19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29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291E"/>
    <w:rPr>
      <w:rFonts w:ascii="Roboto Light" w:hAnsi="Roboto Light"/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4429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dal\Desktop\2018_plantilla_com_20.dotx" TargetMode="External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Props1.xml><?xml version="1.0" encoding="utf-8"?>
<ds:datastoreItem xmlns:ds="http://schemas.openxmlformats.org/officeDocument/2006/customXml" ds:itemID="{95B3C9EC-DD54-4F5C-88B5-6B25E34496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07AA8A-7A56-463E-8A0D-504EC47E9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F2FF98-470D-47EC-87F0-22AA37F781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7496AF-E686-4F2D-A05D-81431C469CAB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2018_plantilla_com_20.dotx</Template>
  <TotalTime>6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Vidal Galceran</dc:creator>
  <cp:lastModifiedBy>Èlia Bigordà Rodó</cp:lastModifiedBy>
  <cp:revision>10</cp:revision>
  <dcterms:created xsi:type="dcterms:W3CDTF">2025-10-16T07:32:00Z</dcterms:created>
  <dcterms:modified xsi:type="dcterms:W3CDTF">2025-10-22T06:47:00Z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