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shd w:fill="auto" w:val="clear"/>
        </w:rPr>
      </w:pPr>
      <w:r>
        <w:rPr>
          <w:b/>
          <w:sz w:val="22"/>
          <w:shd w:fill="auto" w:val="clear"/>
        </w:rPr>
        <w:t xml:space="preserve">ANNEX – 1 MODEL DE PROPOSICIÓ – 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 de suport al muntatge i desmuntatge, servei de funció i els serveis de personal de sala i venda d’entrades dels espectacles programats per l’Ajuntament de Terrassa a través dels serveis de Promoció Cultural, Patrimoni Cultural, Innovació i Turisme, així com dels serveis de personal de sala i venda d’entrades per la Societat Municipal de Comunicació, manifesto que accepto íntegrament els plecs de clàusules administratives particulars (PCAP) i de prescripcions tècniques (PPT), i em comprometo a complir les obligacions especificades en aquests plecs, d’acord amb la següent oferta:</w:t>
      </w:r>
    </w:p>
    <w:p>
      <w:pPr>
        <w:pStyle w:val="Normal"/>
        <w:suppressAutoHyphens w:val="false"/>
        <w:jc w:val="both"/>
        <w:rPr>
          <w:i/>
          <w:i/>
          <w:kern w:val="2"/>
          <w:sz w:val="22"/>
          <w:shd w:fill="00FF00" w:val="clear"/>
        </w:rPr>
      </w:pPr>
      <w:r>
        <w:rPr>
          <w:i/>
          <w:kern w:val="2"/>
          <w:sz w:val="22"/>
          <w:shd w:fill="00FF00" w:val="clear"/>
        </w:rPr>
      </w:r>
    </w:p>
    <w:p>
      <w:pPr>
        <w:pStyle w:val="Normal"/>
        <w:jc w:val="both"/>
        <w:rPr/>
      </w:pPr>
      <w:r>
        <w:rPr/>
      </w:r>
    </w:p>
    <w:p>
      <w:pPr>
        <w:pStyle w:val="Normal"/>
        <w:jc w:val="both"/>
        <w:rPr/>
      </w:pPr>
      <w:r>
        <w:rPr/>
      </w:r>
    </w:p>
    <w:tbl>
      <w:tblPr>
        <w:tblW w:w="9355" w:type="dxa"/>
        <w:jc w:val="left"/>
        <w:tblInd w:w="0" w:type="dxa"/>
        <w:tblLayout w:type="fixed"/>
        <w:tblCellMar>
          <w:top w:w="108" w:type="dxa"/>
          <w:left w:w="108" w:type="dxa"/>
          <w:bottom w:w="108" w:type="dxa"/>
          <w:right w:w="108" w:type="dxa"/>
        </w:tblCellMar>
      </w:tblPr>
      <w:tblGrid>
        <w:gridCol w:w="1431"/>
        <w:gridCol w:w="7923"/>
      </w:tblGrid>
      <w:tr>
        <w:trPr/>
        <w:tc>
          <w:tcPr>
            <w:tcW w:w="1431"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pPr>
            <w:r>
              <w:rPr>
                <w:rFonts w:eastAsia="SimSun;宋体"/>
                <w:color w:val="000000"/>
                <w:sz w:val="22"/>
              </w:rPr>
              <w:t>15.1.1.</w:t>
            </w:r>
          </w:p>
        </w:tc>
        <w:tc>
          <w:tcPr>
            <w:tcW w:w="7923" w:type="dxa"/>
            <w:tcBorders>
              <w:left w:val="single" w:sz="4" w:space="0" w:color="FFFFFF"/>
              <w:right w:val="single" w:sz="4" w:space="0" w:color="FFFFFF"/>
            </w:tcBorders>
            <w:shd w:fill="D9D9D9" w:val="clear"/>
            <w:vAlign w:val="center"/>
          </w:tcPr>
          <w:p>
            <w:pPr>
              <w:pStyle w:val="Normal"/>
              <w:widowControl w:val="false"/>
              <w:spacing w:lineRule="auto" w:line="360"/>
              <w:rPr/>
            </w:pPr>
            <w:r>
              <w:rPr>
                <w:rFonts w:eastAsia="SimSun;宋体"/>
                <w:color w:val="000000"/>
                <w:sz w:val="22"/>
              </w:rPr>
              <w:t>Preu, fins a un màxim de 49 punts</w:t>
            </w:r>
          </w:p>
        </w:tc>
      </w:tr>
      <w:tr>
        <w:trPr/>
        <w:tc>
          <w:tcPr>
            <w:tcW w:w="935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2"/>
                <w:szCs w:val="22"/>
              </w:rPr>
            </w:pPr>
            <w:r>
              <w:rPr>
                <w:sz w:val="22"/>
                <w:szCs w:val="22"/>
              </w:rPr>
              <w:t>No s’acceptaran ofertes parcials, que no continguin tots els preus unitaris. Presentar una oferta de preu unitari superior al preu unitari màxim serà motiu d’exclusió del procediment d’adjudicació del contracte.</w:t>
            </w:r>
          </w:p>
        </w:tc>
      </w:tr>
    </w:tbl>
    <w:p>
      <w:pPr>
        <w:pStyle w:val="Normal"/>
        <w:jc w:val="both"/>
        <w:rPr/>
      </w:pPr>
      <w:r>
        <w:rPr/>
      </w:r>
    </w:p>
    <w:p>
      <w:pPr>
        <w:pStyle w:val="Normal"/>
        <w:jc w:val="both"/>
        <w:rPr/>
      </w:pPr>
      <w:r>
        <w:rPr/>
      </w:r>
    </w:p>
    <w:tbl>
      <w:tblPr>
        <w:tblW w:w="9244" w:type="dxa"/>
        <w:jc w:val="left"/>
        <w:tblInd w:w="42" w:type="dxa"/>
        <w:tblLayout w:type="fixed"/>
        <w:tblCellMar>
          <w:top w:w="102" w:type="dxa"/>
          <w:left w:w="102" w:type="dxa"/>
          <w:bottom w:w="102" w:type="dxa"/>
          <w:right w:w="102" w:type="dxa"/>
        </w:tblCellMar>
      </w:tblPr>
      <w:tblGrid>
        <w:gridCol w:w="4308"/>
        <w:gridCol w:w="1646"/>
        <w:gridCol w:w="1644"/>
        <w:gridCol w:w="1645"/>
      </w:tblGrid>
      <w:tr>
        <w:trPr>
          <w:trHeight w:val="293" w:hRule="atLeast"/>
        </w:trPr>
        <w:tc>
          <w:tcPr>
            <w:tcW w:w="4308" w:type="dxa"/>
            <w:tcBorders>
              <w:top w:val="single" w:sz="8" w:space="0" w:color="FFFFFF"/>
              <w:left w:val="single" w:sz="8" w:space="0" w:color="FFFFFF"/>
              <w:bottom w:val="single" w:sz="8" w:space="0" w:color="FFFFFF"/>
            </w:tcBorders>
            <w:shd w:fill="EEEEEE" w:val="clear"/>
            <w:vAlign w:val="center"/>
          </w:tcPr>
          <w:p>
            <w:pPr>
              <w:pStyle w:val="Normal"/>
              <w:widowControl w:val="false"/>
              <w:tabs>
                <w:tab w:val="clear" w:pos="720"/>
              </w:tabs>
              <w:jc w:val="center"/>
              <w:rPr>
                <w:sz w:val="22"/>
                <w:szCs w:val="22"/>
              </w:rPr>
            </w:pPr>
            <w:r>
              <w:rPr>
                <w:sz w:val="22"/>
                <w:szCs w:val="22"/>
              </w:rPr>
              <w:t>Perfil professional</w:t>
            </w:r>
          </w:p>
        </w:tc>
        <w:tc>
          <w:tcPr>
            <w:tcW w:w="1646" w:type="dxa"/>
            <w:tcBorders>
              <w:top w:val="single" w:sz="8" w:space="0" w:color="FFFFFF"/>
              <w:left w:val="single" w:sz="8" w:space="0" w:color="FFFFFF"/>
              <w:bottom w:val="single" w:sz="8" w:space="0" w:color="FFFFFF"/>
            </w:tcBorders>
            <w:shd w:fill="EEEEEE" w:val="clear"/>
            <w:vAlign w:val="center"/>
          </w:tcPr>
          <w:p>
            <w:pPr>
              <w:pStyle w:val="Normal"/>
              <w:widowControl w:val="false"/>
              <w:tabs>
                <w:tab w:val="clear" w:pos="720"/>
              </w:tabs>
              <w:jc w:val="center"/>
              <w:rPr>
                <w:sz w:val="22"/>
                <w:szCs w:val="22"/>
              </w:rPr>
            </w:pPr>
            <w:r>
              <w:rPr>
                <w:sz w:val="22"/>
                <w:szCs w:val="22"/>
              </w:rPr>
              <w:t>Unitats anuals estimades  (h)</w:t>
            </w:r>
          </w:p>
        </w:tc>
        <w:tc>
          <w:tcPr>
            <w:tcW w:w="1644" w:type="dxa"/>
            <w:tcBorders>
              <w:top w:val="single" w:sz="8" w:space="0" w:color="FFFFFF"/>
              <w:left w:val="single" w:sz="8" w:space="0" w:color="FFFFFF"/>
              <w:bottom w:val="single" w:sz="8" w:space="0" w:color="FFFFFF"/>
            </w:tcBorders>
            <w:shd w:fill="EEEEEE" w:val="clear"/>
            <w:vAlign w:val="center"/>
          </w:tcPr>
          <w:p>
            <w:pPr>
              <w:pStyle w:val="Normal"/>
              <w:widowControl w:val="false"/>
              <w:tabs>
                <w:tab w:val="clear" w:pos="720"/>
              </w:tabs>
              <w:jc w:val="center"/>
              <w:rPr>
                <w:sz w:val="22"/>
                <w:szCs w:val="22"/>
              </w:rPr>
            </w:pPr>
            <w:r>
              <w:rPr>
                <w:sz w:val="22"/>
                <w:szCs w:val="22"/>
              </w:rPr>
              <w:t>Preu hora màxim, exclòs l’IVA</w:t>
            </w:r>
          </w:p>
        </w:tc>
        <w:tc>
          <w:tcPr>
            <w:tcW w:w="1645" w:type="dxa"/>
            <w:tcBorders>
              <w:top w:val="single" w:sz="8" w:space="0" w:color="FFFFFF"/>
              <w:left w:val="single" w:sz="8" w:space="0" w:color="FFFFFF"/>
              <w:bottom w:val="single" w:sz="8" w:space="0" w:color="FFFFFF"/>
              <w:right w:val="single" w:sz="8" w:space="0" w:color="FFFFFF"/>
            </w:tcBorders>
            <w:shd w:fill="EEEEEE" w:val="clear"/>
            <w:vAlign w:val="center"/>
          </w:tcPr>
          <w:p>
            <w:pPr>
              <w:pStyle w:val="Normal"/>
              <w:widowControl w:val="false"/>
              <w:tabs>
                <w:tab w:val="clear" w:pos="720"/>
              </w:tabs>
              <w:jc w:val="center"/>
              <w:rPr>
                <w:sz w:val="22"/>
                <w:szCs w:val="22"/>
              </w:rPr>
            </w:pPr>
            <w:r>
              <w:rPr>
                <w:sz w:val="22"/>
                <w:szCs w:val="22"/>
              </w:rPr>
              <w:t xml:space="preserve">Preu </w:t>
            </w:r>
            <w:r>
              <w:rPr>
                <w:rFonts w:eastAsia="SimSun;宋体" w:cs="Arial"/>
                <w:color w:val="00000A"/>
                <w:kern w:val="0"/>
                <w:sz w:val="22"/>
                <w:szCs w:val="22"/>
                <w:lang w:val="ca-ES" w:eastAsia="zh-CN" w:bidi="ar-SA"/>
              </w:rPr>
              <w:t>ofert</w:t>
            </w:r>
            <w:r>
              <w:rPr>
                <w:sz w:val="22"/>
                <w:szCs w:val="22"/>
              </w:rPr>
              <w:t xml:space="preserve">  exclòs l’IVA</w:t>
            </w:r>
          </w:p>
        </w:tc>
      </w:tr>
      <w:tr>
        <w:trPr>
          <w:trHeight w:val="293" w:hRule="atLeast"/>
        </w:trPr>
        <w:tc>
          <w:tcPr>
            <w:tcW w:w="4308" w:type="dxa"/>
            <w:tcBorders>
              <w:left w:val="single" w:sz="8" w:space="0" w:color="FFFFFF"/>
              <w:bottom w:val="single" w:sz="8" w:space="0" w:color="FFFFFF"/>
            </w:tcBorders>
            <w:shd w:fill="EEEEEE" w:val="clear"/>
            <w:vAlign w:val="bottom"/>
          </w:tcPr>
          <w:p>
            <w:pPr>
              <w:pStyle w:val="Contingutdelataula"/>
              <w:widowControl w:val="false"/>
              <w:jc w:val="left"/>
              <w:rPr>
                <w:color w:val="00000A"/>
                <w:sz w:val="22"/>
                <w:szCs w:val="22"/>
              </w:rPr>
            </w:pPr>
            <w:r>
              <w:rPr>
                <w:color w:val="00000A"/>
                <w:sz w:val="22"/>
                <w:szCs w:val="22"/>
              </w:rPr>
              <w:t>PAX</w:t>
            </w:r>
          </w:p>
        </w:tc>
        <w:tc>
          <w:tcPr>
            <w:tcW w:w="1646"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877</w:t>
            </w:r>
          </w:p>
        </w:tc>
        <w:tc>
          <w:tcPr>
            <w:tcW w:w="1644"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18,50 €</w:t>
            </w:r>
          </w:p>
        </w:tc>
        <w:tc>
          <w:tcPr>
            <w:tcW w:w="1645" w:type="dxa"/>
            <w:tcBorders>
              <w:top w:val="single" w:sz="8" w:space="0" w:color="DDDDDD"/>
              <w:left w:val="single" w:sz="8" w:space="0" w:color="DDDDDD"/>
              <w:bottom w:val="single" w:sz="8" w:space="0" w:color="DDDDDD"/>
              <w:right w:val="single" w:sz="8" w:space="0" w:color="DDDDDD"/>
            </w:tcBorders>
            <w:shd w:fill="FFFFFF" w:val="clear"/>
            <w:vAlign w:val="bottom"/>
          </w:tcPr>
          <w:p>
            <w:pPr>
              <w:pStyle w:val="Contingutdelataula"/>
              <w:widowControl w:val="false"/>
              <w:jc w:val="right"/>
              <w:rPr>
                <w:sz w:val="22"/>
                <w:szCs w:val="22"/>
              </w:rPr>
            </w:pPr>
            <w:r>
              <w:rPr>
                <w:sz w:val="22"/>
                <w:szCs w:val="22"/>
              </w:rPr>
              <w:t>.... €</w:t>
            </w:r>
          </w:p>
        </w:tc>
      </w:tr>
      <w:tr>
        <w:trPr>
          <w:trHeight w:val="293" w:hRule="atLeast"/>
        </w:trPr>
        <w:tc>
          <w:tcPr>
            <w:tcW w:w="4308" w:type="dxa"/>
            <w:tcBorders>
              <w:left w:val="single" w:sz="8" w:space="0" w:color="FFFFFF"/>
              <w:bottom w:val="single" w:sz="8" w:space="0" w:color="FFFFFF"/>
            </w:tcBorders>
            <w:shd w:fill="EEEEEE" w:val="clear"/>
            <w:vAlign w:val="bottom"/>
          </w:tcPr>
          <w:p>
            <w:pPr>
              <w:pStyle w:val="Contingutdelataula"/>
              <w:widowControl w:val="false"/>
              <w:jc w:val="left"/>
              <w:rPr>
                <w:color w:val="00000A"/>
                <w:sz w:val="22"/>
                <w:szCs w:val="22"/>
              </w:rPr>
            </w:pPr>
            <w:r>
              <w:rPr>
                <w:color w:val="00000A"/>
                <w:sz w:val="22"/>
                <w:szCs w:val="22"/>
              </w:rPr>
              <w:t>Acomodació</w:t>
            </w:r>
          </w:p>
        </w:tc>
        <w:tc>
          <w:tcPr>
            <w:tcW w:w="1646"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2.364</w:t>
            </w:r>
          </w:p>
        </w:tc>
        <w:tc>
          <w:tcPr>
            <w:tcW w:w="1644"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21,00 €</w:t>
            </w:r>
          </w:p>
        </w:tc>
        <w:tc>
          <w:tcPr>
            <w:tcW w:w="1645" w:type="dxa"/>
            <w:tcBorders>
              <w:left w:val="single" w:sz="8" w:space="0" w:color="DDDDDD"/>
              <w:bottom w:val="single" w:sz="8" w:space="0" w:color="DDDDDD"/>
              <w:right w:val="single" w:sz="8" w:space="0" w:color="DDDDDD"/>
            </w:tcBorders>
            <w:shd w:fill="FFFFFF" w:val="clear"/>
            <w:vAlign w:val="bottom"/>
          </w:tcPr>
          <w:p>
            <w:pPr>
              <w:pStyle w:val="Contingutdelataula"/>
              <w:widowControl w:val="false"/>
              <w:jc w:val="right"/>
              <w:rPr>
                <w:sz w:val="22"/>
                <w:szCs w:val="22"/>
              </w:rPr>
            </w:pPr>
            <w:r>
              <w:rPr>
                <w:sz w:val="22"/>
                <w:szCs w:val="22"/>
              </w:rPr>
              <w:t>.... €</w:t>
            </w:r>
          </w:p>
        </w:tc>
      </w:tr>
      <w:tr>
        <w:trPr>
          <w:trHeight w:val="293" w:hRule="atLeast"/>
        </w:trPr>
        <w:tc>
          <w:tcPr>
            <w:tcW w:w="4308" w:type="dxa"/>
            <w:tcBorders>
              <w:left w:val="single" w:sz="8" w:space="0" w:color="FFFFFF"/>
              <w:bottom w:val="single" w:sz="8" w:space="0" w:color="FFFFFF"/>
            </w:tcBorders>
            <w:shd w:fill="EEEEEE" w:val="clear"/>
            <w:vAlign w:val="bottom"/>
          </w:tcPr>
          <w:p>
            <w:pPr>
              <w:pStyle w:val="Contingutdelataula"/>
              <w:widowControl w:val="false"/>
              <w:jc w:val="left"/>
              <w:rPr>
                <w:color w:val="00000A"/>
                <w:sz w:val="22"/>
                <w:szCs w:val="22"/>
              </w:rPr>
            </w:pPr>
            <w:r>
              <w:rPr>
                <w:color w:val="00000A"/>
                <w:sz w:val="22"/>
                <w:szCs w:val="22"/>
              </w:rPr>
              <w:t>Cap de sala</w:t>
            </w:r>
          </w:p>
        </w:tc>
        <w:tc>
          <w:tcPr>
            <w:tcW w:w="1646"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679</w:t>
            </w:r>
          </w:p>
        </w:tc>
        <w:tc>
          <w:tcPr>
            <w:tcW w:w="1644"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24,70 €</w:t>
            </w:r>
          </w:p>
        </w:tc>
        <w:tc>
          <w:tcPr>
            <w:tcW w:w="1645" w:type="dxa"/>
            <w:tcBorders>
              <w:left w:val="single" w:sz="8" w:space="0" w:color="DDDDDD"/>
              <w:bottom w:val="single" w:sz="8" w:space="0" w:color="DDDDDD"/>
              <w:right w:val="single" w:sz="8" w:space="0" w:color="DDDDDD"/>
            </w:tcBorders>
            <w:shd w:fill="FFFFFF" w:val="clear"/>
            <w:vAlign w:val="bottom"/>
          </w:tcPr>
          <w:p>
            <w:pPr>
              <w:pStyle w:val="Contingutdelataula"/>
              <w:widowControl w:val="false"/>
              <w:jc w:val="right"/>
              <w:rPr>
                <w:sz w:val="22"/>
                <w:szCs w:val="22"/>
              </w:rPr>
            </w:pPr>
            <w:r>
              <w:rPr>
                <w:sz w:val="22"/>
                <w:szCs w:val="22"/>
              </w:rPr>
              <w:t>.... €</w:t>
            </w:r>
          </w:p>
        </w:tc>
      </w:tr>
      <w:tr>
        <w:trPr>
          <w:trHeight w:val="293" w:hRule="atLeast"/>
        </w:trPr>
        <w:tc>
          <w:tcPr>
            <w:tcW w:w="4308" w:type="dxa"/>
            <w:tcBorders>
              <w:left w:val="single" w:sz="8" w:space="0" w:color="FFFFFF"/>
              <w:bottom w:val="single" w:sz="8" w:space="0" w:color="FFFFFF"/>
            </w:tcBorders>
            <w:shd w:fill="EEEEEE" w:val="clear"/>
            <w:vAlign w:val="bottom"/>
          </w:tcPr>
          <w:p>
            <w:pPr>
              <w:pStyle w:val="Contingutdelataula"/>
              <w:widowControl w:val="false"/>
              <w:jc w:val="left"/>
              <w:rPr>
                <w:color w:val="00000A"/>
                <w:sz w:val="22"/>
                <w:szCs w:val="22"/>
              </w:rPr>
            </w:pPr>
            <w:r>
              <w:rPr>
                <w:color w:val="00000A"/>
                <w:sz w:val="22"/>
                <w:szCs w:val="22"/>
              </w:rPr>
              <w:t>Regidoria</w:t>
            </w:r>
          </w:p>
        </w:tc>
        <w:tc>
          <w:tcPr>
            <w:tcW w:w="1646"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954</w:t>
            </w:r>
          </w:p>
        </w:tc>
        <w:tc>
          <w:tcPr>
            <w:tcW w:w="1644"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24,70 €</w:t>
            </w:r>
          </w:p>
        </w:tc>
        <w:tc>
          <w:tcPr>
            <w:tcW w:w="1645" w:type="dxa"/>
            <w:tcBorders>
              <w:left w:val="single" w:sz="8" w:space="0" w:color="DDDDDD"/>
              <w:bottom w:val="single" w:sz="8" w:space="0" w:color="DDDDDD"/>
              <w:right w:val="single" w:sz="8" w:space="0" w:color="DDDDDD"/>
            </w:tcBorders>
            <w:shd w:fill="FFFFFF" w:val="clear"/>
            <w:vAlign w:val="bottom"/>
          </w:tcPr>
          <w:p>
            <w:pPr>
              <w:pStyle w:val="Contingutdelataula"/>
              <w:widowControl w:val="false"/>
              <w:jc w:val="right"/>
              <w:rPr>
                <w:sz w:val="22"/>
                <w:szCs w:val="22"/>
              </w:rPr>
            </w:pPr>
            <w:r>
              <w:rPr>
                <w:sz w:val="22"/>
                <w:szCs w:val="22"/>
              </w:rPr>
              <w:t>.... €</w:t>
            </w:r>
          </w:p>
        </w:tc>
      </w:tr>
      <w:tr>
        <w:trPr>
          <w:trHeight w:val="293" w:hRule="atLeast"/>
        </w:trPr>
        <w:tc>
          <w:tcPr>
            <w:tcW w:w="4308" w:type="dxa"/>
            <w:tcBorders>
              <w:left w:val="single" w:sz="8" w:space="0" w:color="FFFFFF"/>
              <w:bottom w:val="single" w:sz="8" w:space="0" w:color="FFFFFF"/>
            </w:tcBorders>
            <w:shd w:fill="EEEEEE" w:val="clear"/>
            <w:vAlign w:val="bottom"/>
          </w:tcPr>
          <w:p>
            <w:pPr>
              <w:pStyle w:val="Contingutdelataula"/>
              <w:widowControl w:val="false"/>
              <w:jc w:val="left"/>
              <w:rPr>
                <w:color w:val="00000A"/>
                <w:sz w:val="22"/>
                <w:szCs w:val="22"/>
              </w:rPr>
            </w:pPr>
            <w:r>
              <w:rPr>
                <w:color w:val="00000A"/>
                <w:sz w:val="22"/>
                <w:szCs w:val="22"/>
              </w:rPr>
              <w:t>Taquilla</w:t>
            </w:r>
          </w:p>
        </w:tc>
        <w:tc>
          <w:tcPr>
            <w:tcW w:w="1646"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480</w:t>
            </w:r>
          </w:p>
        </w:tc>
        <w:tc>
          <w:tcPr>
            <w:tcW w:w="1644"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24,70 €</w:t>
            </w:r>
          </w:p>
        </w:tc>
        <w:tc>
          <w:tcPr>
            <w:tcW w:w="1645" w:type="dxa"/>
            <w:tcBorders>
              <w:left w:val="single" w:sz="8" w:space="0" w:color="DDDDDD"/>
              <w:bottom w:val="single" w:sz="8" w:space="0" w:color="DDDDDD"/>
              <w:right w:val="single" w:sz="8" w:space="0" w:color="DDDDDD"/>
            </w:tcBorders>
            <w:shd w:fill="FFFFFF" w:val="clear"/>
            <w:vAlign w:val="bottom"/>
          </w:tcPr>
          <w:p>
            <w:pPr>
              <w:pStyle w:val="Contingutdelataula"/>
              <w:widowControl w:val="false"/>
              <w:jc w:val="right"/>
              <w:rPr>
                <w:sz w:val="22"/>
                <w:szCs w:val="22"/>
              </w:rPr>
            </w:pPr>
            <w:r>
              <w:rPr>
                <w:sz w:val="22"/>
                <w:szCs w:val="22"/>
              </w:rPr>
              <w:t>.... €</w:t>
            </w:r>
          </w:p>
        </w:tc>
      </w:tr>
      <w:tr>
        <w:trPr>
          <w:trHeight w:val="293" w:hRule="atLeast"/>
        </w:trPr>
        <w:tc>
          <w:tcPr>
            <w:tcW w:w="4308" w:type="dxa"/>
            <w:tcBorders>
              <w:left w:val="single" w:sz="8" w:space="0" w:color="FFFFFF"/>
              <w:bottom w:val="single" w:sz="8" w:space="0" w:color="FFFFFF"/>
            </w:tcBorders>
            <w:shd w:fill="EEEEEE" w:val="clear"/>
            <w:vAlign w:val="bottom"/>
          </w:tcPr>
          <w:p>
            <w:pPr>
              <w:pStyle w:val="Contingutdelataula"/>
              <w:widowControl w:val="false"/>
              <w:jc w:val="left"/>
              <w:rPr>
                <w:color w:val="00000A"/>
                <w:sz w:val="22"/>
                <w:szCs w:val="22"/>
              </w:rPr>
            </w:pPr>
            <w:r>
              <w:rPr>
                <w:color w:val="00000A"/>
                <w:sz w:val="22"/>
                <w:szCs w:val="22"/>
              </w:rPr>
              <w:t>Personal tècnic</w:t>
            </w:r>
          </w:p>
        </w:tc>
        <w:tc>
          <w:tcPr>
            <w:tcW w:w="1646"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3.656</w:t>
            </w:r>
          </w:p>
        </w:tc>
        <w:tc>
          <w:tcPr>
            <w:tcW w:w="1644" w:type="dxa"/>
            <w:tcBorders>
              <w:left w:val="single" w:sz="8" w:space="0" w:color="FFFFFF"/>
              <w:bottom w:val="single" w:sz="8" w:space="0" w:color="FFFFFF"/>
            </w:tcBorders>
            <w:shd w:fill="EEEEEE" w:val="clear"/>
            <w:vAlign w:val="bottom"/>
          </w:tcPr>
          <w:p>
            <w:pPr>
              <w:pStyle w:val="Contingutdelataula"/>
              <w:widowControl w:val="false"/>
              <w:jc w:val="center"/>
              <w:rPr>
                <w:color w:val="00000A"/>
                <w:sz w:val="22"/>
                <w:szCs w:val="22"/>
              </w:rPr>
            </w:pPr>
            <w:r>
              <w:rPr>
                <w:color w:val="00000A"/>
                <w:sz w:val="22"/>
                <w:szCs w:val="22"/>
              </w:rPr>
              <w:t>32,10 €</w:t>
            </w:r>
          </w:p>
        </w:tc>
        <w:tc>
          <w:tcPr>
            <w:tcW w:w="1645" w:type="dxa"/>
            <w:tcBorders>
              <w:left w:val="single" w:sz="8" w:space="0" w:color="DDDDDD"/>
              <w:bottom w:val="single" w:sz="8" w:space="0" w:color="DDDDDD"/>
              <w:right w:val="single" w:sz="8" w:space="0" w:color="DDDDDD"/>
            </w:tcBorders>
            <w:shd w:fill="FFFFFF" w:val="clear"/>
            <w:vAlign w:val="bottom"/>
          </w:tcPr>
          <w:p>
            <w:pPr>
              <w:pStyle w:val="Contingutdelataula"/>
              <w:widowControl w:val="false"/>
              <w:jc w:val="right"/>
              <w:rPr>
                <w:sz w:val="22"/>
                <w:szCs w:val="22"/>
              </w:rPr>
            </w:pPr>
            <w:r>
              <w:rPr>
                <w:sz w:val="22"/>
                <w:szCs w:val="22"/>
              </w:rPr>
              <w:t>.... €</w:t>
            </w:r>
          </w:p>
        </w:tc>
      </w:tr>
    </w:tbl>
    <w:p>
      <w:pPr>
        <w:pStyle w:val="Normal"/>
        <w:jc w:val="both"/>
        <w:rPr>
          <w:sz w:val="22"/>
          <w:szCs w:val="22"/>
        </w:rPr>
      </w:pPr>
      <w:r>
        <w:rPr>
          <w:sz w:val="22"/>
          <w:szCs w:val="22"/>
        </w:rPr>
      </w:r>
    </w:p>
    <w:tbl>
      <w:tblPr>
        <w:tblW w:w="9300" w:type="dxa"/>
        <w:jc w:val="left"/>
        <w:tblInd w:w="0" w:type="dxa"/>
        <w:tblLayout w:type="fixed"/>
        <w:tblCellMar>
          <w:top w:w="108" w:type="dxa"/>
          <w:left w:w="108" w:type="dxa"/>
          <w:bottom w:w="108" w:type="dxa"/>
          <w:right w:w="108" w:type="dxa"/>
        </w:tblCellMar>
      </w:tblPr>
      <w:tblGrid>
        <w:gridCol w:w="1431"/>
        <w:gridCol w:w="3723"/>
        <w:gridCol w:w="4145"/>
      </w:tblGrid>
      <w:tr>
        <w:trPr/>
        <w:tc>
          <w:tcPr>
            <w:tcW w:w="1431"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pPr>
            <w:r>
              <w:rPr>
                <w:rFonts w:eastAsia="SimSun"/>
                <w:color w:val="000000"/>
                <w:sz w:val="22"/>
              </w:rPr>
              <w:t>15.1.2</w:t>
            </w:r>
          </w:p>
        </w:tc>
        <w:tc>
          <w:tcPr>
            <w:tcW w:w="786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color w:val="000000"/>
                <w:sz w:val="22"/>
              </w:rPr>
            </w:pPr>
            <w:r>
              <w:rPr>
                <w:rFonts w:eastAsia="SimSun"/>
                <w:color w:val="000000"/>
                <w:sz w:val="22"/>
              </w:rPr>
              <w:t>Personal addicional, fins a un màxim de 21 punts</w:t>
            </w:r>
          </w:p>
        </w:tc>
      </w:tr>
      <w:tr>
        <w:trPr/>
        <w:tc>
          <w:tcPr>
            <w:tcW w:w="929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b w:val="false"/>
                <w:b w:val="false"/>
                <w:bCs w:val="false"/>
              </w:rPr>
            </w:pPr>
            <w:r>
              <w:rPr>
                <w:b w:val="false"/>
                <w:bCs w:val="false"/>
              </w:rPr>
              <w:t>D’acord amb el punt 3.4 del PPT l’empresa adjudicatària ha d’adscriure a l’execució del contracte un mínim de 41 persones.</w:t>
            </w:r>
          </w:p>
          <w:p>
            <w:pPr>
              <w:pStyle w:val="Normal"/>
              <w:widowControl w:val="false"/>
              <w:jc w:val="both"/>
              <w:rPr>
                <w:b w:val="false"/>
                <w:b w:val="false"/>
                <w:bCs w:val="false"/>
              </w:rPr>
            </w:pPr>
            <w:r>
              <w:rPr>
                <w:b w:val="false"/>
                <w:bCs w:val="false"/>
              </w:rPr>
            </w:r>
          </w:p>
          <w:p>
            <w:pPr>
              <w:pStyle w:val="Normal"/>
              <w:widowControl w:val="false"/>
              <w:jc w:val="both"/>
              <w:rPr>
                <w:b w:val="false"/>
                <w:b w:val="false"/>
                <w:bCs w:val="false"/>
              </w:rPr>
            </w:pPr>
            <w:r>
              <w:rPr>
                <w:b w:val="false"/>
                <w:bCs w:val="false"/>
              </w:rPr>
              <w:t>Es valorarà que les empreses licitadores ofereixin persones addicionals destinades a l’execució del contracte superior al mínim exigit en el PPT per garantir la cobertura del servei.</w:t>
            </w:r>
          </w:p>
          <w:p>
            <w:pPr>
              <w:pStyle w:val="Normal"/>
              <w:widowControl w:val="false"/>
              <w:jc w:val="both"/>
              <w:rPr>
                <w:b w:val="false"/>
                <w:b w:val="false"/>
                <w:bCs w:val="false"/>
              </w:rPr>
            </w:pPr>
            <w:r>
              <w:rPr>
                <w:b w:val="false"/>
                <w:bCs w:val="false"/>
              </w:rPr>
            </w:r>
          </w:p>
          <w:p>
            <w:pPr>
              <w:pStyle w:val="Normal"/>
              <w:widowControl w:val="false"/>
              <w:jc w:val="both"/>
              <w:rPr>
                <w:b w:val="false"/>
                <w:b w:val="false"/>
                <w:bCs w:val="false"/>
              </w:rPr>
            </w:pPr>
            <w:r>
              <w:rPr>
                <w:b w:val="false"/>
                <w:bCs w:val="false"/>
              </w:rPr>
              <w:t>El nombre màxim de persones admissibles a efectes de valoració serà de 15 persones. Es podrà adscriure la mateixa persona a diferents perfils com es detalla en el PPT.</w:t>
            </w:r>
          </w:p>
        </w:tc>
      </w:tr>
      <w:tr>
        <w:trPr/>
        <w:tc>
          <w:tcPr>
            <w:tcW w:w="5154"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napToGrid w:val="false"/>
              <w:spacing w:before="60" w:after="60"/>
              <w:jc w:val="center"/>
              <w:rPr>
                <w:b/>
                <w:b/>
              </w:rPr>
            </w:pPr>
            <w:r>
              <w:rPr>
                <w:b/>
              </w:rPr>
            </w:r>
          </w:p>
        </w:tc>
        <w:tc>
          <w:tcPr>
            <w:tcW w:w="4145"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pPr>
            <w:r>
              <w:rPr>
                <w:b/>
                <w:sz w:val="22"/>
                <w:szCs w:val="22"/>
                <w:lang w:eastAsia="es-ES"/>
              </w:rPr>
              <w:br/>
            </w:r>
            <w:r>
              <w:rPr>
                <w:sz w:val="22"/>
                <w:szCs w:val="22"/>
                <w:lang w:eastAsia="es-ES"/>
              </w:rPr>
              <w:t>( indicar el nombre de persones addiconals ofertes )</w:t>
            </w:r>
          </w:p>
        </w:tc>
      </w:tr>
      <w:tr>
        <w:trPr>
          <w:trHeight w:val="534" w:hRule="atLeast"/>
        </w:trPr>
        <w:tc>
          <w:tcPr>
            <w:tcW w:w="5154"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pPr>
            <w:r>
              <w:rPr>
                <w:b/>
                <w:sz w:val="22"/>
                <w:szCs w:val="22"/>
                <w:lang w:eastAsia="es-ES"/>
              </w:rPr>
              <w:t>OFEREIXO</w:t>
            </w:r>
          </w:p>
          <w:p>
            <w:pPr>
              <w:pStyle w:val="Normal"/>
              <w:widowControl w:val="false"/>
              <w:spacing w:before="60" w:after="60"/>
              <w:jc w:val="both"/>
              <w:rPr>
                <w:sz w:val="22"/>
                <w:szCs w:val="22"/>
                <w:lang w:eastAsia="es-ES"/>
              </w:rPr>
            </w:pPr>
            <w:r>
              <w:rPr>
                <w:sz w:val="22"/>
                <w:szCs w:val="22"/>
                <w:lang w:eastAsia="es-ES"/>
              </w:rPr>
              <w:t>Persones addicional destinat a l’execució del contracte superior al mínim exigit en el PPT per garantir la cobertura del servei.</w:t>
            </w:r>
          </w:p>
        </w:tc>
        <w:tc>
          <w:tcPr>
            <w:tcW w:w="4145"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rPr>
            </w:pPr>
            <w:r>
              <w:rPr>
                <w:color w:val="000000"/>
                <w:sz w:val="22"/>
              </w:rPr>
              <w:t>... persones addicionals</w:t>
            </w:r>
          </w:p>
        </w:tc>
      </w:tr>
    </w:tbl>
    <w:p>
      <w:pPr>
        <w:pStyle w:val="Normal"/>
        <w:widowControl w:val="false"/>
        <w:spacing w:lineRule="auto" w:line="360"/>
        <w:jc w:val="both"/>
        <w:rPr>
          <w:sz w:val="22"/>
          <w:szCs w:val="22"/>
        </w:rPr>
      </w:pPr>
      <w:r>
        <w:rPr>
          <w:sz w:val="22"/>
          <w:szCs w:val="22"/>
        </w:rPr>
      </w:r>
    </w:p>
    <w:tbl>
      <w:tblPr>
        <w:tblW w:w="9300" w:type="dxa"/>
        <w:jc w:val="left"/>
        <w:tblInd w:w="0" w:type="dxa"/>
        <w:tblLayout w:type="fixed"/>
        <w:tblCellMar>
          <w:top w:w="108" w:type="dxa"/>
          <w:left w:w="108" w:type="dxa"/>
          <w:bottom w:w="108" w:type="dxa"/>
          <w:right w:w="108" w:type="dxa"/>
        </w:tblCellMar>
      </w:tblPr>
      <w:tblGrid>
        <w:gridCol w:w="1431"/>
        <w:gridCol w:w="3723"/>
        <w:gridCol w:w="4145"/>
      </w:tblGrid>
      <w:tr>
        <w:trPr/>
        <w:tc>
          <w:tcPr>
            <w:tcW w:w="1431"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pPr>
            <w:r>
              <w:rPr>
                <w:rFonts w:eastAsia="SimSun"/>
                <w:color w:val="000000"/>
                <w:sz w:val="22"/>
              </w:rPr>
              <w:t>15.1.3</w:t>
            </w:r>
          </w:p>
        </w:tc>
        <w:tc>
          <w:tcPr>
            <w:tcW w:w="786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color w:val="000000"/>
                <w:sz w:val="22"/>
              </w:rPr>
            </w:pPr>
            <w:r>
              <w:rPr>
                <w:rFonts w:eastAsia="SimSun"/>
                <w:color w:val="000000"/>
                <w:sz w:val="22"/>
              </w:rPr>
              <w:t>Temps de resposta garantit per incidències o serveis sobrevinguts, fins a un màxim de 15 punts</w:t>
            </w:r>
          </w:p>
        </w:tc>
      </w:tr>
      <w:tr>
        <w:trPr/>
        <w:tc>
          <w:tcPr>
            <w:tcW w:w="929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b w:val="false"/>
                <w:b w:val="false"/>
                <w:bCs w:val="false"/>
              </w:rPr>
            </w:pPr>
            <w:r>
              <w:rPr>
                <w:b w:val="false"/>
                <w:bCs w:val="false"/>
              </w:rPr>
              <w:t>Es valorarà el menor temps de resposta garantit per les empreses licitadores per atendre incidències i/o cobrir serveis extraordinaris.</w:t>
            </w:r>
          </w:p>
          <w:p>
            <w:pPr>
              <w:pStyle w:val="Normal"/>
              <w:widowControl w:val="false"/>
              <w:jc w:val="both"/>
              <w:rPr>
                <w:b w:val="false"/>
                <w:b w:val="false"/>
                <w:bCs w:val="false"/>
              </w:rPr>
            </w:pPr>
            <w:r>
              <w:rPr>
                <w:b w:val="false"/>
                <w:bCs w:val="false"/>
              </w:rPr>
            </w:r>
          </w:p>
          <w:p>
            <w:pPr>
              <w:pStyle w:val="Normal"/>
              <w:widowControl w:val="false"/>
              <w:jc w:val="both"/>
              <w:rPr>
                <w:b w:val="false"/>
                <w:b w:val="false"/>
                <w:bCs w:val="false"/>
              </w:rPr>
            </w:pPr>
            <w:r>
              <w:rPr>
                <w:b w:val="false"/>
                <w:bCs w:val="false"/>
              </w:rPr>
              <w:t>El temps màxim admissible a efectes de valoració és de 24 hores.</w:t>
            </w:r>
          </w:p>
          <w:p>
            <w:pPr>
              <w:pStyle w:val="Normal"/>
              <w:widowControl w:val="false"/>
              <w:jc w:val="both"/>
              <w:rPr>
                <w:b w:val="false"/>
                <w:b w:val="false"/>
                <w:bCs w:val="false"/>
              </w:rPr>
            </w:pPr>
            <w:r>
              <w:rPr>
                <w:b w:val="false"/>
                <w:bCs w:val="false"/>
              </w:rPr>
              <w:t>El temps  mínim possible a efectes de valoració seran 2 hores.</w:t>
            </w:r>
          </w:p>
          <w:p>
            <w:pPr>
              <w:pStyle w:val="Normal"/>
              <w:widowControl w:val="false"/>
              <w:jc w:val="both"/>
              <w:rPr>
                <w:b w:val="false"/>
                <w:b w:val="false"/>
                <w:bCs w:val="false"/>
              </w:rPr>
            </w:pPr>
            <w:r>
              <w:rPr>
                <w:b w:val="false"/>
                <w:bCs w:val="false"/>
              </w:rPr>
              <w:t>Si el temps proposat supera el màxim admissible no es puntuarà aquest criteri. Si és inferior al mínim, es considerarà el mínim per al càlcul.</w:t>
            </w:r>
          </w:p>
        </w:tc>
      </w:tr>
      <w:tr>
        <w:trPr/>
        <w:tc>
          <w:tcPr>
            <w:tcW w:w="5154"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napToGrid w:val="false"/>
              <w:spacing w:before="60" w:after="60"/>
              <w:jc w:val="center"/>
              <w:rPr>
                <w:b/>
                <w:b/>
              </w:rPr>
            </w:pPr>
            <w:r>
              <w:rPr>
                <w:b/>
              </w:rPr>
            </w:r>
          </w:p>
        </w:tc>
        <w:tc>
          <w:tcPr>
            <w:tcW w:w="4145"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pPr>
            <w:r>
              <w:rPr>
                <w:b/>
                <w:sz w:val="22"/>
                <w:szCs w:val="22"/>
                <w:lang w:eastAsia="es-ES"/>
              </w:rPr>
              <w:br/>
            </w:r>
            <w:r>
              <w:rPr>
                <w:sz w:val="22"/>
                <w:szCs w:val="22"/>
                <w:lang w:eastAsia="es-ES"/>
              </w:rPr>
              <w:t xml:space="preserve">(indicar el </w:t>
            </w:r>
            <w:r>
              <w:rPr>
                <w:rFonts w:eastAsia="SimSun;宋体" w:cs="Arial"/>
                <w:color w:val="00000A"/>
                <w:kern w:val="0"/>
                <w:sz w:val="22"/>
                <w:szCs w:val="22"/>
                <w:lang w:val="ca-ES" w:eastAsia="es-ES" w:bidi="ar-SA"/>
              </w:rPr>
              <w:t>temps de respostes</w:t>
            </w:r>
          </w:p>
          <w:p>
            <w:pPr>
              <w:pStyle w:val="Normal"/>
              <w:widowControl w:val="false"/>
              <w:spacing w:before="60" w:after="60"/>
              <w:jc w:val="center"/>
              <w:rPr/>
            </w:pPr>
            <w:r>
              <w:rPr>
                <w:rFonts w:eastAsia="SimSun;宋体" w:cs="Arial"/>
                <w:color w:val="00000A"/>
                <w:kern w:val="0"/>
                <w:sz w:val="22"/>
                <w:szCs w:val="22"/>
                <w:lang w:val="ca-ES" w:eastAsia="es-ES" w:bidi="ar-SA"/>
              </w:rPr>
              <w:t>en hores</w:t>
            </w:r>
            <w:r>
              <w:rPr>
                <w:sz w:val="22"/>
                <w:szCs w:val="22"/>
                <w:lang w:eastAsia="es-ES"/>
              </w:rPr>
              <w:t xml:space="preserve"> )</w:t>
            </w:r>
          </w:p>
        </w:tc>
      </w:tr>
      <w:tr>
        <w:trPr>
          <w:trHeight w:val="534" w:hRule="atLeast"/>
        </w:trPr>
        <w:tc>
          <w:tcPr>
            <w:tcW w:w="5154"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pacing w:before="60" w:after="60"/>
              <w:rPr/>
            </w:pPr>
            <w:r>
              <w:rPr>
                <w:b/>
                <w:sz w:val="22"/>
                <w:szCs w:val="22"/>
                <w:lang w:eastAsia="es-ES"/>
              </w:rPr>
              <w:t>OFEREIXO</w:t>
            </w:r>
          </w:p>
          <w:p>
            <w:pPr>
              <w:pStyle w:val="Normal"/>
              <w:widowControl w:val="false"/>
              <w:spacing w:before="60" w:after="60"/>
              <w:jc w:val="both"/>
              <w:rPr>
                <w:sz w:val="22"/>
                <w:szCs w:val="22"/>
                <w:lang w:eastAsia="es-ES"/>
              </w:rPr>
            </w:pPr>
            <w:r>
              <w:rPr>
                <w:sz w:val="22"/>
                <w:szCs w:val="22"/>
                <w:lang w:eastAsia="es-ES"/>
              </w:rPr>
              <w:t>Temps de resposta garantit per atendre incidències i/o cobrir serveis extraordinaris.</w:t>
            </w:r>
          </w:p>
        </w:tc>
        <w:tc>
          <w:tcPr>
            <w:tcW w:w="4145"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rPr>
            </w:pPr>
            <w:r>
              <w:rPr>
                <w:color w:val="000000"/>
                <w:sz w:val="22"/>
              </w:rPr>
              <w:t>...  hores</w:t>
            </w:r>
          </w:p>
        </w:tc>
      </w:tr>
    </w:tbl>
    <w:p>
      <w:pPr>
        <w:pStyle w:val="Normal"/>
        <w:widowControl w:val="false"/>
        <w:spacing w:lineRule="auto" w:line="360"/>
        <w:jc w:val="both"/>
        <w:rPr>
          <w:sz w:val="22"/>
          <w:szCs w:val="22"/>
        </w:rPr>
      </w:pPr>
      <w:r>
        <w:rPr>
          <w:sz w:val="22"/>
          <w:szCs w:val="22"/>
        </w:rPr>
      </w:r>
    </w:p>
    <w:p>
      <w:pPr>
        <w:pStyle w:val="Normal"/>
        <w:tabs>
          <w:tab w:val="clear" w:pos="720"/>
          <w:tab w:val="left" w:pos="993" w:leader="none"/>
        </w:tabs>
        <w:suppressAutoHyphens w:val="false"/>
        <w:ind w:left="435" w:right="0" w:hanging="0"/>
        <w:jc w:val="both"/>
        <w:rPr>
          <w:b/>
          <w:b/>
          <w:bCs/>
          <w:sz w:val="22"/>
          <w:szCs w:val="22"/>
        </w:rPr>
      </w:pPr>
      <w:r>
        <w:rPr>
          <w:b/>
          <w:bCs/>
          <w:sz w:val="22"/>
          <w:szCs w:val="22"/>
        </w:rPr>
      </w:r>
    </w:p>
    <w:p>
      <w:pPr>
        <w:pStyle w:val="Normal"/>
        <w:jc w:val="both"/>
        <w:rPr/>
      </w:pPr>
      <w:r>
        <w:rPr/>
      </w:r>
    </w:p>
    <w:p>
      <w:pPr>
        <w:pStyle w:val="Normal"/>
        <w:suppressAutoHyphens w:val="false"/>
        <w:jc w:val="both"/>
        <w:rPr>
          <w:sz w:val="22"/>
          <w:szCs w:val="22"/>
          <w:lang w:eastAsia="es-ES"/>
        </w:rPr>
      </w:pPr>
      <w:r>
        <w:rPr>
          <w:sz w:val="22"/>
          <w:szCs w:val="22"/>
          <w:lang w:eastAsia="es-ES"/>
        </w:rPr>
      </w:r>
    </w:p>
    <w:tbl>
      <w:tblPr>
        <w:tblW w:w="9450" w:type="dxa"/>
        <w:jc w:val="left"/>
        <w:tblInd w:w="-127" w:type="dxa"/>
        <w:tblLayout w:type="fixed"/>
        <w:tblCellMar>
          <w:top w:w="108" w:type="dxa"/>
          <w:left w:w="108" w:type="dxa"/>
          <w:bottom w:w="108" w:type="dxa"/>
          <w:right w:w="108" w:type="dxa"/>
        </w:tblCellMar>
        <w:tblLook w:firstRow="0" w:noVBand="0" w:lastRow="0" w:firstColumn="0" w:lastColumn="0" w:noHBand="0" w:val="0000"/>
      </w:tblPr>
      <w:tblGrid>
        <w:gridCol w:w="1391"/>
        <w:gridCol w:w="6203"/>
        <w:gridCol w:w="1855"/>
      </w:tblGrid>
      <w:tr>
        <w:trPr>
          <w:trHeight w:val="675" w:hRule="atLeast"/>
        </w:trPr>
        <w:tc>
          <w:tcPr>
            <w:tcW w:w="1391" w:type="dxa"/>
            <w:tcBorders>
              <w:top w:val="single" w:sz="4" w:space="0" w:color="FFFFFF"/>
              <w:left w:val="single" w:sz="4" w:space="0" w:color="FFFFFF"/>
              <w:bottom w:val="single" w:sz="4" w:space="0" w:color="FFFFFF"/>
              <w:right w:val="single" w:sz="4" w:space="0" w:color="FFFFFF"/>
            </w:tcBorders>
            <w:shd w:color="auto" w:fill="D9D9D9" w:themeFill="background1" w:themeFillShade="d9" w:val="clear"/>
            <w:vAlign w:val="center"/>
          </w:tcPr>
          <w:p>
            <w:pPr>
              <w:pStyle w:val="Normal"/>
              <w:widowControl w:val="false"/>
              <w:tabs>
                <w:tab w:val="clear" w:pos="720"/>
                <w:tab w:val="left" w:pos="567" w:leader="none"/>
              </w:tabs>
              <w:rPr>
                <w:rFonts w:eastAsia="SimSun"/>
                <w:sz w:val="22"/>
                <w:szCs w:val="22"/>
              </w:rPr>
            </w:pPr>
            <w:r>
              <w:rPr>
                <w:rFonts w:eastAsia="SimSun"/>
                <w:color w:val="000000"/>
                <w:sz w:val="22"/>
                <w:szCs w:val="22"/>
              </w:rPr>
              <w:t>15.1.4.</w:t>
            </w:r>
          </w:p>
        </w:tc>
        <w:tc>
          <w:tcPr>
            <w:tcW w:w="8058" w:type="dxa"/>
            <w:gridSpan w:val="2"/>
            <w:tcBorders>
              <w:top w:val="single" w:sz="4" w:space="0" w:color="FFFFFF"/>
              <w:left w:val="single" w:sz="4" w:space="0" w:color="FFFFFF"/>
              <w:bottom w:val="single" w:sz="4" w:space="0" w:color="FFFFFF"/>
              <w:right w:val="single" w:sz="4" w:space="0" w:color="FFFFFF"/>
            </w:tcBorders>
            <w:shd w:color="auto" w:fill="D9D9D9" w:themeFill="background1" w:themeFillShade="d9" w:val="clear"/>
            <w:vAlign w:val="center"/>
          </w:tcPr>
          <w:p>
            <w:pPr>
              <w:pStyle w:val="Normal"/>
              <w:widowControl w:val="false"/>
              <w:tabs>
                <w:tab w:val="clear" w:pos="720"/>
                <w:tab w:val="left" w:pos="993" w:leader="none"/>
              </w:tabs>
              <w:jc w:val="both"/>
              <w:rPr>
                <w:sz w:val="22"/>
                <w:szCs w:val="22"/>
              </w:rPr>
            </w:pPr>
            <w:r>
              <w:rPr>
                <w:sz w:val="22"/>
                <w:szCs w:val="22"/>
              </w:rPr>
              <w:t>Formació del personal adscrit a l’execució del contracte, fins a un màxim de 15 punts</w:t>
            </w:r>
          </w:p>
        </w:tc>
      </w:tr>
      <w:tr>
        <w:trPr>
          <w:trHeight w:val="675" w:hRule="atLeast"/>
        </w:trPr>
        <w:tc>
          <w:tcPr>
            <w:tcW w:w="9449"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uppressAutoHyphens w:val="false"/>
              <w:jc w:val="both"/>
              <w:rPr>
                <w:spacing w:val="-2"/>
                <w:sz w:val="22"/>
                <w:szCs w:val="22"/>
                <w:lang w:eastAsia="es-ES"/>
              </w:rPr>
            </w:pPr>
            <w:r>
              <w:rPr>
                <w:spacing w:val="-2"/>
                <w:sz w:val="22"/>
                <w:szCs w:val="22"/>
                <w:lang w:eastAsia="es-ES"/>
              </w:rPr>
              <w:t>EEs valorarà el compromís ferm de les empreses licitadores en matèria de formació del personal adscrit a l’execució del contracte, amb l’objectiu de millorar la qualitat del servei i garantir un entorn d’oci segur, inclusiu i ambientalment responsable.</w:t>
            </w:r>
          </w:p>
          <w:p>
            <w:pPr>
              <w:pStyle w:val="Normal"/>
              <w:widowControl w:val="false"/>
              <w:suppressAutoHyphens w:val="false"/>
              <w:jc w:val="both"/>
              <w:rPr>
                <w:spacing w:val="-2"/>
                <w:sz w:val="22"/>
                <w:szCs w:val="22"/>
                <w:lang w:eastAsia="es-ES"/>
              </w:rPr>
            </w:pPr>
            <w:r>
              <w:rPr>
                <w:spacing w:val="-2"/>
                <w:sz w:val="22"/>
                <w:szCs w:val="22"/>
                <w:lang w:eastAsia="es-ES"/>
              </w:rPr>
            </w:r>
          </w:p>
          <w:p>
            <w:pPr>
              <w:pStyle w:val="Normal"/>
              <w:widowControl w:val="false"/>
              <w:suppressAutoHyphens w:val="false"/>
              <w:jc w:val="both"/>
              <w:rPr>
                <w:spacing w:val="-2"/>
                <w:sz w:val="22"/>
                <w:szCs w:val="22"/>
                <w:lang w:eastAsia="es-ES"/>
              </w:rPr>
            </w:pPr>
            <w:r>
              <w:rPr>
                <w:spacing w:val="-2"/>
                <w:sz w:val="22"/>
                <w:szCs w:val="22"/>
                <w:lang w:eastAsia="es-ES"/>
              </w:rPr>
              <w:t>La formació es realitzarà durant el primer any d’execució del contracte i haurà de tenir una durada mínima de 4 hores per cada un dels blocs formatius i serà impartida per professionals especialitzats en la matèria.</w:t>
            </w:r>
          </w:p>
          <w:p>
            <w:pPr>
              <w:pStyle w:val="Normal"/>
              <w:widowControl w:val="false"/>
              <w:suppressAutoHyphens w:val="false"/>
              <w:jc w:val="both"/>
              <w:rPr>
                <w:spacing w:val="-2"/>
                <w:sz w:val="22"/>
                <w:szCs w:val="22"/>
                <w:lang w:eastAsia="es-ES"/>
              </w:rPr>
            </w:pPr>
            <w:r>
              <w:rPr>
                <w:spacing w:val="-2"/>
                <w:sz w:val="22"/>
                <w:szCs w:val="22"/>
                <w:lang w:eastAsia="es-ES"/>
              </w:rPr>
            </w:r>
          </w:p>
          <w:p>
            <w:pPr>
              <w:pStyle w:val="Normal"/>
              <w:widowControl w:val="false"/>
              <w:suppressAutoHyphens w:val="false"/>
              <w:jc w:val="both"/>
              <w:rPr>
                <w:spacing w:val="-2"/>
                <w:sz w:val="22"/>
                <w:szCs w:val="22"/>
                <w:lang w:eastAsia="es-ES"/>
              </w:rPr>
            </w:pPr>
            <w:r>
              <w:rPr>
                <w:spacing w:val="-2"/>
                <w:sz w:val="22"/>
                <w:szCs w:val="22"/>
                <w:lang w:eastAsia="es-ES"/>
              </w:rPr>
              <w:t>L'acreditació del compliment d'aquest criteri es realitzarà mitjançant la presentació de certificat emès per l’entitat, organisme o persona formadora, conforme s’han realitzat les accions formatives corresponents.</w:t>
            </w:r>
          </w:p>
        </w:tc>
      </w:tr>
      <w:tr>
        <w:trPr>
          <w:trHeight w:val="675" w:hRule="atLeast"/>
        </w:trPr>
        <w:tc>
          <w:tcPr>
            <w:tcW w:w="7594" w:type="dxa"/>
            <w:gridSpan w:val="2"/>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pacing w:before="60" w:after="60"/>
              <w:jc w:val="center"/>
              <w:rPr/>
            </w:pPr>
            <w:r>
              <w:rPr/>
            </w:r>
          </w:p>
        </w:tc>
        <w:tc>
          <w:tcPr>
            <w:tcW w:w="1855" w:type="dxa"/>
            <w:tcBorders>
              <w:top w:val="single" w:sz="4" w:space="0" w:color="FFFFFF"/>
              <w:left w:val="single" w:sz="4" w:space="0" w:color="FFFFFF"/>
              <w:bottom w:val="single" w:sz="8" w:space="0" w:color="D9D9D9"/>
              <w:right w:val="single" w:sz="4" w:space="0" w:color="FFFFFF"/>
            </w:tcBorders>
            <w:shd w:color="auto" w:fill="F2F2F2" w:val="clear"/>
            <w:vAlign w:val="center"/>
          </w:tcPr>
          <w:p>
            <w:pPr>
              <w:pStyle w:val="Normal"/>
              <w:widowControl w:val="false"/>
              <w:suppressAutoHyphens w:val="false"/>
              <w:jc w:val="center"/>
              <w:rPr>
                <w:rFonts w:eastAsia="Times New Roman"/>
                <w:b/>
                <w:b/>
                <w:bCs/>
                <w:i w:val="false"/>
                <w:i w:val="false"/>
                <w:iCs w:val="false"/>
                <w:sz w:val="28"/>
                <w:szCs w:val="28"/>
              </w:rPr>
            </w:pPr>
            <w:r>
              <w:rPr>
                <w:rFonts w:eastAsia="Times New Roman"/>
                <w:b/>
                <w:bCs/>
                <w:i w:val="false"/>
                <w:iCs w:val="false"/>
                <w:color w:val="auto"/>
                <w:sz w:val="28"/>
                <w:szCs w:val="28"/>
                <w:lang w:eastAsia="es-ES"/>
              </w:rPr>
              <w:t>Sí / No</w:t>
            </w:r>
          </w:p>
          <w:p>
            <w:pPr>
              <w:pStyle w:val="Normal"/>
              <w:widowControl w:val="false"/>
              <w:suppressAutoHyphens w:val="false"/>
              <w:ind w:hanging="0"/>
              <w:jc w:val="both"/>
              <w:rPr>
                <w:rFonts w:eastAsia="Times New Roman"/>
                <w:i w:val="false"/>
                <w:i w:val="false"/>
                <w:iCs w:val="false"/>
                <w:sz w:val="22"/>
                <w:szCs w:val="22"/>
              </w:rPr>
            </w:pPr>
            <w:r>
              <w:rPr>
                <w:rFonts w:eastAsia="Times New Roman"/>
                <w:bCs/>
                <w:i w:val="false"/>
                <w:iCs w:val="false"/>
                <w:color w:val="auto"/>
                <w:sz w:val="18"/>
                <w:szCs w:val="18"/>
                <w:lang w:eastAsia="es-ES"/>
              </w:rPr>
              <w:t>(indicar el que correspongui)</w:t>
            </w:r>
          </w:p>
        </w:tc>
      </w:tr>
      <w:tr>
        <w:trPr>
          <w:trHeight w:val="675" w:hRule="atLeast"/>
        </w:trPr>
        <w:tc>
          <w:tcPr>
            <w:tcW w:w="7594" w:type="dxa"/>
            <w:gridSpan w:val="2"/>
            <w:tcBorders>
              <w:top w:val="single" w:sz="4" w:space="0" w:color="FFFFFF"/>
              <w:left w:val="single" w:sz="4" w:space="0" w:color="FFFFFF"/>
              <w:bottom w:val="single" w:sz="4" w:space="0" w:color="FFFFFF"/>
              <w:right w:val="single" w:sz="8" w:space="0" w:color="D9D9D9"/>
            </w:tcBorders>
            <w:shd w:color="auto" w:fill="F2F2F2" w:val="clear"/>
            <w:vAlign w:val="center"/>
          </w:tcPr>
          <w:p>
            <w:pPr>
              <w:pStyle w:val="Normal"/>
              <w:widowControl w:val="false"/>
              <w:suppressAutoHyphens w:val="false"/>
              <w:jc w:val="both"/>
              <w:rPr>
                <w:sz w:val="22"/>
                <w:szCs w:val="22"/>
                <w:lang w:eastAsia="es-ES"/>
              </w:rPr>
            </w:pPr>
            <w:r>
              <w:rPr>
                <w:sz w:val="22"/>
                <w:szCs w:val="22"/>
                <w:lang w:eastAsia="es-ES"/>
              </w:rPr>
              <w:t xml:space="preserve">Declaro responsablement que l’empresa licitadora es compromet a què tot el personal </w:t>
            </w:r>
            <w:r>
              <w:rPr>
                <w:spacing w:val="-2"/>
                <w:sz w:val="22"/>
                <w:szCs w:val="22"/>
                <w:lang w:eastAsia="es-ES"/>
              </w:rPr>
              <w:t>adscrit a l’execució del contracte  disposi de la formació establerta en el Protocol de Seguretat contra les Violències Sexuals en Entorns d’Oci, redactat pel Departament d’Interior de la Generalitat de Catalunya i subscrit per l’Ajuntament de Terrassa el desembre de 2019.</w:t>
            </w:r>
          </w:p>
        </w:tc>
        <w:tc>
          <w:tcPr>
            <w:tcW w:w="1855" w:type="dxa"/>
            <w:tcBorders>
              <w:top w:val="single" w:sz="8" w:space="0" w:color="D9D9D9"/>
              <w:left w:val="single" w:sz="8" w:space="0" w:color="D9D9D9"/>
              <w:bottom w:val="single" w:sz="8" w:space="0" w:color="D9D9D9"/>
              <w:right w:val="single" w:sz="8" w:space="0" w:color="D9D9D9"/>
            </w:tcBorders>
            <w:shd w:color="auto" w:fill="auto" w:val="clear"/>
            <w:vAlign w:val="center"/>
          </w:tcPr>
          <w:p>
            <w:pPr>
              <w:pStyle w:val="Normal"/>
              <w:widowControl w:val="false"/>
              <w:suppressAutoHyphens w:val="false"/>
              <w:jc w:val="center"/>
              <w:rPr>
                <w:rFonts w:eastAsia="Times New Roman"/>
                <w:bCs/>
                <w:color w:val="auto"/>
                <w:sz w:val="22"/>
                <w:szCs w:val="22"/>
                <w:lang w:eastAsia="es-ES"/>
              </w:rPr>
            </w:pPr>
            <w:r>
              <w:rPr>
                <w:rFonts w:eastAsia="Times New Roman"/>
                <w:bCs/>
                <w:color w:val="auto"/>
                <w:sz w:val="22"/>
                <w:szCs w:val="22"/>
                <w:lang w:eastAsia="es-ES"/>
              </w:rPr>
              <w:t>........</w:t>
            </w:r>
          </w:p>
        </w:tc>
      </w:tr>
      <w:tr>
        <w:trPr>
          <w:trHeight w:val="675" w:hRule="atLeast"/>
        </w:trPr>
        <w:tc>
          <w:tcPr>
            <w:tcW w:w="7594" w:type="dxa"/>
            <w:gridSpan w:val="2"/>
            <w:tcBorders>
              <w:top w:val="single" w:sz="4" w:space="0" w:color="FFFFFF"/>
              <w:left w:val="single" w:sz="4" w:space="0" w:color="FFFFFF"/>
              <w:bottom w:val="single" w:sz="4" w:space="0" w:color="FFFFFF"/>
              <w:right w:val="single" w:sz="8" w:space="0" w:color="D9D9D9"/>
            </w:tcBorders>
            <w:shd w:color="auto" w:fill="F2F2F2" w:val="clear"/>
            <w:vAlign w:val="center"/>
          </w:tcPr>
          <w:p>
            <w:pPr>
              <w:pStyle w:val="Normal"/>
              <w:widowControl w:val="false"/>
              <w:suppressAutoHyphens w:val="false"/>
              <w:jc w:val="both"/>
              <w:rPr>
                <w:sz w:val="22"/>
                <w:szCs w:val="22"/>
                <w:lang w:eastAsia="es-ES"/>
              </w:rPr>
            </w:pPr>
            <w:r>
              <w:rPr>
                <w:sz w:val="22"/>
                <w:szCs w:val="22"/>
                <w:lang w:eastAsia="es-ES"/>
              </w:rPr>
              <w:t xml:space="preserve">Declaro responsablement que l’empresa licitadora es compromet a què tot el personal adscrit a l’execució del contracte  rebrà formació </w:t>
            </w:r>
            <w:r>
              <w:rPr>
                <w:spacing w:val="-2"/>
                <w:sz w:val="22"/>
                <w:szCs w:val="22"/>
                <w:lang w:eastAsia="es-ES"/>
              </w:rPr>
              <w:t>en t</w:t>
            </w:r>
            <w:r>
              <w:rPr>
                <w:rFonts w:cs="Arial"/>
                <w:b w:val="false"/>
                <w:bCs w:val="false"/>
                <w:spacing w:val="-2"/>
                <w:sz w:val="22"/>
                <w:szCs w:val="22"/>
                <w:shd w:fill="auto" w:val="clear"/>
                <w:lang w:eastAsia="es-ES"/>
              </w:rPr>
              <w:t>racte adequat i atenció a persones en situació de discapacirtat, persones grans i persones amb malalties mentals</w:t>
            </w:r>
          </w:p>
        </w:tc>
        <w:tc>
          <w:tcPr>
            <w:tcW w:w="1855" w:type="dxa"/>
            <w:tcBorders>
              <w:top w:val="single" w:sz="8" w:space="0" w:color="D9D9D9"/>
              <w:left w:val="single" w:sz="8" w:space="0" w:color="D9D9D9"/>
              <w:bottom w:val="single" w:sz="8" w:space="0" w:color="D9D9D9"/>
              <w:right w:val="single" w:sz="8" w:space="0" w:color="D9D9D9"/>
            </w:tcBorders>
            <w:shd w:color="auto" w:fill="auto" w:val="clear"/>
            <w:vAlign w:val="center"/>
          </w:tcPr>
          <w:p>
            <w:pPr>
              <w:pStyle w:val="Normal"/>
              <w:widowControl w:val="false"/>
              <w:suppressAutoHyphens w:val="false"/>
              <w:jc w:val="center"/>
              <w:rPr>
                <w:rFonts w:eastAsia="Times New Roman"/>
                <w:bCs/>
                <w:color w:val="auto"/>
                <w:sz w:val="22"/>
                <w:szCs w:val="22"/>
                <w:lang w:eastAsia="es-ES"/>
              </w:rPr>
            </w:pPr>
            <w:r>
              <w:rPr>
                <w:rFonts w:eastAsia="Times New Roman"/>
                <w:bCs/>
                <w:color w:val="auto"/>
                <w:sz w:val="22"/>
                <w:szCs w:val="22"/>
                <w:lang w:eastAsia="es-ES"/>
              </w:rPr>
              <w:t>........</w:t>
            </w:r>
          </w:p>
        </w:tc>
      </w:tr>
      <w:tr>
        <w:trPr>
          <w:trHeight w:val="675" w:hRule="atLeast"/>
        </w:trPr>
        <w:tc>
          <w:tcPr>
            <w:tcW w:w="7594" w:type="dxa"/>
            <w:gridSpan w:val="2"/>
            <w:tcBorders>
              <w:left w:val="single" w:sz="4" w:space="0" w:color="FFFFFF"/>
              <w:bottom w:val="single" w:sz="4" w:space="0" w:color="FFFFFF"/>
              <w:right w:val="single" w:sz="8" w:space="0" w:color="D9D9D9"/>
            </w:tcBorders>
            <w:shd w:color="auto" w:fill="F2F2F2" w:val="clear"/>
            <w:vAlign w:val="center"/>
          </w:tcPr>
          <w:p>
            <w:pPr>
              <w:pStyle w:val="Normal"/>
              <w:widowControl w:val="false"/>
              <w:suppressAutoHyphens w:val="false"/>
              <w:jc w:val="both"/>
              <w:rPr>
                <w:sz w:val="22"/>
                <w:szCs w:val="22"/>
                <w:lang w:eastAsia="es-ES"/>
              </w:rPr>
            </w:pPr>
            <w:r>
              <w:rPr>
                <w:sz w:val="22"/>
                <w:szCs w:val="22"/>
                <w:lang w:eastAsia="es-ES"/>
              </w:rPr>
              <w:t xml:space="preserve">Declaro responsablement que l’empresa licitadora es compromet a què tot el personal adscrit a l’execució del contracte  rebrà formació </w:t>
            </w:r>
            <w:r>
              <w:rPr>
                <w:spacing w:val="-2"/>
                <w:sz w:val="22"/>
                <w:szCs w:val="22"/>
                <w:lang w:eastAsia="es-ES"/>
              </w:rPr>
              <w:t>en igualtat de gènere des del marc de la interseccionalitat</w:t>
            </w:r>
          </w:p>
        </w:tc>
        <w:tc>
          <w:tcPr>
            <w:tcW w:w="1855" w:type="dxa"/>
            <w:tcBorders>
              <w:left w:val="single" w:sz="8" w:space="0" w:color="D9D9D9"/>
              <w:bottom w:val="single" w:sz="8" w:space="0" w:color="D9D9D9"/>
              <w:right w:val="single" w:sz="8" w:space="0" w:color="D9D9D9"/>
            </w:tcBorders>
            <w:shd w:color="auto" w:fill="auto" w:val="clear"/>
            <w:vAlign w:val="center"/>
          </w:tcPr>
          <w:p>
            <w:pPr>
              <w:pStyle w:val="Normal"/>
              <w:widowControl w:val="false"/>
              <w:suppressAutoHyphens w:val="false"/>
              <w:jc w:val="center"/>
              <w:rPr>
                <w:rFonts w:eastAsia="Times New Roman"/>
                <w:bCs/>
                <w:color w:val="auto"/>
                <w:sz w:val="22"/>
                <w:szCs w:val="22"/>
                <w:lang w:eastAsia="es-ES"/>
              </w:rPr>
            </w:pPr>
            <w:r>
              <w:rPr>
                <w:rFonts w:eastAsia="Times New Roman"/>
                <w:bCs/>
                <w:color w:val="auto"/>
                <w:sz w:val="22"/>
                <w:szCs w:val="22"/>
                <w:lang w:eastAsia="es-ES"/>
              </w:rPr>
              <w:t>........</w:t>
            </w:r>
          </w:p>
        </w:tc>
      </w:tr>
      <w:tr>
        <w:trPr>
          <w:trHeight w:val="675" w:hRule="atLeast"/>
        </w:trPr>
        <w:tc>
          <w:tcPr>
            <w:tcW w:w="7594" w:type="dxa"/>
            <w:gridSpan w:val="2"/>
            <w:tcBorders>
              <w:left w:val="single" w:sz="4" w:space="0" w:color="FFFFFF"/>
              <w:bottom w:val="single" w:sz="4" w:space="0" w:color="FFFFFF"/>
              <w:right w:val="single" w:sz="8" w:space="0" w:color="D9D9D9"/>
            </w:tcBorders>
            <w:shd w:color="auto" w:fill="F2F2F2" w:val="clear"/>
            <w:vAlign w:val="center"/>
          </w:tcPr>
          <w:p>
            <w:pPr>
              <w:pStyle w:val="Normal"/>
              <w:widowControl w:val="false"/>
              <w:suppressAutoHyphens w:val="false"/>
              <w:jc w:val="both"/>
              <w:rPr>
                <w:sz w:val="22"/>
                <w:szCs w:val="22"/>
                <w:lang w:eastAsia="es-ES"/>
              </w:rPr>
            </w:pPr>
            <w:r>
              <w:rPr>
                <w:sz w:val="22"/>
                <w:szCs w:val="22"/>
                <w:lang w:eastAsia="es-ES"/>
              </w:rPr>
              <w:t>D</w:t>
            </w:r>
            <w:r>
              <w:rPr>
                <w:sz w:val="22"/>
                <w:szCs w:val="22"/>
                <w:shd w:fill="auto" w:val="clear"/>
                <w:lang w:eastAsia="es-ES"/>
              </w:rPr>
              <w:t xml:space="preserve">eclaro responsablement que l’empresa licitadora es compromet a què tot el personal adscrit a l’execució del contracte  rebrà </w:t>
            </w:r>
            <w:r>
              <w:rPr>
                <w:rFonts w:cs="Arial"/>
                <w:spacing w:val="-2"/>
                <w:sz w:val="22"/>
                <w:szCs w:val="22"/>
                <w:shd w:fill="auto" w:val="clear"/>
                <w:lang w:eastAsia="es-ES"/>
              </w:rPr>
              <w:t xml:space="preserve"> formació ambiental</w:t>
            </w:r>
          </w:p>
        </w:tc>
        <w:tc>
          <w:tcPr>
            <w:tcW w:w="1855" w:type="dxa"/>
            <w:tcBorders>
              <w:left w:val="single" w:sz="8" w:space="0" w:color="D9D9D9"/>
              <w:bottom w:val="single" w:sz="8" w:space="0" w:color="D9D9D9"/>
              <w:right w:val="single" w:sz="8" w:space="0" w:color="D9D9D9"/>
            </w:tcBorders>
            <w:shd w:color="auto" w:fill="auto" w:val="clear"/>
            <w:vAlign w:val="center"/>
          </w:tcPr>
          <w:p>
            <w:pPr>
              <w:pStyle w:val="Normal"/>
              <w:widowControl w:val="false"/>
              <w:suppressAutoHyphens w:val="false"/>
              <w:jc w:val="center"/>
              <w:rPr>
                <w:rFonts w:eastAsia="Times New Roman"/>
                <w:bCs/>
                <w:color w:val="auto"/>
                <w:sz w:val="22"/>
                <w:szCs w:val="22"/>
                <w:lang w:eastAsia="es-ES"/>
              </w:rPr>
            </w:pPr>
            <w:r>
              <w:rPr>
                <w:rFonts w:eastAsia="Times New Roman"/>
                <w:bCs/>
                <w:color w:val="auto"/>
                <w:sz w:val="22"/>
                <w:szCs w:val="22"/>
                <w:lang w:eastAsia="es-ES"/>
              </w:rPr>
              <w:t>........</w:t>
            </w:r>
          </w:p>
        </w:tc>
      </w:tr>
    </w:tbl>
    <w:p>
      <w:pPr>
        <w:pStyle w:val="Normal"/>
        <w:suppressAutoHyphens w:val="false"/>
        <w:ind w:left="720" w:hanging="0"/>
        <w:jc w:val="both"/>
        <w:rPr>
          <w:sz w:val="22"/>
          <w:szCs w:val="22"/>
          <w:lang w:eastAsia="es-ES"/>
        </w:rPr>
      </w:pPr>
      <w:r>
        <w:rPr>
          <w:sz w:val="22"/>
          <w:szCs w:val="22"/>
          <w:lang w:eastAsia="es-ES"/>
        </w:rPr>
      </w:r>
    </w:p>
    <w:p>
      <w:pPr>
        <w:pStyle w:val="Normal"/>
        <w:jc w:val="both"/>
        <w:rPr/>
      </w:pPr>
      <w:r>
        <w:rPr/>
      </w:r>
    </w:p>
    <w:p>
      <w:pPr>
        <w:pStyle w:val="Normal"/>
        <w:jc w:val="both"/>
        <w:rPr/>
      </w:pPr>
      <w:r>
        <w:rPr/>
      </w:r>
    </w:p>
    <w:p>
      <w:pPr>
        <w:pStyle w:val="Normal"/>
        <w:jc w:val="both"/>
        <w:rPr>
          <w:b/>
          <w:b/>
          <w:bCs/>
          <w:i/>
          <w:i/>
        </w:rPr>
      </w:pPr>
      <w:r>
        <w:rPr>
          <w:b/>
          <w:bCs/>
          <w:i/>
        </w:rPr>
      </w:r>
    </w:p>
    <w:p>
      <w:pPr>
        <w:pStyle w:val="Normal"/>
        <w:tabs>
          <w:tab w:val="clear" w:pos="720"/>
          <w:tab w:val="left" w:pos="993" w:leader="none"/>
        </w:tabs>
        <w:suppressAutoHyphens w:val="false"/>
        <w:ind w:left="435" w:right="0" w:hanging="0"/>
        <w:jc w:val="both"/>
        <w:rPr>
          <w:b/>
          <w:b/>
          <w:sz w:val="22"/>
          <w:szCs w:val="22"/>
        </w:rPr>
      </w:pPr>
      <w:r>
        <w:rPr>
          <w:b/>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
      <w:r>
        <w:br w:type="page"/>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sz w:val="22"/>
          <w:szCs w:val="22"/>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shd w:fill="FF00FF" w:val="clear"/>
        </w:rPr>
      </w:pPr>
      <w:r>
        <w:rPr>
          <w:rFonts w:cs="Arial" w:ascii="Arial" w:hAnsi="Arial"/>
          <w:sz w:val="22"/>
          <w:shd w:fill="FF00FF" w:val="clear"/>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pPr>
      <w:r>
        <w:rPr>
          <w:sz w:val="22"/>
          <w:szCs w:val="22"/>
        </w:rPr>
        <w:t>h)</w:t>
      </w:r>
      <w:r>
        <w:rPr>
          <w:color w:val="000000"/>
          <w:sz w:val="22"/>
          <w:szCs w:val="22"/>
        </w:rPr>
        <w:t xml:space="preserve">Compleixo les condicions d’aptitud i solvència </w:t>
      </w:r>
      <w:r>
        <w:rPr>
          <w:sz w:val="22"/>
          <w:szCs w:val="22"/>
        </w:rPr>
        <w:t xml:space="preserve">econòmica i financera, i tècnica o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shd w:fill="auto" w:val="clear"/>
        </w:rPr>
      </w:pPr>
      <w:r>
        <w:rPr>
          <w:b/>
          <w:color w:val="000000"/>
          <w:sz w:val="22"/>
          <w:shd w:fill="auto" w:val="clear"/>
        </w:rPr>
        <w:t>ANNEX 3 – DOCUMENT EUROPEU ÚNIC DE CONTRACTACIÓ (DEUC) (Sobre 1)</w:t>
      </w:r>
      <w:r>
        <w:rPr>
          <w:color w:val="000000"/>
          <w:sz w:val="22"/>
          <w:shd w:fill="auto" w:val="clear"/>
        </w:rPr>
        <w:t>:</w:t>
      </w:r>
    </w:p>
    <w:p>
      <w:pPr>
        <w:pStyle w:val="Normal"/>
        <w:jc w:val="both"/>
        <w:rPr>
          <w:color w:val="000000"/>
          <w:sz w:val="22"/>
          <w:shd w:fill="auto" w:val="clear"/>
        </w:rPr>
      </w:pPr>
      <w:r>
        <w:rPr>
          <w:color w:val="000000"/>
          <w:sz w:val="22"/>
          <w:shd w:fill="auto" w:val="clear"/>
        </w:rPr>
      </w:r>
    </w:p>
    <w:p>
      <w:pPr>
        <w:pStyle w:val="Normal"/>
        <w:widowControl w:val="false"/>
        <w:tabs>
          <w:tab w:val="clear" w:pos="720"/>
          <w:tab w:val="left" w:pos="567" w:leader="none"/>
        </w:tabs>
        <w:jc w:val="both"/>
        <w:rPr>
          <w:shd w:fill="auto" w:val="clear"/>
        </w:rPr>
      </w:pPr>
      <w:r>
        <w:rPr>
          <w:b/>
          <w:color w:val="000000"/>
          <w:sz w:val="22"/>
          <w:szCs w:val="22"/>
          <w:shd w:fill="auto" w:val="clear"/>
        </w:rPr>
        <w:t xml:space="preserve">Aquest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rPr/>
      </w:pPr>
      <w:r>
        <w:rPr/>
      </w:r>
    </w:p>
    <w:p>
      <w:pPr>
        <w:pStyle w:val="Normal"/>
        <w:spacing w:lineRule="auto" w:line="360"/>
        <w:jc w:val="both"/>
        <w:rPr/>
      </w:pPr>
      <w:r>
        <w:rPr>
          <w:color w:val="auto"/>
          <w:sz w:val="22"/>
          <w:szCs w:val="22"/>
        </w:rPr>
        <w:t>Les empreses han de descarregar l’arxiu</w:t>
      </w:r>
      <w:r>
        <w:rPr>
          <w:sz w:val="22"/>
        </w:rPr>
        <w:t xml:space="preserve"> “xlm” que es publicarà en el perfil de contractant i obrir-lo i complimentar-lo a través de l’aplicatiu que es troba al següent enllaç: </w:t>
      </w:r>
    </w:p>
    <w:p>
      <w:pPr>
        <w:pStyle w:val="Normal"/>
        <w:spacing w:lineRule="auto" w:line="360"/>
        <w:jc w:val="both"/>
        <w:rPr/>
      </w:pPr>
      <w:r>
        <w:rPr>
          <w:rStyle w:val="EnlacedeInternet"/>
          <w:rFonts w:cs="Times New Roman"/>
          <w:sz w:val="22"/>
        </w:rPr>
        <w:t>https://visor.registrodelicitadores.gob.es/espd-web/filter?lang=es</w:t>
      </w:r>
      <w:r>
        <w:rPr>
          <w:sz w:val="24"/>
        </w:rPr>
        <w:t xml:space="preserve"> </w:t>
      </w:r>
    </w:p>
    <w:p>
      <w:pPr>
        <w:pStyle w:val="Normal"/>
        <w:spacing w:lineRule="auto" w:line="360"/>
        <w:jc w:val="both"/>
        <w:rPr>
          <w:sz w:val="24"/>
        </w:rPr>
      </w:pPr>
      <w:r>
        <w:rPr>
          <w:sz w:val="24"/>
        </w:rPr>
      </w:r>
    </w:p>
    <w:p>
      <w:pPr>
        <w:pStyle w:val="Normal"/>
        <w:spacing w:lineRule="auto" w:line="360"/>
        <w:jc w:val="both"/>
        <w:rPr>
          <w:sz w:val="22"/>
        </w:rPr>
      </w:pPr>
      <w:r>
        <w:rPr>
          <w:sz w:val="22"/>
        </w:rPr>
        <w:t>Les empreses licitadores inclouran en el sobre 1 l’arxiu “xml” que els generarà l’aplicatiu.</w:t>
      </w:r>
    </w:p>
    <w:p>
      <w:pPr>
        <w:pStyle w:val="Normal"/>
        <w:spacing w:lineRule="auto" w:line="360"/>
        <w:jc w:val="both"/>
        <w:rPr>
          <w:sz w:val="22"/>
        </w:rPr>
      </w:pPr>
      <w:r>
        <w:rPr>
          <w:sz w:val="22"/>
        </w:rPr>
      </w:r>
    </w:p>
    <w:p>
      <w:pPr>
        <w:pStyle w:val="Normal"/>
        <w:spacing w:lineRule="auto" w:line="360"/>
        <w:jc w:val="both"/>
        <w:rPr/>
      </w:pPr>
      <w:r>
        <w:rPr>
          <w:sz w:val="22"/>
        </w:rPr>
        <w:t xml:space="preserve">El Reglament (UE) núm. 2016/7 (disponible a la pàgina web </w:t>
      </w:r>
      <w:hyperlink r:id="rId2">
        <w:r>
          <w:rPr>
            <w:rStyle w:val="EnlacedeInternet"/>
            <w:rFonts w:cs="Times New Roman"/>
            <w:sz w:val="22"/>
          </w:rPr>
          <w:t>https://www.boe.es/doue/2016/003/L00016-00034.pdf</w:t>
        </w:r>
      </w:hyperlink>
      <w:r>
        <w:rPr>
          <w:sz w:val="22"/>
        </w:rPr>
        <w:t>, estableix el formulari normalitzat del DEUC.</w:t>
      </w:r>
    </w:p>
    <w:p>
      <w:pPr>
        <w:pStyle w:val="Normal"/>
        <w:spacing w:lineRule="auto" w:line="360"/>
        <w:jc w:val="both"/>
        <w:rPr>
          <w:sz w:val="22"/>
          <w:lang w:val="es-ES"/>
        </w:rPr>
      </w:pPr>
      <w:r>
        <w:rPr>
          <w:sz w:val="22"/>
          <w:lang w:val="es-ES"/>
        </w:rPr>
      </w:r>
    </w:p>
    <w:p>
      <w:pPr>
        <w:pStyle w:val="Normal"/>
        <w:spacing w:lineRule="auto" w:line="360"/>
        <w:jc w:val="both"/>
        <w:rPr/>
      </w:pPr>
      <w:r>
        <w:rPr>
          <w:sz w:val="22"/>
        </w:rPr>
        <w:t xml:space="preserve">PART IV: Criteris de selecció. L’operador econòmic podrà complimentar només la secció </w:t>
      </w:r>
      <w:r>
        <w:rPr>
          <w:b/>
          <w:sz w:val="22"/>
        </w:rPr>
        <w:t>A</w:t>
      </w:r>
      <w:r>
        <w:rPr>
          <w:sz w:val="22"/>
        </w:rPr>
        <w:t xml:space="preserve"> de la part  IV ometent qualsevol altra secció de la part IV.</w:t>
      </w:r>
    </w:p>
    <w:p>
      <w:pPr>
        <w:pStyle w:val="Normal"/>
        <w:spacing w:lineRule="auto" w:line="360"/>
        <w:jc w:val="both"/>
        <w:rPr>
          <w:sz w:val="22"/>
        </w:rPr>
      </w:pPr>
      <w:r>
        <w:rPr>
          <w:sz w:val="22"/>
        </w:rPr>
      </w:r>
    </w:p>
    <w:p>
      <w:pPr>
        <w:pStyle w:val="Normal"/>
        <w:spacing w:lineRule="auto" w:line="360"/>
        <w:jc w:val="both"/>
        <w:rPr>
          <w:sz w:val="22"/>
        </w:rPr>
      </w:pPr>
      <w:r>
        <w:rPr>
          <w:sz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pPr>
        <w:pStyle w:val="Normal"/>
        <w:spacing w:lineRule="auto" w:line="360"/>
        <w:jc w:val="both"/>
        <w:rPr>
          <w:sz w:val="22"/>
        </w:rPr>
      </w:pPr>
      <w:r>
        <w:rPr>
          <w:sz w:val="22"/>
        </w:rPr>
      </w:r>
    </w:p>
    <w:p>
      <w:pPr>
        <w:pStyle w:val="Normal"/>
        <w:spacing w:lineRule="auto" w:line="360"/>
        <w:jc w:val="both"/>
        <w:rPr>
          <w:sz w:val="22"/>
        </w:rPr>
      </w:pPr>
      <w:r>
        <w:rPr>
          <w:sz w:val="22"/>
        </w:rPr>
        <w:t>Quan el contracte estigui dividit en lots i els criteris de selecció variïn d’un lot a un altre, el DEUC s’haurà de complimentar per cada lot (o grup de lots als quals s’apliquin els mateixos criteris de selecció).</w:t>
      </w:r>
    </w:p>
    <w:p>
      <w:pPr>
        <w:pStyle w:val="Normal"/>
        <w:spacing w:lineRule="auto" w:line="360"/>
        <w:jc w:val="both"/>
        <w:rPr>
          <w:sz w:val="22"/>
        </w:rPr>
      </w:pPr>
      <w:r>
        <w:rPr>
          <w:sz w:val="22"/>
        </w:rPr>
      </w:r>
    </w:p>
    <w:p>
      <w:pPr>
        <w:pStyle w:val="Normal"/>
        <w:spacing w:lineRule="auto" w:line="360"/>
        <w:jc w:val="both"/>
        <w:rPr>
          <w:sz w:val="22"/>
        </w:rPr>
      </w:pPr>
      <w:r>
        <w:rPr>
          <w:sz w:val="22"/>
        </w:rPr>
      </w:r>
    </w:p>
    <w:p>
      <w:pPr>
        <w:pStyle w:val="Normal"/>
        <w:jc w:val="both"/>
        <w:rPr/>
      </w:pPr>
      <w:r>
        <w:rPr/>
        <w:t>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i escau, accedir als documents o certificats justificatius corresponents.</w:t>
      </w:r>
    </w:p>
    <w:p>
      <w:pPr>
        <w:pStyle w:val="PlainText"/>
        <w:spacing w:lineRule="auto" w:line="360"/>
        <w:jc w:val="both"/>
        <w:rPr>
          <w:rFonts w:eastAsia="Times New Roman"/>
          <w:color w:val="000000"/>
        </w:rPr>
      </w:pPr>
      <w:r>
        <w:rPr>
          <w:rFonts w:eastAsia="Times New Roman"/>
          <w:color w:val="000000"/>
        </w:rPr>
        <w:t xml:space="preserve"> </w:t>
      </w:r>
      <w:r>
        <w:br w:type="page"/>
      </w:r>
    </w:p>
    <w:p>
      <w:pPr>
        <w:pStyle w:val="PlainText"/>
        <w:spacing w:lineRule="auto" w:line="360"/>
        <w:jc w:val="both"/>
        <w:rPr>
          <w:shd w:fill="auto" w:val="clear"/>
        </w:rPr>
      </w:pPr>
      <w:r>
        <w:rPr>
          <w:rFonts w:cs="Arial" w:ascii="Arial" w:hAnsi="Arial"/>
          <w:b/>
          <w:sz w:val="22"/>
          <w:shd w:fill="auto" w:val="clear"/>
        </w:rPr>
        <w:t>ANNEX 4 - MODEL DE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Pr>
      <w:tblGrid>
        <w:gridCol w:w="2384"/>
        <w:gridCol w:w="1726"/>
        <w:gridCol w:w="2413"/>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6"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3"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6"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3"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fill="D9D9D9"/>
        <w:ind w:left="0"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fill="D9D9D9"/>
        <w:ind w:left="0" w:right="-1" w:hanging="0"/>
        <w:jc w:val="both"/>
        <w:rPr>
          <w:sz w:val="16"/>
          <w:szCs w:val="16"/>
        </w:rPr>
      </w:pPr>
      <w:r>
        <w:rPr>
          <w:sz w:val="16"/>
          <w:szCs w:val="16"/>
        </w:rPr>
      </w:r>
    </w:p>
    <w:p>
      <w:pPr>
        <w:pStyle w:val="Normal"/>
        <w:shd w:val="clear" w:fill="D9D9D9"/>
        <w:ind w:left="0" w:right="-1" w:hanging="0"/>
        <w:rPr/>
      </w:pPr>
      <w:r>
        <w:rPr>
          <w:sz w:val="16"/>
          <w:szCs w:val="16"/>
        </w:rPr>
        <w:t xml:space="preserve">Trobareu informació sobre la notificació electrònica a: </w:t>
      </w:r>
      <w:hyperlink r:id="rId3">
        <w:r>
          <w:rPr>
            <w:rStyle w:val="EnlladInternet"/>
            <w:i/>
            <w:color w:val="000000"/>
            <w:sz w:val="16"/>
            <w:szCs w:val="16"/>
          </w:rPr>
          <w:t>https://seuelectronica.terrassa.cat/web/seu/ajuda/notificacio-electronica</w:t>
        </w:r>
      </w:hyperlink>
    </w:p>
    <w:p>
      <w:pPr>
        <w:pStyle w:val="Normal"/>
        <w:shd w:val="clear" w:fill="D9D9D9"/>
        <w:ind w:left="0" w:right="-1" w:hanging="0"/>
        <w:rPr>
          <w:rStyle w:val="EnlladInternet"/>
          <w:i/>
          <w:i/>
          <w:color w:val="000000"/>
          <w:sz w:val="16"/>
          <w:szCs w:val="16"/>
        </w:rPr>
      </w:pPr>
      <w:r>
        <w:rPr>
          <w:i/>
          <w:color w:val="000000"/>
          <w:sz w:val="16"/>
          <w:szCs w:val="16"/>
        </w:rPr>
      </w:r>
    </w:p>
    <w:p>
      <w:pPr>
        <w:pStyle w:val="Normal"/>
        <w:shd w:val="clear" w:fill="D9D9D9"/>
        <w:ind w:left="0" w:right="-1" w:hanging="0"/>
        <w:rPr>
          <w:i/>
          <w:i/>
          <w:sz w:val="18"/>
          <w:szCs w:val="18"/>
        </w:rPr>
      </w:pPr>
      <w:r>
        <w:rPr>
          <w:i/>
          <w:sz w:val="18"/>
          <w:szCs w:val="18"/>
        </w:rPr>
        <w:t>https://seuelectronica.terrassa.cat/web/seu/ajuda/notificacio-electronica</w:t>
      </w:r>
    </w:p>
    <w:p>
      <w:pPr>
        <w:pStyle w:val="Normal"/>
        <w:shd w:val="clear" w:fill="D9D9D9"/>
        <w:ind w:left="0" w:right="-1" w:hanging="0"/>
        <w:rPr>
          <w:i/>
          <w:i/>
          <w:sz w:val="18"/>
          <w:szCs w:val="18"/>
        </w:rPr>
      </w:pPr>
      <w:r>
        <w:rPr>
          <w:i/>
          <w:sz w:val="18"/>
          <w:szCs w:val="18"/>
        </w:rPr>
      </w:r>
    </w:p>
    <w:p>
      <w:pPr>
        <w:pStyle w:val="Normal"/>
        <w:shd w:val="clear" w:fill="D9D9D9"/>
        <w:ind w:left="0" w:right="-1" w:hanging="0"/>
        <w:jc w:val="both"/>
        <w:rPr>
          <w:sz w:val="16"/>
          <w:szCs w:val="16"/>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fill="D9D9D9"/>
        <w:ind w:left="0" w:right="-1" w:hanging="0"/>
        <w:jc w:val="both"/>
        <w:rPr>
          <w:color w:val="333333"/>
          <w:sz w:val="16"/>
          <w:szCs w:val="16"/>
        </w:rPr>
      </w:pPr>
      <w:r>
        <w:rPr>
          <w:color w:val="333333"/>
          <w:sz w:val="16"/>
          <w:szCs w:val="16"/>
        </w:rPr>
        <w:t>.</w:t>
      </w:r>
    </w:p>
    <w:p>
      <w:pPr>
        <w:pStyle w:val="Normal"/>
        <w:shd w:val="clear" w:fill="D9D9D9"/>
        <w:ind w:left="0"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right="0" w:hanging="0"/>
        <w:rPr>
          <w:sz w:val="22"/>
          <w:lang w:val="es-ES"/>
        </w:rPr>
      </w:pPr>
      <w:r>
        <w:rPr>
          <w:sz w:val="22"/>
          <w:lang w:val="es-ES"/>
        </w:rPr>
      </w:r>
    </w:p>
    <w:p>
      <w:pPr>
        <w:pStyle w:val="Normal"/>
        <w:ind w:left="567" w:right="0"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shd w:fill="FFFFFF" w:val="clear"/>
        </w:rPr>
      </w:pPr>
      <w:r>
        <w:rPr>
          <w:b/>
          <w:shd w:fill="FFFFFF" w:val="clear"/>
        </w:rPr>
        <w:t>(Articles 5 i 6 de la Llei orgànica 3/2018, de 5 de desembre, de  protecció de dades personals i garantia dels drets digitals.)</w:t>
      </w:r>
    </w:p>
    <w:p>
      <w:pPr>
        <w:pStyle w:val="Normal"/>
        <w:jc w:val="both"/>
        <w:rPr>
          <w:b/>
          <w:b/>
          <w:shd w:fill="FFFFFF" w:val="clear"/>
        </w:rPr>
      </w:pPr>
      <w:r>
        <w:rPr>
          <w:b/>
          <w:shd w:fill="FFFFFF" w:val="clear"/>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4">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right="0"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right="0"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sz w:val="22"/>
          <w:szCs w:val="22"/>
          <w:shd w:fill="auto" w:val="clear"/>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5">
        <w:r>
          <w:rPr>
            <w:rStyle w:val="EnlacedeInternet"/>
            <w:rFonts w:cs="Times New Roman"/>
          </w:rPr>
          <w:t>https://seuelectronica.terrassa.cat</w:t>
        </w:r>
      </w:hyperlink>
      <w:r>
        <w:rPr/>
        <w:t>.</w:t>
      </w:r>
    </w:p>
    <w:sectPr>
      <w:headerReference w:type="default" r:id="rId6"/>
      <w:footerReference w:type="default" r:id="rId7"/>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Pr>
    <w:tblGrid>
      <w:gridCol w:w="3711"/>
      <w:gridCol w:w="6316"/>
    </w:tblGrid>
    <w:tr>
      <w:trPr>
        <w:trHeight w:val="1522" w:hRule="atLeast"/>
      </w:trPr>
      <w:tc>
        <w:tcPr>
          <w:tcW w:w="3711" w:type="dxa"/>
          <w:tcBorders/>
          <w:vAlign w:val="center"/>
        </w:tcPr>
        <w:p>
          <w:pPr>
            <w:pStyle w:val="Capalera"/>
            <w:widowControl w:val="false"/>
            <w:snapToGrid w:val="false"/>
            <w:ind w:left="0"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left="0" w:right="-4724" w:hanging="0"/>
            <w:rPr/>
          </w:pPr>
          <w:r>
            <w:rPr/>
          </w:r>
        </w:p>
        <w:p>
          <w:pPr>
            <w:pStyle w:val="Capalera"/>
            <w:widowControl w:val="false"/>
            <w:ind w:left="0" w:right="-4724" w:hanging="0"/>
            <w:rPr>
              <w:rFonts w:eastAsia="Times New Roman"/>
            </w:rPr>
          </w:pPr>
          <w:r>
            <w:rPr>
              <w:rFonts w:eastAsia="Times New Roman"/>
            </w:rPr>
          </w:r>
        </w:p>
        <w:p>
          <w:pPr>
            <w:pStyle w:val="Capalera"/>
            <w:widowControl w:val="false"/>
            <w:ind w:left="0" w:right="-4724" w:hanging="0"/>
            <w:rPr/>
          </w:pPr>
          <w:r>
            <w:rPr/>
          </w:r>
        </w:p>
        <w:p>
          <w:pPr>
            <w:pStyle w:val="Capalera"/>
            <w:widowControl w:val="false"/>
            <w:ind w:left="0"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left="0"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ECAS-06470/2025</w:t>
          </w:r>
        </w:p>
        <w:p>
          <w:pPr>
            <w:pStyle w:val="Capalera"/>
            <w:widowControl w:val="false"/>
            <w:spacing w:before="60" w:after="60"/>
            <w:jc w:val="right"/>
            <w:rPr/>
          </w:pPr>
          <w:r>
            <w:rPr/>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qFormat/>
    <w:pPr>
      <w:keepNext w:val="true"/>
      <w:numPr>
        <w:ilvl w:val="0"/>
        <w:numId w:val="1"/>
      </w:numPr>
      <w:spacing w:before="240" w:after="60"/>
      <w:outlineLvl w:val="0"/>
    </w:pPr>
    <w:rPr>
      <w:b/>
      <w:kern w:val="2"/>
      <w:sz w:val="28"/>
    </w:rPr>
  </w:style>
  <w:style w:type="paragraph" w:styleId="Encapalament2">
    <w:name w:val="Heading 2"/>
    <w:basedOn w:val="Normal"/>
    <w:next w:val="Normal"/>
    <w:qFormat/>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qFormat/>
    <w:pPr>
      <w:keepNext w:val="true"/>
      <w:numPr>
        <w:ilvl w:val="2"/>
        <w:numId w:val="1"/>
      </w:numPr>
      <w:jc w:val="both"/>
      <w:outlineLvl w:val="2"/>
    </w:pPr>
    <w:rPr>
      <w:b/>
      <w:color w:val="0000FF"/>
      <w:sz w:val="22"/>
    </w:rPr>
  </w:style>
  <w:style w:type="paragraph" w:styleId="Encapalament4">
    <w:name w:val="Heading 4"/>
    <w:basedOn w:val="Normal"/>
    <w:next w:val="Normal"/>
    <w:qFormat/>
    <w:pPr>
      <w:keepNext w:val="true"/>
      <w:numPr>
        <w:ilvl w:val="3"/>
        <w:numId w:val="1"/>
      </w:numPr>
      <w:jc w:val="center"/>
      <w:outlineLvl w:val="3"/>
    </w:pPr>
    <w:rPr>
      <w:b/>
      <w:sz w:val="28"/>
    </w:rPr>
  </w:style>
  <w:style w:type="paragraph" w:styleId="Encapalament5">
    <w:name w:val="Heading 5"/>
    <w:basedOn w:val="Normal"/>
    <w:next w:val="Normal"/>
    <w:qFormat/>
    <w:pPr>
      <w:keepNext w:val="true"/>
      <w:numPr>
        <w:ilvl w:val="4"/>
        <w:numId w:val="1"/>
      </w:numPr>
      <w:jc w:val="center"/>
      <w:outlineLvl w:val="4"/>
    </w:pPr>
    <w:rPr>
      <w:b/>
      <w:sz w:val="24"/>
    </w:rPr>
  </w:style>
  <w:style w:type="paragraph" w:styleId="Encapalament6">
    <w:name w:val="Heading 6"/>
    <w:basedOn w:val="Normal"/>
    <w:next w:val="Normal"/>
    <w:qFormat/>
    <w:pPr>
      <w:keepNext w:val="true"/>
      <w:numPr>
        <w:ilvl w:val="5"/>
        <w:numId w:val="1"/>
      </w:numPr>
      <w:jc w:val="both"/>
      <w:outlineLvl w:val="5"/>
    </w:pPr>
    <w:rPr>
      <w:sz w:val="24"/>
    </w:rPr>
  </w:style>
  <w:style w:type="paragraph" w:styleId="Encapalament7">
    <w:name w:val="Heading 7"/>
    <w:basedOn w:val="Normal"/>
    <w:next w:val="Normal"/>
    <w:qFormat/>
    <w:pPr>
      <w:keepNext w:val="true"/>
      <w:numPr>
        <w:ilvl w:val="6"/>
        <w:numId w:val="1"/>
      </w:numPr>
      <w:jc w:val="both"/>
      <w:outlineLvl w:val="6"/>
    </w:pPr>
    <w:rPr>
      <w:b/>
      <w:sz w:val="22"/>
    </w:rPr>
  </w:style>
  <w:style w:type="paragraph" w:styleId="Encapalament8">
    <w:name w:val="Heading 8"/>
    <w:basedOn w:val="Normal"/>
    <w:next w:val="Normal"/>
    <w:qFormat/>
    <w:pPr>
      <w:keepNext w:val="true"/>
      <w:numPr>
        <w:ilvl w:val="7"/>
        <w:numId w:val="1"/>
      </w:numPr>
      <w:outlineLvl w:val="7"/>
    </w:pPr>
    <w:rPr>
      <w:b/>
      <w:sz w:val="22"/>
    </w:rPr>
  </w:style>
  <w:style w:type="paragraph" w:styleId="Encapalament9">
    <w:name w:val="Heading 9"/>
    <w:basedOn w:val="Normal"/>
    <w:next w:val="Normal"/>
    <w:qFormat/>
    <w:pPr>
      <w:keepNext w:val="true"/>
      <w:numPr>
        <w:ilvl w:val="8"/>
        <w:numId w:val="1"/>
      </w:numPr>
      <w:jc w:val="center"/>
      <w:outlineLvl w:val="8"/>
    </w:pPr>
    <w:rPr>
      <w:b/>
      <w:color w:val="000000"/>
      <w:lang w:val="es-ES"/>
    </w:rPr>
  </w:style>
  <w:style w:type="character" w:styleId="DefaultParagraphFont">
    <w:name w:val="Default Paragraph Font"/>
    <w:qFormat/>
    <w:rPr/>
  </w:style>
  <w:style w:type="character" w:styleId="Ttulo1Car">
    <w:name w:val="Título 1 Car"/>
    <w:basedOn w:val="DefaultParagraphFont"/>
    <w:qFormat/>
    <w:rPr>
      <w:rFonts w:ascii="Cambria" w:hAnsi="Cambria" w:cs="Times New Roman"/>
      <w:b/>
      <w:bCs/>
      <w:color w:val="00000A"/>
      <w:kern w:val="2"/>
      <w:sz w:val="32"/>
      <w:szCs w:val="32"/>
      <w:lang w:val="ca-ES" w:eastAsia="zh-CN"/>
    </w:rPr>
  </w:style>
  <w:style w:type="character" w:styleId="Ttulo2Car">
    <w:name w:val="Título 2 Car"/>
    <w:basedOn w:val="DefaultParagraphFont"/>
    <w:qFormat/>
    <w:rPr>
      <w:rFonts w:ascii="Cambria" w:hAnsi="Cambria" w:cs="Times New Roman"/>
      <w:b/>
      <w:bCs/>
      <w:i/>
      <w:iCs/>
      <w:color w:val="00000A"/>
      <w:sz w:val="28"/>
      <w:szCs w:val="28"/>
      <w:lang w:val="ca-ES" w:eastAsia="zh-CN"/>
    </w:rPr>
  </w:style>
  <w:style w:type="character" w:styleId="Ttulo3Car">
    <w:name w:val="Título 3 Car"/>
    <w:basedOn w:val="DefaultParagraphFont"/>
    <w:qFormat/>
    <w:rPr>
      <w:rFonts w:ascii="Cambria" w:hAnsi="Cambria" w:cs="Times New Roman"/>
      <w:b/>
      <w:bCs/>
      <w:color w:val="00000A"/>
      <w:sz w:val="26"/>
      <w:szCs w:val="26"/>
      <w:lang w:val="ca-ES" w:eastAsia="zh-CN"/>
    </w:rPr>
  </w:style>
  <w:style w:type="character" w:styleId="Ttulo4Car">
    <w:name w:val="Título 4 Car"/>
    <w:basedOn w:val="DefaultParagraphFont"/>
    <w:qFormat/>
    <w:rPr>
      <w:rFonts w:ascii="Calibri" w:hAnsi="Calibri" w:cs="Times New Roman"/>
      <w:b/>
      <w:bCs/>
      <w:color w:val="00000A"/>
      <w:sz w:val="28"/>
      <w:szCs w:val="28"/>
      <w:lang w:val="ca-ES" w:eastAsia="zh-CN"/>
    </w:rPr>
  </w:style>
  <w:style w:type="character" w:styleId="Ttulo5Car">
    <w:name w:val="Título 5 Car"/>
    <w:basedOn w:val="DefaultParagraphFont"/>
    <w:qFormat/>
    <w:rPr>
      <w:rFonts w:ascii="Calibri" w:hAnsi="Calibri" w:cs="Times New Roman"/>
      <w:b/>
      <w:bCs/>
      <w:i/>
      <w:iCs/>
      <w:color w:val="00000A"/>
      <w:sz w:val="26"/>
      <w:szCs w:val="26"/>
      <w:lang w:val="ca-ES" w:eastAsia="zh-CN"/>
    </w:rPr>
  </w:style>
  <w:style w:type="character" w:styleId="Ttulo6Car">
    <w:name w:val="Título 6 Car"/>
    <w:basedOn w:val="DefaultParagraphFont"/>
    <w:qFormat/>
    <w:rPr>
      <w:rFonts w:ascii="Calibri" w:hAnsi="Calibri" w:cs="Times New Roman"/>
      <w:b/>
      <w:bCs/>
      <w:color w:val="00000A"/>
      <w:lang w:val="ca-ES" w:eastAsia="zh-CN"/>
    </w:rPr>
  </w:style>
  <w:style w:type="character" w:styleId="Ttulo7Car">
    <w:name w:val="Título 7 Car"/>
    <w:basedOn w:val="DefaultParagraphFont"/>
    <w:qFormat/>
    <w:rPr>
      <w:rFonts w:ascii="Arial" w:hAnsi="Arial" w:eastAsia="SimSun;宋体"/>
      <w:b/>
      <w:color w:val="00000A"/>
      <w:szCs w:val="20"/>
      <w:lang w:val="ca-ES" w:eastAsia="zh-CN"/>
    </w:rPr>
  </w:style>
  <w:style w:type="character" w:styleId="Ttulo8Car">
    <w:name w:val="Título 8 Car"/>
    <w:basedOn w:val="DefaultParagraphFont"/>
    <w:qFormat/>
    <w:rPr>
      <w:rFonts w:ascii="Calibri" w:hAnsi="Calibri" w:cs="Times New Roman"/>
      <w:i/>
      <w:iCs/>
      <w:color w:val="00000A"/>
      <w:sz w:val="24"/>
      <w:szCs w:val="24"/>
      <w:lang w:val="ca-ES" w:eastAsia="zh-CN"/>
    </w:rPr>
  </w:style>
  <w:style w:type="character" w:styleId="Ttulo9Car">
    <w:name w:val="Título 9 Car"/>
    <w:basedOn w:val="DefaultParagraphFont"/>
    <w:qFormat/>
    <w:rPr>
      <w:rFonts w:ascii="Cambria" w:hAnsi="Cambria" w:cs="Times New Roman"/>
      <w:color w:val="00000A"/>
      <w:lang w:val="ca-ES" w:eastAsia="zh-CN"/>
    </w:rPr>
  </w:style>
  <w:style w:type="character" w:styleId="WW8Num1z0">
    <w:name w:val="WW8Num1z0"/>
    <w:qFormat/>
    <w:rPr>
      <w:rFonts w:ascii="Arial" w:hAnsi="Arial"/>
    </w:rPr>
  </w:style>
  <w:style w:type="character" w:styleId="WW8Num2z0">
    <w:name w:val="WW8Num2z0"/>
    <w:qFormat/>
    <w:rPr>
      <w:rFonts w:ascii="Liberation Serif;Times New Roma" w:hAnsi="Liberation Serif;Times New Roma"/>
      <w:b/>
      <w:color w:val="000000"/>
      <w:sz w:val="22"/>
      <w:lang w:eastAsia="es-ES"/>
    </w:rPr>
  </w:style>
  <w:style w:type="character" w:styleId="WW8Num3z0">
    <w:name w:val="WW8Num3z0"/>
    <w:qFormat/>
    <w:rPr>
      <w:rFonts w:ascii="Courier New" w:hAnsi="Courier New"/>
    </w:rPr>
  </w:style>
  <w:style w:type="character" w:styleId="WW8Num4z0">
    <w:name w:val="WW8Num4z0"/>
    <w:qFormat/>
    <w:rPr>
      <w:rFonts w:ascii="Symbol" w:hAnsi="Symbol"/>
    </w:rPr>
  </w:style>
  <w:style w:type="character" w:styleId="WW8Num5z0">
    <w:name w:val="WW8Num5z0"/>
    <w:qFormat/>
    <w:rPr>
      <w:rFonts w:ascii="Times New Roman" w:hAnsi="Times New Roman"/>
      <w:sz w:val="22"/>
      <w:u w:val="none"/>
    </w:rPr>
  </w:style>
  <w:style w:type="character" w:styleId="WW8Num5z1">
    <w:name w:val="WW8Num5z1"/>
    <w:qFormat/>
    <w:rPr/>
  </w:style>
  <w:style w:type="character" w:styleId="WW8Num6z0">
    <w:name w:val="WW8Num6z0"/>
    <w:qFormat/>
    <w:rPr>
      <w:rFonts w:ascii="Symbol" w:hAnsi="Symbol"/>
      <w:color w:val="000000"/>
      <w:sz w:val="24"/>
      <w:lang w:val="ca-ES"/>
    </w:rPr>
  </w:style>
  <w:style w:type="character" w:styleId="WW8Num7z0">
    <w:name w:val="WW8Num7z0"/>
    <w:qFormat/>
    <w:rPr>
      <w:sz w:val="23"/>
      <w:lang w:val="ca-ES"/>
    </w:rPr>
  </w:style>
  <w:style w:type="character" w:styleId="WW8Num8z0">
    <w:name w:val="WW8Num8z0"/>
    <w:qFormat/>
    <w:rPr>
      <w:i/>
      <w:sz w:val="22"/>
    </w:rPr>
  </w:style>
  <w:style w:type="character" w:styleId="WW8Num9z0">
    <w:name w:val="WW8Num9z0"/>
    <w:qFormat/>
    <w:rPr>
      <w:rFonts w:ascii="Calibri" w:hAnsi="Calibri" w:eastAsia="SimSun;宋体"/>
      <w:color w:val="00000A"/>
      <w:sz w:val="22"/>
      <w:lang w:val="ca-ES" w:eastAsia="zh-CN"/>
    </w:rPr>
  </w:style>
  <w:style w:type="character" w:styleId="WW8Num9z1">
    <w:name w:val="WW8Num9z1"/>
    <w:qFormat/>
    <w:rPr/>
  </w:style>
  <w:style w:type="character" w:styleId="WW8Num10z0">
    <w:name w:val="WW8Num10z0"/>
    <w:qFormat/>
    <w:rPr>
      <w:rFonts w:ascii="Arial" w:hAnsi="Arial"/>
      <w:sz w:val="22"/>
    </w:rPr>
  </w:style>
  <w:style w:type="character" w:styleId="WW8Num10z1">
    <w:name w:val="WW8Num10z1"/>
    <w:qFormat/>
    <w:rPr>
      <w:sz w:val="22"/>
    </w:rPr>
  </w:style>
  <w:style w:type="character" w:styleId="WW8Num10z2">
    <w:name w:val="WW8Num10z2"/>
    <w:qFormat/>
    <w:rPr/>
  </w:style>
  <w:style w:type="character" w:styleId="WW8Num11z0">
    <w:name w:val="WW8Num11z0"/>
    <w:qFormat/>
    <w:rPr>
      <w:rFonts w:ascii="Arial" w:hAnsi="Arial"/>
      <w:color w:val="000000"/>
      <w:sz w:val="22"/>
      <w:lang w:val="ca-ES"/>
    </w:rPr>
  </w:style>
  <w:style w:type="character" w:styleId="WW8Num11z1">
    <w:name w:val="WW8Num11z1"/>
    <w:qFormat/>
    <w:rPr/>
  </w:style>
  <w:style w:type="character" w:styleId="WW8Num12z0">
    <w:name w:val="WW8Num12z0"/>
    <w:qFormat/>
    <w:rPr/>
  </w:style>
  <w:style w:type="character" w:styleId="WW8Num12z1">
    <w:name w:val="WW8Num12z1"/>
    <w:qFormat/>
    <w:rPr>
      <w:sz w:val="22"/>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4z0">
    <w:name w:val="WW8Num14z0"/>
    <w:qFormat/>
    <w:rPr>
      <w:color w:val="000000"/>
      <w:sz w:val="22"/>
    </w:rPr>
  </w:style>
  <w:style w:type="character" w:styleId="WW8Num15z0">
    <w:name w:val="WW8Num15z0"/>
    <w:qFormat/>
    <w:rPr>
      <w:sz w:val="22"/>
    </w:rPr>
  </w:style>
  <w:style w:type="character" w:styleId="WW8Num15z1">
    <w:name w:val="WW8Num15z1"/>
    <w:qFormat/>
    <w:rPr/>
  </w:style>
  <w:style w:type="character" w:styleId="WW8Num16z0">
    <w:name w:val="WW8Num16z0"/>
    <w:qFormat/>
    <w:rPr/>
  </w:style>
  <w:style w:type="character" w:styleId="WW8Num17z0">
    <w:name w:val="WW8Num17z0"/>
    <w:qFormat/>
    <w:rPr>
      <w:sz w:val="22"/>
    </w:rPr>
  </w:style>
  <w:style w:type="character" w:styleId="WW8Num17z1">
    <w:name w:val="WW8Num17z1"/>
    <w:qFormat/>
    <w:rPr>
      <w:u w:val="none"/>
    </w:rPr>
  </w:style>
  <w:style w:type="character" w:styleId="WW8Num17z2">
    <w:name w:val="WW8Num17z2"/>
    <w:qFormat/>
    <w:rPr/>
  </w:style>
  <w:style w:type="character" w:styleId="WW8Num13z1">
    <w:name w:val="WW8Num13z1"/>
    <w:qFormat/>
    <w:rPr>
      <w:sz w:val="22"/>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6z1">
    <w:name w:val="WW8Num16z1"/>
    <w:qFormat/>
    <w:rPr/>
  </w:style>
  <w:style w:type="character" w:styleId="WW8Num18z0">
    <w:name w:val="WW8Num18z0"/>
    <w:qFormat/>
    <w:rPr>
      <w:sz w:val="22"/>
    </w:rPr>
  </w:style>
  <w:style w:type="character" w:styleId="WW8Num18z1">
    <w:name w:val="WW8Num18z1"/>
    <w:qFormat/>
    <w:rPr>
      <w:u w:val="none"/>
    </w:rPr>
  </w:style>
  <w:style w:type="character" w:styleId="WW8Num18z2">
    <w:name w:val="WW8Num18z2"/>
    <w:qFormat/>
    <w:rPr/>
  </w:style>
  <w:style w:type="character" w:styleId="WW8Num6z1">
    <w:name w:val="WW8Num6z1"/>
    <w:qFormat/>
    <w:rPr/>
  </w:style>
  <w:style w:type="character" w:styleId="WW8Num11z2">
    <w:name w:val="WW8Num11z2"/>
    <w:qFormat/>
    <w:rPr/>
  </w:style>
  <w:style w:type="character" w:styleId="WW8Num14z1">
    <w:name w:val="WW8Num14z1"/>
    <w:qFormat/>
    <w:rPr>
      <w:b/>
      <w:sz w:val="22"/>
      <w:u w:val="none"/>
    </w:rPr>
  </w:style>
  <w:style w:type="character" w:styleId="WW8Num14z2">
    <w:name w:val="WW8Num14z2"/>
    <w:qFormat/>
    <w:rPr>
      <w:b/>
      <w:sz w:val="22"/>
    </w:rPr>
  </w:style>
  <w:style w:type="character" w:styleId="WW8Num14z3">
    <w:name w:val="WW8Num14z3"/>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9z0">
    <w:name w:val="WW8Num19z0"/>
    <w:qFormat/>
    <w:rPr>
      <w:sz w:val="22"/>
    </w:rPr>
  </w:style>
  <w:style w:type="character" w:styleId="WW8Num19z1">
    <w:name w:val="WW8Num19z1"/>
    <w:qFormat/>
    <w:rPr/>
  </w:style>
  <w:style w:type="character" w:styleId="WW8Num20z0">
    <w:name w:val="WW8Num20z0"/>
    <w:qFormat/>
    <w:rPr/>
  </w:style>
  <w:style w:type="character" w:styleId="WW8Num21z0">
    <w:name w:val="WW8Num21z0"/>
    <w:qFormat/>
    <w:rPr>
      <w:sz w:val="22"/>
    </w:rPr>
  </w:style>
  <w:style w:type="character" w:styleId="WW8Num21z1">
    <w:name w:val="WW8Num21z1"/>
    <w:qFormat/>
    <w:rPr>
      <w:u w:val="none"/>
    </w:rPr>
  </w:style>
  <w:style w:type="character" w:styleId="WW8Num21z2">
    <w:name w:val="WW8Num21z2"/>
    <w:qFormat/>
    <w:rPr/>
  </w:style>
  <w:style w:type="character" w:styleId="WW8Num3z1">
    <w:name w:val="WW8Num3z1"/>
    <w:qFormat/>
    <w:rPr>
      <w:rFonts w:ascii="Courier New" w:hAnsi="Courier New"/>
    </w:rPr>
  </w:style>
  <w:style w:type="character" w:styleId="WW8Num3z2">
    <w:name w:val="WW8Num3z2"/>
    <w:qFormat/>
    <w:rPr>
      <w:rFonts w:ascii="Arial" w:hAnsi="Arial"/>
      <w:sz w:val="22"/>
    </w:rPr>
  </w:style>
  <w:style w:type="character" w:styleId="WW8Num3z3">
    <w:name w:val="WW8Num3z3"/>
    <w:qFormat/>
    <w:rPr>
      <w:rFonts w:ascii="Symbol" w:hAnsi="Symbol"/>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1">
    <w:name w:val="WW8Num20z1"/>
    <w:qFormat/>
    <w:rPr/>
  </w:style>
  <w:style w:type="character" w:styleId="WW8Num22z0">
    <w:name w:val="WW8Num22z0"/>
    <w:qFormat/>
    <w:rPr/>
  </w:style>
  <w:style w:type="character" w:styleId="WW8Num23z0">
    <w:name w:val="WW8Num23z0"/>
    <w:qFormat/>
    <w:rPr>
      <w:rFonts w:ascii="Arial" w:hAnsi="Arial"/>
      <w:sz w:val="22"/>
    </w:rPr>
  </w:style>
  <w:style w:type="character" w:styleId="WW8Num23z1">
    <w:name w:val="WW8Num23z1"/>
    <w:qFormat/>
    <w:rPr/>
  </w:style>
  <w:style w:type="character" w:styleId="WW8Num24z0">
    <w:name w:val="WW8Num24z0"/>
    <w:qFormat/>
    <w:rPr>
      <w:u w:val="single"/>
    </w:rPr>
  </w:style>
  <w:style w:type="character" w:styleId="WW8Num24z1">
    <w:name w:val="WW8Num24z1"/>
    <w:qFormat/>
    <w:rPr>
      <w:b/>
      <w:sz w:val="22"/>
      <w:u w:val="none"/>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b/>
      <w:sz w:val="22"/>
      <w:u w:val="none"/>
    </w:rPr>
  </w:style>
  <w:style w:type="character" w:styleId="WW8Num26z2">
    <w:name w:val="WW8Num26z2"/>
    <w:qFormat/>
    <w:rPr>
      <w:b/>
      <w:sz w:val="22"/>
    </w:rPr>
  </w:style>
  <w:style w:type="character" w:styleId="WW8Num26z3">
    <w:name w:val="WW8Num26z3"/>
    <w:qFormat/>
    <w:rPr/>
  </w:style>
  <w:style w:type="character" w:styleId="WW8Num27z0">
    <w:name w:val="WW8Num27z0"/>
    <w:qFormat/>
    <w:rPr/>
  </w:style>
  <w:style w:type="character" w:styleId="WW8Num27z1">
    <w:name w:val="WW8Num27z1"/>
    <w:qFormat/>
    <w:rPr>
      <w:rFonts w:ascii="Arial" w:hAnsi="Arial" w:eastAsia="SimSun;宋体"/>
    </w:rPr>
  </w:style>
  <w:style w:type="character" w:styleId="WW8Num27z2">
    <w:name w:val="WW8Num27z2"/>
    <w:qFormat/>
    <w:rPr/>
  </w:style>
  <w:style w:type="character" w:styleId="WW8Num28z0">
    <w:name w:val="WW8Num28z0"/>
    <w:qFormat/>
    <w:rPr/>
  </w:style>
  <w:style w:type="character" w:styleId="WW8Num28z1">
    <w:name w:val="WW8Num28z1"/>
    <w:qFormat/>
    <w:rPr/>
  </w:style>
  <w:style w:type="character" w:styleId="WW8Num29z0">
    <w:name w:val="WW8Num29z0"/>
    <w:qFormat/>
    <w:rPr>
      <w:rFonts w:ascii="Calibri" w:hAnsi="Calibri"/>
      <w:sz w:val="22"/>
    </w:rPr>
  </w:style>
  <w:style w:type="character" w:styleId="WW8Num29z1">
    <w:name w:val="WW8Num29z1"/>
    <w:qFormat/>
    <w:rPr/>
  </w:style>
  <w:style w:type="character" w:styleId="WW8Num30z0">
    <w:name w:val="WW8Num30z0"/>
    <w:qFormat/>
    <w:rPr>
      <w:rFonts w:ascii="Arial" w:hAnsi="Arial"/>
      <w:color w:val="000000"/>
      <w:sz w:val="22"/>
    </w:rPr>
  </w:style>
  <w:style w:type="character" w:styleId="WW8Num30z1">
    <w:name w:val="WW8Num30z1"/>
    <w:qFormat/>
    <w:rPr/>
  </w:style>
  <w:style w:type="character" w:styleId="WW8Num31z0">
    <w:name w:val="WW8Num31z0"/>
    <w:qFormat/>
    <w:rPr>
      <w:sz w:val="22"/>
    </w:rPr>
  </w:style>
  <w:style w:type="character" w:styleId="WW8Num31z1">
    <w:name w:val="WW8Num31z1"/>
    <w:qFormat/>
    <w:rPr/>
  </w:style>
  <w:style w:type="character" w:styleId="WW8Num32z0">
    <w:name w:val="WW8Num32z0"/>
    <w:qFormat/>
    <w:rPr>
      <w:rFonts w:ascii="Arial" w:hAnsi="Arial"/>
      <w:sz w:val="22"/>
    </w:rPr>
  </w:style>
  <w:style w:type="character" w:styleId="WW8Num32z1">
    <w:name w:val="WW8Num32z1"/>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z w:val="22"/>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Arial" w:hAnsi="Arial"/>
      <w:sz w:val="22"/>
    </w:rPr>
  </w:style>
  <w:style w:type="character" w:styleId="WW8Num35z1">
    <w:name w:val="WW8Num35z1"/>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color w:val="000000"/>
      <w:sz w:val="22"/>
    </w:rPr>
  </w:style>
  <w:style w:type="character" w:styleId="WW8Num38z0">
    <w:name w:val="WW8Num38z0"/>
    <w:qFormat/>
    <w:rPr/>
  </w:style>
  <w:style w:type="character" w:styleId="WW8Num38z1">
    <w:name w:val="WW8Num38z1"/>
    <w:qFormat/>
    <w:rPr/>
  </w:style>
  <w:style w:type="character" w:styleId="WW8Num39z0">
    <w:name w:val="WW8Num39z0"/>
    <w:qFormat/>
    <w:rPr>
      <w:sz w:val="22"/>
    </w:rPr>
  </w:style>
  <w:style w:type="character" w:styleId="WW8Num39z1">
    <w:name w:val="WW8Num39z1"/>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2"/>
    </w:rPr>
  </w:style>
  <w:style w:type="character" w:styleId="WW8Num43z1">
    <w:name w:val="WW8Num43z1"/>
    <w:qFormat/>
    <w:rPr>
      <w:u w:val="none"/>
    </w:rPr>
  </w:style>
  <w:style w:type="character" w:styleId="WW8Num43z2">
    <w:name w:val="WW8Num43z2"/>
    <w:qFormat/>
    <w:rPr/>
  </w:style>
  <w:style w:type="character" w:styleId="CarCar23">
    <w:name w:val="Car Car23"/>
    <w:qFormat/>
    <w:rPr>
      <w:rFonts w:ascii="Cambria" w:hAnsi="Cambria"/>
      <w:b/>
      <w:color w:val="00000A"/>
      <w:kern w:val="2"/>
      <w:sz w:val="32"/>
      <w:lang w:val="ca-ES" w:eastAsia="zh-CN"/>
    </w:rPr>
  </w:style>
  <w:style w:type="character" w:styleId="CarCar22">
    <w:name w:val="Car Car22"/>
    <w:qFormat/>
    <w:rPr>
      <w:rFonts w:ascii="Cambria" w:hAnsi="Cambria"/>
      <w:b/>
      <w:i/>
      <w:color w:val="00000A"/>
      <w:sz w:val="28"/>
      <w:lang w:val="ca-ES" w:eastAsia="zh-CN"/>
    </w:rPr>
  </w:style>
  <w:style w:type="character" w:styleId="CarCar21">
    <w:name w:val="Car Car21"/>
    <w:qFormat/>
    <w:rPr>
      <w:rFonts w:ascii="Cambria" w:hAnsi="Cambria"/>
      <w:b/>
      <w:color w:val="00000A"/>
      <w:sz w:val="26"/>
      <w:lang w:val="ca-ES" w:eastAsia="zh-CN"/>
    </w:rPr>
  </w:style>
  <w:style w:type="character" w:styleId="CarCar20">
    <w:name w:val="Car Car20"/>
    <w:qFormat/>
    <w:rPr>
      <w:rFonts w:ascii="Calibri" w:hAnsi="Calibri"/>
      <w:b/>
      <w:color w:val="00000A"/>
      <w:sz w:val="28"/>
      <w:lang w:val="ca-ES" w:eastAsia="zh-CN"/>
    </w:rPr>
  </w:style>
  <w:style w:type="character" w:styleId="CarCar19">
    <w:name w:val="Car Car19"/>
    <w:qFormat/>
    <w:rPr>
      <w:rFonts w:ascii="Calibri" w:hAnsi="Calibri"/>
      <w:b/>
      <w:i/>
      <w:color w:val="00000A"/>
      <w:sz w:val="26"/>
      <w:lang w:val="ca-ES" w:eastAsia="zh-CN"/>
    </w:rPr>
  </w:style>
  <w:style w:type="character" w:styleId="CarCar18">
    <w:name w:val="Car Car18"/>
    <w:qFormat/>
    <w:rPr>
      <w:rFonts w:ascii="Calibri" w:hAnsi="Calibri"/>
      <w:b/>
      <w:color w:val="00000A"/>
      <w:lang w:val="ca-ES" w:eastAsia="zh-CN"/>
    </w:rPr>
  </w:style>
  <w:style w:type="character" w:styleId="CarCar17">
    <w:name w:val="Car Car17"/>
    <w:qFormat/>
    <w:rPr>
      <w:rFonts w:ascii="Arial" w:hAnsi="Arial" w:eastAsia="SimSun;宋体"/>
      <w:b/>
      <w:color w:val="00000A"/>
      <w:sz w:val="22"/>
      <w:lang w:val="ca-ES" w:eastAsia="zh-CN"/>
    </w:rPr>
  </w:style>
  <w:style w:type="character" w:styleId="CarCar16">
    <w:name w:val="Car Car16"/>
    <w:qFormat/>
    <w:rPr>
      <w:rFonts w:ascii="Arial" w:hAnsi="Arial" w:eastAsia="SimSun;宋体"/>
      <w:b/>
      <w:color w:val="00000A"/>
      <w:sz w:val="22"/>
      <w:lang w:val="ca-ES" w:eastAsia="zh-CN"/>
    </w:rPr>
  </w:style>
  <w:style w:type="character" w:styleId="CarCar15">
    <w:name w:val="Car Car15"/>
    <w:qFormat/>
    <w:rPr>
      <w:rFonts w:ascii="Cambria" w:hAnsi="Cambria"/>
      <w:color w:val="00000A"/>
      <w:lang w:val="ca-ES" w:eastAsia="zh-C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u w:val="none"/>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8z1">
    <w:name w:val="WW8Num8z1"/>
    <w:qFormat/>
    <w:rPr>
      <w:b/>
      <w:sz w:val="22"/>
      <w:u w:val="none"/>
    </w:rPr>
  </w:style>
  <w:style w:type="character" w:styleId="WW8Num8z2">
    <w:name w:val="WW8Num8z2"/>
    <w:qFormat/>
    <w:rPr>
      <w:b/>
    </w:rPr>
  </w:style>
  <w:style w:type="character" w:styleId="WW8Num8z3">
    <w:name w:val="WW8Num8z3"/>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3">
    <w:name w:val="WW8Num10z3"/>
    <w:qFormat/>
    <w:rPr/>
  </w:style>
  <w:style w:type="character" w:styleId="WW8Num11z3">
    <w:name w:val="WW8Num11z3"/>
    <w:qFormat/>
    <w:rPr>
      <w:rFonts w:ascii="Symbol" w:hAnsi="Symbol"/>
    </w:rPr>
  </w:style>
  <w:style w:type="character" w:styleId="WW8Num15z2">
    <w:name w:val="WW8Num15z2"/>
    <w:qFormat/>
    <w:rPr>
      <w:rFonts w:ascii="Wingdings" w:hAnsi="Wingdings"/>
    </w:rPr>
  </w:style>
  <w:style w:type="character" w:styleId="WW8Num15z3">
    <w:name w:val="WW8Num15z3"/>
    <w:qFormat/>
    <w:rPr>
      <w:rFonts w:ascii="Symbol" w:hAnsi="Symbol"/>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Pagenumber">
    <w:name w:val="page number"/>
    <w:basedOn w:val="DefaultParagraphFont"/>
    <w:qFormat/>
    <w:rPr>
      <w:rFonts w:cs="Times New Roman"/>
    </w:rPr>
  </w:style>
  <w:style w:type="character" w:styleId="EnlacedeInternet">
    <w:name w:val="Enlace de Internet"/>
    <w:qFormat/>
    <w:rPr>
      <w:color w:val="0000FF"/>
      <w:u w:val="single"/>
    </w:rPr>
  </w:style>
  <w:style w:type="character" w:styleId="Caracteresdenotaalpie">
    <w:name w:val="Caracteres de nota al pie"/>
    <w:qFormat/>
    <w:rPr>
      <w:vertAlign w:val="superscript"/>
    </w:rPr>
  </w:style>
  <w:style w:type="character" w:styleId="EncabezadoCar">
    <w:name w:val="Encabezado Car"/>
    <w:qFormat/>
    <w:rPr>
      <w:rFonts w:ascii="Arial" w:hAnsi="Arial"/>
      <w:lang w:val="ca-ES"/>
    </w:rPr>
  </w:style>
  <w:style w:type="character" w:styleId="TextodegloboCar">
    <w:name w:val="Texto de globo Car"/>
    <w:qFormat/>
    <w:rPr>
      <w:rFonts w:ascii="Tahoma" w:hAnsi="Tahoma"/>
      <w:sz w:val="16"/>
      <w:lang w:val="ca-ES"/>
    </w:rPr>
  </w:style>
  <w:style w:type="character" w:styleId="34754876">
    <w:name w:val="34754876"/>
    <w:qFormat/>
    <w:rPr>
      <w:rFonts w:ascii="Arial" w:hAnsi="Arial"/>
      <w:color w:val="000080"/>
      <w:sz w:val="20"/>
    </w:rPr>
  </w:style>
  <w:style w:type="character" w:styleId="Muydestacado">
    <w:name w:val="Muy destacado"/>
    <w:qFormat/>
    <w:rPr>
      <w:b/>
    </w:rPr>
  </w:style>
  <w:style w:type="character" w:styleId="Hps">
    <w:name w:val="hps"/>
    <w:qFormat/>
    <w:rPr/>
  </w:style>
  <w:style w:type="character" w:styleId="CarCar7">
    <w:name w:val="Car Car7"/>
    <w:qFormat/>
    <w:rPr>
      <w:rFonts w:ascii="Courier New" w:hAnsi="Courier New"/>
      <w:color w:val="00000A"/>
      <w:sz w:val="20"/>
      <w:lang w:val="ca-ES" w:eastAsia="zh-CN"/>
    </w:rPr>
  </w:style>
  <w:style w:type="character" w:styleId="CarCar1">
    <w:name w:val="Car Car1"/>
    <w:qFormat/>
    <w:rPr>
      <w:rFonts w:ascii="Arial" w:hAnsi="Arial"/>
      <w:color w:val="00000A"/>
      <w:sz w:val="20"/>
      <w:lang w:val="ca-ES" w:eastAsia="zh-CN"/>
    </w:rPr>
  </w:style>
  <w:style w:type="character" w:styleId="Destacado">
    <w:name w:val="Destacado"/>
    <w:qFormat/>
    <w:rPr>
      <w:i/>
    </w:rPr>
  </w:style>
  <w:style w:type="character" w:styleId="CarCar8">
    <w:name w:val="Car Car8"/>
    <w:qFormat/>
    <w:rPr>
      <w:rFonts w:ascii="Arial" w:hAnsi="Arial"/>
      <w:color w:val="00000A"/>
      <w:sz w:val="16"/>
      <w:lang w:val="ca-ES" w:eastAsia="zh-CN"/>
    </w:rPr>
  </w:style>
  <w:style w:type="character" w:styleId="CarCar5">
    <w:name w:val="Car Car5"/>
    <w:qFormat/>
    <w:rPr>
      <w:rFonts w:ascii="Arial" w:hAnsi="Arial"/>
      <w:color w:val="00000A"/>
      <w:sz w:val="20"/>
      <w:lang w:val="ca-ES" w:eastAsia="zh-CN"/>
    </w:rPr>
  </w:style>
  <w:style w:type="character" w:styleId="CarCar3">
    <w:name w:val="Car Car3"/>
    <w:qFormat/>
    <w:rPr>
      <w:rFonts w:ascii="Arial" w:hAnsi="Arial"/>
      <w:color w:val="00000A"/>
      <w:sz w:val="20"/>
      <w:lang w:val="ca-ES" w:eastAsia="zh-CN"/>
    </w:rPr>
  </w:style>
  <w:style w:type="character" w:styleId="Annotationreference">
    <w:name w:val="annotation reference"/>
    <w:basedOn w:val="DefaultParagraphFont"/>
    <w:qFormat/>
    <w:rPr>
      <w:rFonts w:cs="Times New Roman"/>
      <w:sz w:val="16"/>
    </w:rPr>
  </w:style>
  <w:style w:type="character" w:styleId="CarCar">
    <w:name w:val="Car Car"/>
    <w:qFormat/>
    <w:rPr>
      <w:rFonts w:ascii="Arial" w:hAnsi="Arial"/>
      <w:b/>
      <w:color w:val="00000A"/>
      <w:sz w:val="20"/>
      <w:lang w:val="ca-ES" w:eastAsia="zh-CN"/>
    </w:rPr>
  </w:style>
  <w:style w:type="character" w:styleId="CarCar4">
    <w:name w:val="Car Car4"/>
    <w:qFormat/>
    <w:rPr>
      <w:rFonts w:ascii="Arial" w:hAnsi="Arial"/>
      <w:color w:val="00000A"/>
      <w:sz w:val="16"/>
      <w:lang w:val="ca-ES" w:eastAsia="zh-CN"/>
    </w:rPr>
  </w:style>
  <w:style w:type="character" w:styleId="Valorcamps">
    <w:name w:val="valorcamps"/>
    <w:qFormat/>
    <w:rPr/>
  </w:style>
  <w:style w:type="character" w:styleId="CarCar2">
    <w:name w:val="Car Car2"/>
    <w:qFormat/>
    <w:rPr>
      <w:rFonts w:ascii="Times New Roman" w:hAnsi="Times New Roman"/>
      <w:color w:val="00000A"/>
      <w:sz w:val="2"/>
      <w:lang w:val="ca-ES" w:eastAsia="zh-CN"/>
    </w:rPr>
  </w:style>
  <w:style w:type="character" w:styleId="NormalindexCar">
    <w:name w:val="Normal_index Car"/>
    <w:qFormat/>
    <w:rPr>
      <w:rFonts w:ascii="Arial" w:hAnsi="Arial"/>
      <w:lang w:val="es-ES"/>
    </w:rPr>
  </w:style>
  <w:style w:type="character" w:styleId="CarCar6">
    <w:name w:val="Car Car6"/>
    <w:qFormat/>
    <w:rPr>
      <w:rFonts w:ascii="Arial" w:hAnsi="Arial"/>
      <w:color w:val="00000A"/>
      <w:sz w:val="20"/>
      <w:lang w:val="ca-ES" w:eastAsia="zh-CN"/>
    </w:rPr>
  </w:style>
  <w:style w:type="character" w:styleId="INDEXPLECCarCar">
    <w:name w:val="INDEX- PLEC Car Car"/>
    <w:qFormat/>
    <w:rPr>
      <w:rFonts w:ascii="Arial" w:hAnsi="Arial"/>
      <w:lang w:val="ca-ES"/>
    </w:rPr>
  </w:style>
  <w:style w:type="character" w:styleId="Smbolosdenumeracin">
    <w:name w:val="Símbolos de numeración"/>
    <w:qFormat/>
    <w:rPr/>
  </w:style>
  <w:style w:type="character" w:styleId="CarCar14">
    <w:name w:val="Car Car14"/>
    <w:qFormat/>
    <w:rPr>
      <w:rFonts w:ascii="Arial" w:hAnsi="Arial"/>
      <w:color w:val="00000A"/>
      <w:sz w:val="20"/>
      <w:lang w:val="ca-ES" w:eastAsia="zh-CN"/>
    </w:rPr>
  </w:style>
  <w:style w:type="character" w:styleId="CarCar13">
    <w:name w:val="Car Car13"/>
    <w:qFormat/>
    <w:rPr>
      <w:rFonts w:ascii="Cambria" w:hAnsi="Cambria"/>
      <w:b/>
      <w:color w:val="00000A"/>
      <w:kern w:val="2"/>
      <w:sz w:val="32"/>
      <w:lang w:val="ca-ES" w:eastAsia="zh-CN"/>
    </w:rPr>
  </w:style>
  <w:style w:type="character" w:styleId="CarCar12">
    <w:name w:val="Car Car12"/>
    <w:qFormat/>
    <w:rPr>
      <w:rFonts w:ascii="Arial" w:hAnsi="Arial"/>
      <w:color w:val="00000A"/>
      <w:sz w:val="20"/>
      <w:lang w:val="ca-ES" w:eastAsia="zh-CN"/>
    </w:rPr>
  </w:style>
  <w:style w:type="character" w:styleId="CarCar11">
    <w:name w:val="Car Car11"/>
    <w:qFormat/>
    <w:rPr>
      <w:rFonts w:ascii="Arial" w:hAnsi="Arial"/>
      <w:color w:val="00000A"/>
      <w:sz w:val="20"/>
      <w:lang w:val="ca-ES" w:eastAsia="zh-CN"/>
    </w:rPr>
  </w:style>
  <w:style w:type="character" w:styleId="CarCar10">
    <w:name w:val="Car Car10"/>
    <w:qFormat/>
    <w:rPr>
      <w:rFonts w:ascii="Arial" w:hAnsi="Arial"/>
      <w:color w:val="00000A"/>
      <w:sz w:val="20"/>
      <w:lang w:val="ca-ES" w:eastAsia="zh-CN"/>
    </w:rPr>
  </w:style>
  <w:style w:type="character" w:styleId="CarCar9">
    <w:name w:val="Car Car9"/>
    <w:qFormat/>
    <w:rPr>
      <w:rFonts w:ascii="Times New Roman" w:hAnsi="Times New Roman"/>
      <w:color w:val="00000A"/>
      <w:sz w:val="2"/>
      <w:lang w:val="ca-ES" w:eastAsia="zh-CN"/>
    </w:rPr>
  </w:style>
  <w:style w:type="character" w:styleId="PlaceholderText">
    <w:name w:val="Placeholder Text"/>
    <w:basedOn w:val="DefaultParagraphFont"/>
    <w:qFormat/>
    <w:rPr>
      <w:rFonts w:cs="Times New Roman"/>
      <w:color w:val="808080"/>
    </w:rPr>
  </w:style>
  <w:style w:type="character" w:styleId="CITE">
    <w:name w:val="CITE"/>
    <w:qFormat/>
    <w:rPr>
      <w:i/>
    </w:rPr>
  </w:style>
  <w:style w:type="character" w:styleId="CODE">
    <w:name w:val="CODE"/>
    <w:qFormat/>
    <w:rPr>
      <w:rFonts w:ascii="Courier New" w:hAnsi="Courier New"/>
      <w:sz w:val="20"/>
    </w:rPr>
  </w:style>
  <w:style w:type="character" w:styleId="EnlacedeInternetvisitado">
    <w:name w:val="Enlace de Internet visitado"/>
    <w:qFormat/>
    <w:rPr>
      <w:color w:val="800080"/>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Strong">
    <w:name w:val="Strong"/>
    <w:basedOn w:val="DefaultParagraphFont"/>
    <w:qFormat/>
    <w:rPr>
      <w:rFonts w:cs="Times New Roman"/>
      <w:b/>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character" w:styleId="TtuloCar">
    <w:name w:val="Título Car"/>
    <w:basedOn w:val="DefaultParagraphFont"/>
    <w:qFormat/>
    <w:rPr>
      <w:rFonts w:ascii="Cambria" w:hAnsi="Cambria" w:cs="Times New Roman"/>
      <w:b/>
      <w:bCs/>
      <w:color w:val="00000A"/>
      <w:kern w:val="2"/>
      <w:sz w:val="32"/>
      <w:szCs w:val="32"/>
      <w:lang w:val="ca-ES" w:eastAsia="zh-CN"/>
    </w:rPr>
  </w:style>
  <w:style w:type="character" w:styleId="TextoindependienteCar">
    <w:name w:val="Texto independiente Car"/>
    <w:basedOn w:val="DefaultParagraphFont"/>
    <w:qFormat/>
    <w:rPr>
      <w:rFonts w:ascii="Arial" w:hAnsi="Arial" w:eastAsia="SimSun;宋体" w:cs="Times New Roman"/>
      <w:color w:val="00000A"/>
      <w:sz w:val="20"/>
      <w:szCs w:val="20"/>
      <w:lang w:val="ca-ES" w:eastAsia="zh-CN"/>
    </w:rPr>
  </w:style>
  <w:style w:type="character" w:styleId="EncabezadoCar1">
    <w:name w:val="Encabezado Car1"/>
    <w:basedOn w:val="DefaultParagraphFont"/>
    <w:qFormat/>
    <w:rPr>
      <w:rFonts w:ascii="Arial" w:hAnsi="Arial" w:eastAsia="SimSun;宋体" w:cs="Times New Roman"/>
      <w:color w:val="00000A"/>
      <w:sz w:val="20"/>
      <w:szCs w:val="20"/>
      <w:lang w:val="ca-ES" w:eastAsia="zh-CN"/>
    </w:rPr>
  </w:style>
  <w:style w:type="character" w:styleId="PiedepginaCar">
    <w:name w:val="Pie de página Car"/>
    <w:basedOn w:val="DefaultParagraphFont"/>
    <w:qFormat/>
    <w:rPr>
      <w:rFonts w:ascii="Arial" w:hAnsi="Arial" w:eastAsia="SimSun;宋体" w:cs="Times New Roman"/>
      <w:color w:val="00000A"/>
      <w:sz w:val="20"/>
      <w:szCs w:val="20"/>
      <w:lang w:val="ca-ES" w:eastAsia="zh-CN"/>
    </w:rPr>
  </w:style>
  <w:style w:type="character" w:styleId="Textoindependiente2Car">
    <w:name w:val="Texto independiente 2 Car"/>
    <w:basedOn w:val="DefaultParagraphFont"/>
    <w:qFormat/>
    <w:rPr>
      <w:rFonts w:ascii="Arial" w:hAnsi="Arial" w:eastAsia="SimSun;宋体" w:cs="Times New Roman"/>
      <w:color w:val="00000A"/>
      <w:sz w:val="20"/>
      <w:szCs w:val="20"/>
      <w:lang w:val="ca-ES" w:eastAsia="zh-CN"/>
    </w:rPr>
  </w:style>
  <w:style w:type="character" w:styleId="MapadeldocumentoCar">
    <w:name w:val="Mapa del documento Car"/>
    <w:basedOn w:val="DefaultParagraphFont"/>
    <w:qFormat/>
    <w:rPr>
      <w:rFonts w:ascii="Times New Roman" w:hAnsi="Times New Roman" w:eastAsia="SimSun;宋体" w:cs="Times New Roman"/>
      <w:color w:val="00000A"/>
      <w:sz w:val="2"/>
      <w:lang w:val="ca-ES" w:eastAsia="zh-CN"/>
    </w:rPr>
  </w:style>
  <w:style w:type="character" w:styleId="Textoindependiente3Car">
    <w:name w:val="Texto independiente 3 Car"/>
    <w:basedOn w:val="DefaultParagraphFont"/>
    <w:qFormat/>
    <w:rPr>
      <w:rFonts w:ascii="Arial" w:hAnsi="Arial" w:eastAsia="SimSun;宋体" w:cs="Times New Roman"/>
      <w:color w:val="00000A"/>
      <w:sz w:val="16"/>
      <w:szCs w:val="16"/>
      <w:lang w:val="ca-ES" w:eastAsia="zh-CN"/>
    </w:rPr>
  </w:style>
  <w:style w:type="character" w:styleId="TextosinformatoCar">
    <w:name w:val="Texto sin formato Car"/>
    <w:basedOn w:val="DefaultParagraphFont"/>
    <w:qFormat/>
    <w:rPr>
      <w:rFonts w:ascii="Courier New" w:hAnsi="Courier New" w:eastAsia="SimSun;宋体" w:cs="Courier New"/>
      <w:color w:val="00000A"/>
      <w:sz w:val="20"/>
      <w:szCs w:val="20"/>
      <w:lang w:val="ca-ES" w:eastAsia="zh-CN"/>
    </w:rPr>
  </w:style>
  <w:style w:type="character" w:styleId="SangradetextonormalCar">
    <w:name w:val="Sangría de texto normal Car"/>
    <w:basedOn w:val="DefaultParagraphFont"/>
    <w:qFormat/>
    <w:rPr>
      <w:rFonts w:ascii="Arial" w:hAnsi="Arial" w:eastAsia="SimSun;宋体" w:cs="Times New Roman"/>
      <w:color w:val="00000A"/>
      <w:sz w:val="20"/>
      <w:szCs w:val="20"/>
      <w:lang w:val="ca-ES" w:eastAsia="zh-CN"/>
    </w:rPr>
  </w:style>
  <w:style w:type="character" w:styleId="Sangra2detindependienteCar">
    <w:name w:val="Sangría 2 de t. independiente Car"/>
    <w:basedOn w:val="DefaultParagraphFont"/>
    <w:qFormat/>
    <w:rPr>
      <w:rFonts w:ascii="Arial" w:hAnsi="Arial" w:eastAsia="SimSun;宋体" w:cs="Times New Roman"/>
      <w:color w:val="00000A"/>
      <w:sz w:val="20"/>
      <w:szCs w:val="20"/>
      <w:lang w:val="ca-ES" w:eastAsia="zh-CN"/>
    </w:rPr>
  </w:style>
  <w:style w:type="character" w:styleId="Sangra3detindependienteCar">
    <w:name w:val="Sangría 3 de t. independiente Car"/>
    <w:basedOn w:val="DefaultParagraphFont"/>
    <w:qFormat/>
    <w:rPr>
      <w:rFonts w:ascii="Arial" w:hAnsi="Arial" w:eastAsia="SimSun;宋体" w:cs="Times New Roman"/>
      <w:color w:val="00000A"/>
      <w:sz w:val="16"/>
      <w:szCs w:val="16"/>
      <w:lang w:val="ca-ES" w:eastAsia="zh-CN"/>
    </w:rPr>
  </w:style>
  <w:style w:type="character" w:styleId="TextonotapieCar">
    <w:name w:val="Texto nota pie Car"/>
    <w:basedOn w:val="DefaultParagraphFont"/>
    <w:qFormat/>
    <w:rPr>
      <w:rFonts w:ascii="Arial" w:hAnsi="Arial" w:eastAsia="SimSun;宋体" w:cs="Times New Roman"/>
      <w:color w:val="00000A"/>
      <w:sz w:val="20"/>
      <w:szCs w:val="20"/>
      <w:lang w:val="ca-ES" w:eastAsia="zh-CN"/>
    </w:rPr>
  </w:style>
  <w:style w:type="character" w:styleId="TextodegloboCar1">
    <w:name w:val="Texto de globo Car1"/>
    <w:basedOn w:val="DefaultParagraphFont"/>
    <w:qFormat/>
    <w:rPr>
      <w:rFonts w:ascii="Times New Roman" w:hAnsi="Times New Roman" w:eastAsia="SimSun;宋体" w:cs="Times New Roman"/>
      <w:color w:val="00000A"/>
      <w:sz w:val="2"/>
      <w:lang w:val="ca-ES" w:eastAsia="zh-CN"/>
    </w:rPr>
  </w:style>
  <w:style w:type="character" w:styleId="TextocomentarioCar">
    <w:name w:val="Texto comentario Car"/>
    <w:basedOn w:val="DefaultParagraphFont"/>
    <w:qFormat/>
    <w:rPr>
      <w:rFonts w:ascii="Arial" w:hAnsi="Arial" w:eastAsia="SimSun;宋体" w:cs="Times New Roman"/>
      <w:color w:val="00000A"/>
      <w:sz w:val="20"/>
      <w:szCs w:val="20"/>
      <w:lang w:val="ca-ES" w:eastAsia="zh-CN"/>
    </w:rPr>
  </w:style>
  <w:style w:type="character" w:styleId="AsuntodelcomentarioCar">
    <w:name w:val="Asunto del comentario Car"/>
    <w:basedOn w:val="TextocomentarioCar"/>
    <w:qFormat/>
    <w:rPr>
      <w:rFonts w:ascii="Arial" w:hAnsi="Arial" w:eastAsia="SimSun;宋体" w:cs="Times New Roman"/>
      <w:b/>
      <w:bCs/>
      <w:color w:val="00000A"/>
      <w:sz w:val="20"/>
      <w:szCs w:val="20"/>
      <w:lang w:val="ca-ES" w:eastAsia="zh-CN"/>
    </w:rPr>
  </w:style>
  <w:style w:type="character" w:styleId="EnlladInternet">
    <w:name w:val="Enllaç d'Internet"/>
    <w:basedOn w:val="DefaultParagraphFont"/>
    <w:rPr>
      <w:color w:val="0000FF"/>
      <w:u w:val="single"/>
    </w:rPr>
  </w:style>
  <w:style w:type="character" w:styleId="Smbolsdenumeraci">
    <w:name w:val="Símbols de numeració"/>
    <w:qFormat/>
    <w:rPr/>
  </w:style>
  <w:style w:type="character" w:styleId="WWEnlladInternet">
    <w:name w:val="WW-Enllaç d'Internet"/>
    <w:qFormat/>
    <w:rPr>
      <w:color w:val="0000FF"/>
      <w:u w:val="single"/>
    </w:rPr>
  </w:style>
  <w:style w:type="paragraph" w:styleId="Encapalament">
    <w:name w:val="Encapçalament"/>
    <w:basedOn w:val="Normal"/>
    <w:next w:val="Cosdeltext"/>
    <w:qFormat/>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pPr/>
    <w:rPr>
      <w:rFonts w:ascii="Times New Roman" w:hAnsi="Times New Roman" w:cs="Times New Roman"/>
      <w:sz w:val="28"/>
      <w:lang w:val="es-ES"/>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Lucida Sans;Times New Roman"/>
    </w:rPr>
  </w:style>
  <w:style w:type="paragraph" w:styleId="Caption">
    <w:name w:val="caption"/>
    <w:basedOn w:val="Normal"/>
    <w:qFormat/>
    <w:pPr>
      <w:suppressLineNumbers/>
      <w:spacing w:before="120" w:after="120"/>
    </w:pPr>
    <w:rPr>
      <w:rFonts w:cs="Lucida Sans;Times New Roman"/>
      <w:i/>
      <w:iCs/>
      <w:sz w:val="24"/>
      <w:szCs w:val="24"/>
    </w:rPr>
  </w:style>
  <w:style w:type="paragraph" w:styleId="Epgrafe1">
    <w:name w:val="Epígrafe1"/>
    <w:basedOn w:val="Normal"/>
    <w:qFormat/>
    <w:pPr>
      <w:suppressLineNumbers/>
      <w:spacing w:before="120" w:after="120"/>
    </w:pPr>
    <w:rPr>
      <w:i/>
      <w:iCs/>
      <w:sz w:val="24"/>
      <w:szCs w:val="24"/>
    </w:rPr>
  </w:style>
  <w:style w:type="paragraph" w:styleId="Ttol">
    <w:name w:val="Title"/>
    <w:basedOn w:val="Normal"/>
    <w:next w:val="Cosdeltext"/>
    <w:qFormat/>
    <w:pPr>
      <w:keepNext w:val="true"/>
      <w:spacing w:before="240" w:after="120"/>
    </w:pPr>
    <w:rPr>
      <w:rFonts w:ascii="Liberation Sans;Arial" w:hAnsi="Liberation Sans;Arial" w:eastAsia="Microsoft YaHei" w:cs="Liberation Sans;Arial"/>
      <w:sz w:val="28"/>
      <w:szCs w:val="28"/>
    </w:rPr>
  </w:style>
  <w:style w:type="paragraph" w:styleId="Ndice">
    <w:name w:val="Índice"/>
    <w:basedOn w:val="Normal"/>
    <w:qFormat/>
    <w:pPr>
      <w:suppressLineNumbers/>
    </w:pPr>
    <w:rPr/>
  </w:style>
  <w:style w:type="paragraph" w:styleId="Capaleraipeu">
    <w:name w:val="Capçalera i peu"/>
    <w:basedOn w:val="Normal"/>
    <w:qFormat/>
    <w:pPr>
      <w:suppressLineNumbers/>
      <w:tabs>
        <w:tab w:val="clear" w:pos="720"/>
        <w:tab w:val="center" w:pos="4819" w:leader="none"/>
        <w:tab w:val="right" w:pos="9638" w:leader="none"/>
      </w:tab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
    <w:name w:val="Header"/>
    <w:basedOn w:val="Normal"/>
    <w:pPr/>
    <w:rPr/>
  </w:style>
  <w:style w:type="paragraph" w:styleId="Peudepgina">
    <w:name w:val="Footer"/>
    <w:basedOn w:val="Normal"/>
    <w:pPr/>
    <w:rPr/>
  </w:style>
  <w:style w:type="paragraph" w:styleId="Autocorreccin">
    <w:name w:val="Autocorrección"/>
    <w:qFormat/>
    <w:pPr>
      <w:widowControl/>
      <w:suppressAutoHyphens w:val="true"/>
      <w:overflowPunct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qFormat/>
    <w:pPr>
      <w:ind w:left="-142" w:right="-2001" w:hanging="0"/>
    </w:pPr>
    <w:rPr>
      <w:color w:val="000000"/>
      <w:sz w:val="24"/>
      <w:lang w:val="en-US"/>
    </w:rPr>
  </w:style>
  <w:style w:type="paragraph" w:styleId="BodyText2">
    <w:name w:val="Body Text 2"/>
    <w:basedOn w:val="Normal"/>
    <w:qFormat/>
    <w:pPr>
      <w:ind w:left="0" w:right="-1" w:hanging="0"/>
      <w:jc w:val="both"/>
    </w:pPr>
    <w:rPr/>
  </w:style>
  <w:style w:type="paragraph" w:styleId="DocumentMap">
    <w:name w:val="Document Map"/>
    <w:basedOn w:val="Normal"/>
    <w:qFormat/>
    <w:pPr>
      <w:shd w:val="clear" w:fill="000080"/>
    </w:pPr>
    <w:rPr>
      <w:rFonts w:ascii="Tahoma" w:hAnsi="Tahoma" w:cs="Tahoma"/>
    </w:rPr>
  </w:style>
  <w:style w:type="paragraph" w:styleId="BodyText3">
    <w:name w:val="Body Text 3"/>
    <w:basedOn w:val="Normal"/>
    <w:qFormat/>
    <w:pPr>
      <w:jc w:val="both"/>
    </w:pPr>
    <w:rPr>
      <w:lang w:val="es-ES"/>
    </w:rPr>
  </w:style>
  <w:style w:type="paragraph" w:styleId="PlainText">
    <w:name w:val="Plain Text"/>
    <w:basedOn w:val="Normal"/>
    <w:qFormat/>
    <w:pPr/>
    <w:rPr>
      <w:rFonts w:ascii="Courier New" w:hAnsi="Courier New" w:cs="Courier New"/>
    </w:rPr>
  </w:style>
  <w:style w:type="paragraph" w:styleId="Sagnatdelcosdeltext">
    <w:name w:val="Body Text Indent"/>
    <w:basedOn w:val="Normal"/>
    <w:pPr>
      <w:ind w:left="360" w:right="0" w:hanging="0"/>
      <w:jc w:val="both"/>
    </w:pPr>
    <w:rPr>
      <w:sz w:val="22"/>
    </w:rPr>
  </w:style>
  <w:style w:type="paragraph" w:styleId="BodyTextIndent2">
    <w:name w:val="Body Text Indent 2"/>
    <w:basedOn w:val="Normal"/>
    <w:qFormat/>
    <w:pPr>
      <w:ind w:left="426" w:right="0" w:hanging="0"/>
      <w:jc w:val="both"/>
    </w:pPr>
    <w:rPr>
      <w:sz w:val="22"/>
    </w:rPr>
  </w:style>
  <w:style w:type="paragraph" w:styleId="BodyTextIndent3">
    <w:name w:val="Body Text Indent 3"/>
    <w:basedOn w:val="Normal"/>
    <w:qFormat/>
    <w:pPr>
      <w:ind w:left="426" w:right="0" w:hanging="426"/>
      <w:jc w:val="both"/>
    </w:pPr>
    <w:rPr>
      <w:sz w:val="22"/>
    </w:rPr>
  </w:style>
  <w:style w:type="paragraph" w:styleId="Textopredeterminado">
    <w:name w:val="Texto predeterminado"/>
    <w:basedOn w:val="Normal"/>
    <w:qFormat/>
    <w:pPr/>
    <w:rPr>
      <w:rFonts w:ascii="Times New Roman" w:hAnsi="Times New Roman" w:cs="Times New Roman"/>
      <w:sz w:val="24"/>
    </w:rPr>
  </w:style>
  <w:style w:type="paragraph" w:styleId="Estndar">
    <w:name w:val="Estándar"/>
    <w:basedOn w:val="Normal"/>
    <w:qFormat/>
    <w:pPr/>
    <w:rPr>
      <w:rFonts w:ascii="Times New Roman" w:hAnsi="Times New Roman" w:cs="Times New Roman"/>
      <w:sz w:val="24"/>
    </w:rPr>
  </w:style>
  <w:style w:type="paragraph" w:styleId="Default">
    <w:name w:val="Default"/>
    <w:qFormat/>
    <w:pPr>
      <w:widowControl/>
      <w:suppressAutoHyphens w:val="true"/>
      <w:overflowPunct w:val="true"/>
      <w:bidi w:val="0"/>
      <w:spacing w:before="0" w:after="0"/>
      <w:jc w:val="left"/>
    </w:pPr>
    <w:rPr>
      <w:rFonts w:ascii="Arial" w:hAnsi="Arial" w:eastAsia="SimSun;宋体" w:cs="Arial"/>
      <w:color w:val="000000"/>
      <w:kern w:val="0"/>
      <w:sz w:val="24"/>
      <w:szCs w:val="20"/>
      <w:lang w:val="es-ES" w:eastAsia="zh-CN" w:bidi="ar-SA"/>
    </w:rPr>
  </w:style>
  <w:style w:type="paragraph" w:styleId="Quadro">
    <w:name w:val="quadro"/>
    <w:basedOn w:val="Normal"/>
    <w:qFormat/>
    <w:pPr>
      <w:keepNext w:val="true"/>
      <w:keepLines/>
      <w:jc w:val="both"/>
    </w:pPr>
    <w:rPr>
      <w:rFonts w:ascii="Times New Roman" w:hAnsi="Times New Roman" w:cs="Times New Roman"/>
    </w:rPr>
  </w:style>
  <w:style w:type="paragraph" w:styleId="NormalWeb">
    <w:name w:val="Normal (Web)"/>
    <w:basedOn w:val="Normal"/>
    <w:qFormat/>
    <w:pPr>
      <w:spacing w:before="100" w:after="100"/>
    </w:pPr>
    <w:rPr>
      <w:rFonts w:ascii="Times New Roman" w:hAnsi="Times New Roman" w:cs="Times New Roman"/>
      <w:sz w:val="24"/>
      <w:lang w:val="es-ES"/>
    </w:rPr>
  </w:style>
  <w:style w:type="paragraph" w:styleId="Notaalpeu">
    <w:name w:val="Footnote Text"/>
    <w:basedOn w:val="Normal"/>
    <w:pPr/>
    <w:rPr/>
  </w:style>
  <w:style w:type="paragraph" w:styleId="BalloonText">
    <w:name w:val="Balloon Text"/>
    <w:basedOn w:val="Normal"/>
    <w:qFormat/>
    <w:pPr/>
    <w:rPr>
      <w:rFonts w:ascii="Tahoma" w:hAnsi="Tahoma" w:cs="Wingdings"/>
      <w:sz w:val="16"/>
      <w:szCs w:val="16"/>
    </w:rPr>
  </w:style>
  <w:style w:type="paragraph" w:styleId="Blockquote">
    <w:name w:val="Blockquote"/>
    <w:basedOn w:val="Normal"/>
    <w:qFormat/>
    <w:pPr>
      <w:spacing w:before="100" w:after="100"/>
      <w:ind w:left="360" w:right="360" w:hanging="0"/>
    </w:pPr>
    <w:rPr>
      <w:rFonts w:ascii="Times New Roman" w:hAnsi="Times New Roman" w:cs="Times New Roman"/>
      <w:sz w:val="24"/>
      <w:lang w:val="es-ES"/>
    </w:rPr>
  </w:style>
  <w:style w:type="paragraph" w:styleId="Titol1">
    <w:name w:val="titol 1"/>
    <w:basedOn w:val="Encapalament1"/>
    <w:qFormat/>
    <w:pPr>
      <w:numPr>
        <w:ilvl w:val="0"/>
        <w:numId w:val="0"/>
      </w:numPr>
      <w:spacing w:lineRule="auto" w:line="360" w:before="0" w:after="0"/>
      <w:jc w:val="both"/>
    </w:pPr>
    <w:rPr>
      <w:sz w:val="22"/>
    </w:rPr>
  </w:style>
  <w:style w:type="paragraph" w:styleId="Annotationtext">
    <w:name w:val="annotation text"/>
    <w:basedOn w:val="Normal"/>
    <w:qFormat/>
    <w:pPr/>
    <w:rPr/>
  </w:style>
  <w:style w:type="paragraph" w:styleId="Annotationsubject">
    <w:name w:val="annotation subject"/>
    <w:basedOn w:val="Annotationtext"/>
    <w:qFormat/>
    <w:pPr/>
    <w:rPr>
      <w:b/>
      <w:bCs/>
    </w:rPr>
  </w:style>
  <w:style w:type="paragraph" w:styleId="ListParagraph">
    <w:name w:val="List Paragraph"/>
    <w:basedOn w:val="Normal"/>
    <w:qFormat/>
    <w:pPr>
      <w:spacing w:lineRule="auto" w:line="276" w:before="0" w:after="200"/>
      <w:ind w:left="720" w:right="0" w:hanging="0"/>
      <w:contextualSpacing/>
    </w:pPr>
    <w:rPr>
      <w:rFonts w:ascii="Calibri" w:hAnsi="Calibri" w:cs="Calibri"/>
      <w:sz w:val="22"/>
      <w:szCs w:val="22"/>
    </w:rPr>
  </w:style>
  <w:style w:type="paragraph" w:styleId="Normalindex">
    <w:name w:val="Normal_index"/>
    <w:basedOn w:val="Normal"/>
    <w:qFormat/>
    <w:pPr>
      <w:keepLines/>
      <w:widowControl w:val="false"/>
      <w:spacing w:lineRule="exact" w:line="240"/>
    </w:pPr>
    <w:rPr>
      <w:lang w:val="es-ES"/>
    </w:rPr>
  </w:style>
  <w:style w:type="paragraph" w:styleId="Pa6">
    <w:name w:val="Pa6"/>
    <w:basedOn w:val="Default"/>
    <w:next w:val="Default"/>
    <w:qFormat/>
    <w:pPr>
      <w:spacing w:lineRule="atLeast" w:line="201"/>
    </w:pPr>
    <w:rPr>
      <w:szCs w:val="24"/>
    </w:rPr>
  </w:style>
  <w:style w:type="paragraph" w:styleId="Pa13">
    <w:name w:val="Pa13"/>
    <w:basedOn w:val="Default"/>
    <w:next w:val="Default"/>
    <w:qFormat/>
    <w:pPr>
      <w:spacing w:lineRule="atLeast" w:line="201"/>
    </w:pPr>
    <w:rPr>
      <w:szCs w:val="24"/>
    </w:rPr>
  </w:style>
  <w:style w:type="paragraph" w:styleId="Pargrafdellista">
    <w:name w:val="Paràgraf de llista"/>
    <w:basedOn w:val="Normal"/>
    <w:qFormat/>
    <w:pPr>
      <w:ind w:left="708" w:right="0" w:hanging="0"/>
    </w:pPr>
    <w:rPr>
      <w:rFonts w:ascii="Times New Roman" w:hAnsi="Times New Roman" w:cs="Times New Roman"/>
      <w:sz w:val="24"/>
      <w:szCs w:val="24"/>
    </w:rPr>
  </w:style>
  <w:style w:type="paragraph" w:styleId="Plectext">
    <w:name w:val="plec_text"/>
    <w:basedOn w:val="Normal"/>
    <w:qFormat/>
    <w:pPr>
      <w:spacing w:lineRule="atLeast" w:line="240"/>
      <w:jc w:val="both"/>
    </w:pPr>
    <w:rPr>
      <w:sz w:val="22"/>
      <w:szCs w:val="22"/>
    </w:rPr>
  </w:style>
  <w:style w:type="paragraph" w:styleId="Pa9">
    <w:name w:val="Pa9"/>
    <w:basedOn w:val="Default"/>
    <w:next w:val="Default"/>
    <w:qFormat/>
    <w:pPr>
      <w:spacing w:lineRule="atLeast" w:line="201"/>
    </w:pPr>
    <w:rPr>
      <w:szCs w:val="24"/>
    </w:rPr>
  </w:style>
  <w:style w:type="paragraph" w:styleId="Pa8">
    <w:name w:val="Pa8"/>
    <w:basedOn w:val="Default"/>
    <w:next w:val="Default"/>
    <w:qFormat/>
    <w:pPr>
      <w:spacing w:lineRule="atLeast" w:line="201"/>
    </w:pPr>
    <w:rPr>
      <w:szCs w:val="24"/>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jc w:val="center"/>
    </w:pPr>
    <w:rPr>
      <w:b/>
      <w:bCs/>
    </w:rPr>
  </w:style>
  <w:style w:type="paragraph" w:styleId="Contenidodelmarco">
    <w:name w:val="Contenido del marco"/>
    <w:basedOn w:val="Normal"/>
    <w:qFormat/>
    <w:pPr/>
    <w:rPr/>
  </w:style>
  <w:style w:type="paragraph" w:styleId="Textosinformato3">
    <w:name w:val="Texto sin formato3"/>
    <w:basedOn w:val="Normal"/>
    <w:qFormat/>
    <w:pPr/>
    <w:rPr>
      <w:rFonts w:ascii="Courier New" w:hAnsi="Courier New" w:cs="Courier New"/>
    </w:rPr>
  </w:style>
  <w:style w:type="paragraph" w:styleId="Contingutdelataula">
    <w:name w:val="Contingut de la taula"/>
    <w:basedOn w:val="Normal"/>
    <w:qFormat/>
    <w:pPr>
      <w:suppressLineNumbers/>
    </w:pPr>
    <w:rPr/>
  </w:style>
  <w:style w:type="paragraph" w:styleId="Encapalamentdelataula">
    <w:name w:val="Encapçalament de la taula"/>
    <w:basedOn w:val="Contingutdelataula"/>
    <w:qFormat/>
    <w:pPr>
      <w:jc w:val="center"/>
    </w:pPr>
    <w:rPr>
      <w:b/>
      <w:bCs/>
    </w:rPr>
  </w:style>
  <w:style w:type="paragraph" w:styleId="Contingutdelmarc">
    <w:name w:val="Contingut del marc"/>
    <w:basedOn w:val="Normal"/>
    <w:qFormat/>
    <w:pPr/>
    <w:rPr/>
  </w:style>
  <w:style w:type="paragraph" w:styleId="Textocomentario1">
    <w:name w:val="Texto comentario1"/>
    <w:basedOn w:val="Normal"/>
    <w:qFormat/>
    <w:pPr>
      <w:jc w:val="both"/>
    </w:pPr>
    <w:rPr>
      <w:rFonts w:ascii="Dutch;Cambria" w:hAnsi="Dutch;Cambria" w:cs="Dutch;Cambria"/>
      <w:color w:val="000000"/>
      <w:kern w:val="2"/>
    </w:rPr>
  </w:style>
  <w:style w:type="paragraph" w:styleId="Textosinformato1">
    <w:name w:val="Texto sin formato1"/>
    <w:basedOn w:val="Normal"/>
    <w:qFormat/>
    <w:pPr/>
    <w:rPr>
      <w:rFonts w:ascii="Courier New" w:hAnsi="Courier New" w:cs="Courier New"/>
      <w:color w:val="000000"/>
      <w:kern w:val="2"/>
    </w:rPr>
  </w:style>
  <w:style w:type="paragraph" w:styleId="DefinitionTerm">
    <w:name w:val="Definition Term"/>
    <w:basedOn w:val="Normal"/>
    <w:qFormat/>
    <w:pPr/>
    <w:rPr/>
  </w:style>
  <w:style w:type="paragraph" w:styleId="DefinitionList">
    <w:name w:val="Definition List"/>
    <w:basedOn w:val="Normal"/>
    <w:qFormat/>
    <w:pPr>
      <w:ind w:left="360" w:right="0" w:hanging="0"/>
    </w:pPr>
    <w:rPr/>
  </w:style>
  <w:style w:type="paragraph" w:styleId="H1">
    <w:name w:val="H1"/>
    <w:basedOn w:val="Normal"/>
    <w:qFormat/>
    <w:pPr>
      <w:keepNext w:val="true"/>
      <w:spacing w:before="100" w:after="100"/>
    </w:pPr>
    <w:rPr>
      <w:b/>
      <w:kern w:val="2"/>
      <w:sz w:val="48"/>
    </w:rPr>
  </w:style>
  <w:style w:type="paragraph" w:styleId="H2">
    <w:name w:val="H2"/>
    <w:basedOn w:val="Normal"/>
    <w:qFormat/>
    <w:pPr>
      <w:keepNext w:val="true"/>
      <w:spacing w:before="100" w:after="100"/>
    </w:pPr>
    <w:rPr>
      <w:b/>
      <w:sz w:val="36"/>
    </w:rPr>
  </w:style>
  <w:style w:type="paragraph" w:styleId="H3">
    <w:name w:val="H3"/>
    <w:basedOn w:val="Normal"/>
    <w:qFormat/>
    <w:pPr>
      <w:keepNext w:val="true"/>
      <w:spacing w:before="100" w:after="100"/>
    </w:pPr>
    <w:rPr>
      <w:b/>
      <w:sz w:val="28"/>
    </w:rPr>
  </w:style>
  <w:style w:type="paragraph" w:styleId="H4">
    <w:name w:val="H4"/>
    <w:basedOn w:val="Normal"/>
    <w:qFormat/>
    <w:pPr>
      <w:keepNext w:val="true"/>
      <w:spacing w:before="100" w:after="100"/>
    </w:pPr>
    <w:rPr>
      <w:b/>
      <w:sz w:val="24"/>
    </w:rPr>
  </w:style>
  <w:style w:type="paragraph" w:styleId="H5">
    <w:name w:val="H5"/>
    <w:basedOn w:val="Normal"/>
    <w:qFormat/>
    <w:pPr>
      <w:keepNext w:val="true"/>
      <w:spacing w:before="100" w:after="100"/>
    </w:pPr>
    <w:rPr>
      <w:b/>
    </w:rPr>
  </w:style>
  <w:style w:type="paragraph" w:styleId="H6">
    <w:name w:val="H6"/>
    <w:basedOn w:val="Normal"/>
    <w:qFormat/>
    <w:pPr>
      <w:keepNext w:val="true"/>
      <w:spacing w:before="100" w:after="100"/>
    </w:pPr>
    <w:rPr>
      <w:b/>
      <w:sz w:val="16"/>
    </w:rPr>
  </w:style>
  <w:style w:type="paragraph" w:styleId="Address">
    <w:name w:val="Address"/>
    <w:basedOn w:val="Normal"/>
    <w:qFormat/>
    <w:pPr/>
    <w:rPr>
      <w:i/>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name w:val="z-Bottom of Form1"/>
    <w:qFormat/>
    <w:pPr>
      <w:widowControl w:val="false"/>
      <w:pBdr>
        <w:top w:val="double" w:sz="2" w:space="0" w:color="000000"/>
      </w:pBdr>
      <w:suppressAutoHyphens w:val="true"/>
      <w:overflowPunct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name w:val="z-Top of Form1"/>
    <w:qFormat/>
    <w:pPr>
      <w:widowControl w:val="false"/>
      <w:pBdr>
        <w:bottom w:val="double" w:sz="2" w:space="0" w:color="000000"/>
      </w:pBdr>
      <w:suppressAutoHyphens w:val="true"/>
      <w:overflowPunct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name w:val="Párrafo de lista1"/>
    <w:basedOn w:val="Normal"/>
    <w:qFormat/>
    <w:pPr>
      <w:spacing w:before="120" w:after="0"/>
      <w:ind w:left="720" w:right="0" w:hanging="0"/>
      <w:contextualSpacing/>
    </w:pPr>
    <w:rPr>
      <w:rFonts w:ascii="Liberation Serif" w:hAnsi="Liberation Serif" w:eastAsia="NSimSun" w:cs="Lucida Sans"/>
      <w:color w:val="auto"/>
      <w:kern w:val="2"/>
      <w:sz w:val="24"/>
      <w:szCs w:val="24"/>
      <w:lang w:bidi="hi-IN"/>
    </w:rPr>
  </w:style>
  <w:style w:type="paragraph" w:styleId="Textosinformato2">
    <w:name w:val="Texto sin formato2"/>
    <w:basedOn w:val="Normal"/>
    <w:qFormat/>
    <w:pPr/>
    <w:rPr>
      <w:rFonts w:ascii="Courier New" w:hAnsi="Courier New" w:eastAsia="NSimSun" w:cs="Courier New"/>
    </w:rPr>
  </w:style>
  <w:style w:type="paragraph" w:styleId="TableParagraph">
    <w:name w:val="Table Paragraph"/>
    <w:basedOn w:val="Normal"/>
    <w:qFormat/>
    <w:pPr/>
    <w:rPr>
      <w:rFonts w:ascii="Times New Roman" w:hAnsi="Times New Roman" w:eastAsia="Times New Roman" w:cs="Times New Roman"/>
      <w:lang w:val="ca-ES" w:eastAsia="en-US" w:bidi="ar-SA"/>
    </w:rPr>
  </w:style>
  <w:style w:type="numbering" w:styleId="NoList">
    <w:name w:val="No List"/>
    <w:qFormat/>
  </w:style>
  <w:style w:type="numbering" w:styleId="WW8Num24">
    <w:name w:val="WW8Num24"/>
    <w:qFormat/>
  </w:style>
  <w:style w:type="numbering" w:styleId="WW8Num3">
    <w:name w:val="WW8Num3"/>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003/L00016-00034.pdf" TargetMode="External"/><Relationship Id="rId3" Type="http://schemas.openxmlformats.org/officeDocument/2006/relationships/hyperlink" Target="https://seuelectronica.terrassa.cat/web/seu/ajuda/notificacio-electronica" TargetMode="External"/><Relationship Id="rId4" Type="http://schemas.openxmlformats.org/officeDocument/2006/relationships/hyperlink" Target="https://seuelectronica.terrassa.cat/" TargetMode="External"/><Relationship Id="rId5" Type="http://schemas.openxmlformats.org/officeDocument/2006/relationships/hyperlink" Target="https://seuelectronica.terrassa.ca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docProps/app.xml><?xml version="1.0" encoding="utf-8"?>
<Properties xmlns="http://schemas.openxmlformats.org/officeDocument/2006/extended-properties" xmlns:vt="http://schemas.openxmlformats.org/officeDocument/2006/docPropsVTypes">
  <Template>Normal</Template>
  <TotalTime>1483</TotalTime>
  <Application>LibreOffice/7.1.1.2$Windows_X86_64 LibreOffice_project/fe0b08f4af1bacafe4c7ecc87ce55bb426164676</Application>
  <AppVersion>15.0000</AppVersion>
  <Pages>10</Pages>
  <Words>2947</Words>
  <Characters>16936</Characters>
  <CharactersWithSpaces>19775</CharactersWithSpaces>
  <Paragraphs>161</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2025-09-16T10:37:50Z</dcterms:modified>
  <cp:revision>322</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