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2F" w:rsidRPr="00535960" w:rsidRDefault="0015372F" w:rsidP="0015372F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803FA9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15372F" w:rsidRPr="00535960" w:rsidRDefault="0015372F" w:rsidP="0015372F">
      <w:pPr>
        <w:rPr>
          <w:rFonts w:ascii="Calibri" w:hAnsi="Calibri" w:cs="Calibri"/>
          <w:sz w:val="22"/>
          <w:szCs w:val="22"/>
        </w:rPr>
      </w:pPr>
    </w:p>
    <w:p w:rsidR="0015372F" w:rsidRPr="00756318" w:rsidRDefault="0015372F" w:rsidP="0015372F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15372F" w:rsidRPr="00D9386E" w:rsidRDefault="0015372F" w:rsidP="0015372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386E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15372F" w:rsidRPr="00D9386E" w:rsidRDefault="0015372F" w:rsidP="0015372F">
      <w:pPr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jc w:val="both"/>
        <w:rPr>
          <w:rFonts w:ascii="Calibri" w:hAnsi="Calibri" w:cs="Calibri"/>
          <w:sz w:val="22"/>
          <w:szCs w:val="22"/>
        </w:rPr>
      </w:pPr>
    </w:p>
    <w:p w:rsidR="0015372F" w:rsidRPr="002B3FD5" w:rsidRDefault="0015372F" w:rsidP="0015372F">
      <w:pPr>
        <w:jc w:val="both"/>
        <w:rPr>
          <w:rFonts w:ascii="Calibri" w:hAnsi="Calibri"/>
          <w:caps/>
          <w:sz w:val="24"/>
          <w:szCs w:val="24"/>
        </w:rPr>
      </w:pPr>
      <w:r w:rsidRPr="006E7909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</w:t>
      </w:r>
      <w:r>
        <w:rPr>
          <w:rFonts w:ascii="Calibri" w:hAnsi="Calibri" w:cs="Calibri"/>
          <w:sz w:val="22"/>
          <w:szCs w:val="22"/>
        </w:rPr>
        <w:t>__</w:t>
      </w:r>
      <w:r w:rsidRPr="006E7909">
        <w:rPr>
          <w:rFonts w:ascii="Calibri" w:hAnsi="Calibri" w:cs="Calibri"/>
          <w:sz w:val="22"/>
          <w:szCs w:val="22"/>
        </w:rPr>
        <w:t xml:space="preserve">________________ amb el CIF núm. _______________ en qualitat de ______________ declara responsablement que les facultats de representació que ostenta són suficients i vigents, en relació al contracte </w:t>
      </w:r>
      <w:r w:rsidRPr="006E7909">
        <w:rPr>
          <w:rFonts w:ascii="Calibri" w:hAnsi="Calibri"/>
          <w:b/>
          <w:sz w:val="22"/>
          <w:szCs w:val="22"/>
        </w:rPr>
        <w:t xml:space="preserve">del servei d’instal·lació, explotació i manteniment de màquines expenedores de serveis de venda automàtica (vending), </w:t>
      </w:r>
      <w:r w:rsidRPr="006E7909">
        <w:rPr>
          <w:rFonts w:ascii="Calibri" w:hAnsi="Calibri" w:cs="Calibri"/>
          <w:sz w:val="22"/>
          <w:szCs w:val="22"/>
        </w:rPr>
        <w:t>DIU QUE</w:t>
      </w:r>
      <w:r w:rsidRPr="00D9386E">
        <w:rPr>
          <w:rFonts w:ascii="Calibri" w:hAnsi="Calibri" w:cs="Calibri"/>
          <w:sz w:val="22"/>
          <w:szCs w:val="22"/>
        </w:rPr>
        <w:t>:</w:t>
      </w:r>
    </w:p>
    <w:p w:rsidR="0015372F" w:rsidRPr="00D9386E" w:rsidRDefault="0015372F" w:rsidP="0015372F">
      <w:pPr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rPr>
          <w:rFonts w:ascii="Calibri" w:hAnsi="Calibri" w:cs="Calibri"/>
          <w:b/>
          <w:bCs/>
          <w:sz w:val="22"/>
          <w:szCs w:val="22"/>
        </w:rPr>
      </w:pPr>
      <w:r w:rsidRPr="00D9386E">
        <w:rPr>
          <w:rFonts w:ascii="Calibri" w:hAnsi="Calibri" w:cs="Calibri"/>
          <w:b/>
          <w:bCs/>
          <w:sz w:val="22"/>
          <w:szCs w:val="22"/>
        </w:rPr>
        <w:t>MANIFESTA:</w:t>
      </w:r>
    </w:p>
    <w:p w:rsidR="0015372F" w:rsidRPr="00D9386E" w:rsidRDefault="0015372F" w:rsidP="0015372F">
      <w:pPr>
        <w:jc w:val="both"/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D9386E">
        <w:rPr>
          <w:rFonts w:ascii="Calibri" w:hAnsi="Calibri" w:cs="Calibri"/>
          <w:sz w:val="22"/>
          <w:szCs w:val="22"/>
        </w:rPr>
        <w:t>ada</w:t>
      </w:r>
      <w:proofErr w:type="spellEnd"/>
      <w:r w:rsidRPr="00D9386E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</w:t>
      </w:r>
      <w:r>
        <w:rPr>
          <w:rFonts w:ascii="Calibri" w:hAnsi="Calibri" w:cs="Calibri"/>
          <w:sz w:val="22"/>
          <w:szCs w:val="22"/>
        </w:rPr>
        <w:t xml:space="preserve">esent licitació, </w:t>
      </w:r>
      <w:r w:rsidRPr="00D9386E">
        <w:rPr>
          <w:rFonts w:ascii="Calibri" w:hAnsi="Calibri" w:cs="Calibri"/>
          <w:sz w:val="22"/>
          <w:szCs w:val="22"/>
        </w:rPr>
        <w:t xml:space="preserve">els accepta en la seva integritat, reuneix els requisits per prendre-hi part i es compromet, en cas de resultar-ne l’adjudicatari/a, a la seva execució. </w:t>
      </w: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</w:t>
      </w:r>
      <w:r>
        <w:rPr>
          <w:rFonts w:ascii="Calibri" w:hAnsi="Calibri" w:cs="Calibri"/>
          <w:sz w:val="22"/>
          <w:szCs w:val="22"/>
        </w:rPr>
        <w:t>relació als criteris automàtics.</w:t>
      </w:r>
    </w:p>
    <w:p w:rsidR="0015372F" w:rsidRDefault="0015372F" w:rsidP="0015372F">
      <w:pPr>
        <w:jc w:val="both"/>
        <w:rPr>
          <w:rFonts w:cs="Calibri"/>
          <w:b/>
          <w:bCs/>
          <w:snapToGrid w:val="0"/>
          <w:sz w:val="22"/>
          <w:szCs w:val="22"/>
          <w:u w:val="single"/>
        </w:rPr>
      </w:pPr>
    </w:p>
    <w:p w:rsidR="0015372F" w:rsidRPr="00AB1673" w:rsidRDefault="0015372F" w:rsidP="0015372F">
      <w:pPr>
        <w:jc w:val="both"/>
        <w:rPr>
          <w:rFonts w:ascii="Calibri" w:hAnsi="Calibri" w:cs="Calibri"/>
          <w:b/>
          <w:sz w:val="22"/>
          <w:szCs w:val="22"/>
        </w:rPr>
      </w:pPr>
      <w:r w:rsidRPr="00AB1673">
        <w:rPr>
          <w:rFonts w:ascii="Calibri" w:hAnsi="Calibri" w:cs="Calibri"/>
          <w:b/>
          <w:sz w:val="22"/>
          <w:szCs w:val="22"/>
        </w:rPr>
        <w:t>1.</w:t>
      </w:r>
      <w:r>
        <w:rPr>
          <w:rFonts w:ascii="Calibri" w:hAnsi="Calibri" w:cs="Calibri"/>
          <w:b/>
          <w:sz w:val="22"/>
          <w:szCs w:val="22"/>
        </w:rPr>
        <w:t xml:space="preserve"> Preus dels productes: (F</w:t>
      </w:r>
      <w:r w:rsidRPr="00AB1673">
        <w:rPr>
          <w:rFonts w:ascii="Calibri" w:hAnsi="Calibri" w:cs="Calibri"/>
          <w:b/>
          <w:sz w:val="22"/>
          <w:szCs w:val="22"/>
        </w:rPr>
        <w:t>ins a</w:t>
      </w:r>
      <w:r>
        <w:rPr>
          <w:rFonts w:ascii="Calibri" w:hAnsi="Calibri" w:cs="Calibri"/>
          <w:b/>
          <w:sz w:val="22"/>
          <w:szCs w:val="22"/>
        </w:rPr>
        <w:t xml:space="preserve"> un màxim de </w:t>
      </w:r>
      <w:r w:rsidRPr="00AB1673">
        <w:rPr>
          <w:rFonts w:ascii="Calibri" w:hAnsi="Calibri" w:cs="Calibri"/>
          <w:b/>
          <w:sz w:val="22"/>
          <w:szCs w:val="22"/>
        </w:rPr>
        <w:t>60 punts)</w:t>
      </w:r>
    </w:p>
    <w:p w:rsidR="0015372F" w:rsidRPr="00AB1673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</w:rPr>
      </w:pPr>
    </w:p>
    <w:p w:rsidR="0015372F" w:rsidRPr="00AB1673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1.a.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begudes calentes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: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les begudes calentes amb els següents preus: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B8652A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DESCRIPCIÓ PRODUCTE BEGUDES CALENTES </w:t>
            </w:r>
          </w:p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(Cafè i similar bàsic: normal i descafeïnats)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B8652A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sz w:val="22"/>
                <w:szCs w:val="22"/>
              </w:rPr>
              <w:t>BEGUDES CALENTES</w:t>
            </w: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expresso estàndard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llarg estàndard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sol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Tallat descafeïnat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</w:t>
            </w:r>
            <w:r w:rsidRPr="00B8652A">
              <w:rPr>
                <w:rFonts w:ascii="Calibri" w:hAnsi="Calibri" w:cs="Arial"/>
                <w:sz w:val="22"/>
                <w:szCs w:val="22"/>
              </w:rPr>
              <w:t>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 xml:space="preserve">Cafè amb llet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Descafeïnat amb llet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</w:t>
            </w:r>
            <w:r w:rsidRPr="00B8652A">
              <w:rPr>
                <w:rFonts w:ascii="Calibri" w:hAnsi="Calibri" w:cs="Arial"/>
                <w:sz w:val="22"/>
                <w:szCs w:val="22"/>
              </w:rPr>
              <w:t>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8652A">
              <w:rPr>
                <w:rFonts w:ascii="Calibri" w:hAnsi="Calibri" w:cs="Arial"/>
                <w:sz w:val="22"/>
                <w:szCs w:val="22"/>
              </w:rPr>
              <w:t>Cappuccino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0,75€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Xocolata</w:t>
            </w:r>
            <w:r w:rsidRPr="00B8652A">
              <w:rPr>
                <w:rFonts w:ascii="Calibri" w:hAnsi="Calibri" w:cs="Arial"/>
                <w:color w:val="0066CC"/>
                <w:sz w:val="22"/>
                <w:szCs w:val="22"/>
              </w:rPr>
              <w:t xml:space="preserve"> </w:t>
            </w:r>
            <w:r w:rsidRPr="00B8652A">
              <w:rPr>
                <w:rFonts w:ascii="Calibri" w:hAnsi="Calibri" w:cs="Arial"/>
                <w:sz w:val="22"/>
                <w:szCs w:val="22"/>
              </w:rPr>
              <w:t>(beguda)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0,75€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Descafeïnat exprés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</w:t>
            </w:r>
            <w:r>
              <w:rPr>
                <w:rFonts w:ascii="Calibri" w:hAnsi="Calibri" w:cs="Arial"/>
                <w:sz w:val="22"/>
                <w:szCs w:val="22"/>
              </w:rPr>
              <w:t>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Te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0,67€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1.b.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begudes fredes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les begudes fredes amb els següents preus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B8652A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DESCRIPCIÓ PRODUCTE BEGUDES FREDES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B8652A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sz w:val="22"/>
                <w:szCs w:val="22"/>
              </w:rPr>
              <w:t>BEGUDES FREDES</w:t>
            </w: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Aigua mineral 50 cl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</w:t>
            </w:r>
            <w:r>
              <w:rPr>
                <w:rFonts w:ascii="Calibri" w:hAnsi="Calibri" w:cs="Arial"/>
                <w:sz w:val="22"/>
                <w:szCs w:val="22"/>
              </w:rPr>
              <w:t>75</w:t>
            </w:r>
            <w:r w:rsidRPr="00B8652A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Sucs i batuts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1,</w:t>
            </w:r>
            <w:r>
              <w:rPr>
                <w:rFonts w:ascii="Calibri" w:hAnsi="Calibri" w:cs="Arial"/>
                <w:sz w:val="22"/>
                <w:szCs w:val="22"/>
              </w:rPr>
              <w:t>40</w:t>
            </w:r>
            <w:r w:rsidRPr="00B8652A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Refresc de llauna (cola, llimona, taronja) 33cl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</w:t>
            </w:r>
            <w:r w:rsidRPr="00B8652A">
              <w:rPr>
                <w:rFonts w:ascii="Calibri" w:hAnsi="Calibri" w:cs="Arial"/>
                <w:sz w:val="22"/>
                <w:szCs w:val="22"/>
              </w:rPr>
              <w:t>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Aquarius</w:t>
            </w:r>
            <w:r>
              <w:rPr>
                <w:rFonts w:ascii="Calibri" w:hAnsi="Calibri" w:cs="Arial"/>
                <w:sz w:val="22"/>
                <w:szCs w:val="22"/>
              </w:rPr>
              <w:t>, B</w:t>
            </w:r>
            <w:r w:rsidRPr="00B8652A">
              <w:rPr>
                <w:rFonts w:ascii="Calibri" w:hAnsi="Calibri" w:cs="Arial"/>
                <w:sz w:val="22"/>
                <w:szCs w:val="22"/>
              </w:rPr>
              <w:t>iofrutas, Nestea 33 cl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</w:t>
            </w:r>
            <w:r w:rsidRPr="00B8652A">
              <w:rPr>
                <w:rFonts w:ascii="Calibri" w:hAnsi="Calibri" w:cs="Arial"/>
                <w:sz w:val="22"/>
                <w:szCs w:val="22"/>
              </w:rPr>
              <w:t>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1,04€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1.c.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 productes alimentaris sòlids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els productes alimentaris sòlids els següents preus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300F86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DESCRIPCIÓ PRODUCTES ALIMENTARIS SÓLIDS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300F86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sz w:val="22"/>
                <w:szCs w:val="22"/>
              </w:rPr>
              <w:t>PRODUCTES ALIMENTARIS SÒLIDS</w:t>
            </w: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Bolleria (format petit)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Bolleria (format gran)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1,40€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Snack salat/dolç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1,30€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1,23€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sz w:val="22"/>
          <w:szCs w:val="22"/>
        </w:rPr>
      </w:pPr>
    </w:p>
    <w:p w:rsidR="0015372F" w:rsidRPr="00251665" w:rsidRDefault="0015372F" w:rsidP="00153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Els preus dels productes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 xml:space="preserve"> tenen caràcter de màxims i no poden superar el preus unitaris base de licitació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que consten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 xml:space="preserve"> en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aquest Plec i en el 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>PPT, fet que, de produi</w:t>
      </w:r>
      <w:r>
        <w:rPr>
          <w:rFonts w:ascii="Calibri" w:hAnsi="Calibri" w:cs="Calibri"/>
          <w:bCs/>
          <w:sz w:val="22"/>
          <w:szCs w:val="22"/>
          <w:lang w:eastAsia="en-US"/>
        </w:rPr>
        <w:t>r-se, comportarà l’exclusió de l’empresa licitadora.</w:t>
      </w: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u w:val="single"/>
          <w:lang w:eastAsia="es-ES"/>
        </w:rPr>
      </w:pPr>
      <w:r w:rsidRPr="001342FD">
        <w:rPr>
          <w:rFonts w:ascii="Calibri" w:hAnsi="Calibri" w:cs="Calibri"/>
          <w:b/>
          <w:spacing w:val="-2"/>
          <w:sz w:val="22"/>
          <w:szCs w:val="22"/>
          <w:u w:val="single"/>
          <w:lang w:eastAsia="es-ES"/>
        </w:rPr>
        <w:t>2. Eficiència energètica (fins a un màxim de 12 punts)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u w:val="single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>S’assignarà la màxima puntuació a la millor proposta que ofereixi el major nombre de màquines de begudes calentes amb una classificació d’eficiència energètica superior a la classe B atorgant fins un màxim de 12 punts.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</w:t>
      </w:r>
      <w:r>
        <w:rPr>
          <w:rFonts w:ascii="Calibri" w:hAnsi="Calibri" w:cs="Tahoma"/>
          <w:sz w:val="22"/>
          <w:szCs w:val="22"/>
          <w:lang w:eastAsia="es-ES"/>
        </w:rPr>
        <w:t xml:space="preserve"> les següents màquines de cafè:</w:t>
      </w:r>
    </w:p>
    <w:p w:rsidR="0015372F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2"/>
        <w:gridCol w:w="724"/>
        <w:gridCol w:w="1568"/>
        <w:gridCol w:w="724"/>
        <w:gridCol w:w="1659"/>
        <w:gridCol w:w="724"/>
      </w:tblGrid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Nombre  total màquines de begudes calentes  que s’instal·laran</w:t>
            </w:r>
          </w:p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Nombre de màquines amb classificació energètica tipus A</w:t>
            </w:r>
          </w:p>
        </w:tc>
        <w:tc>
          <w:tcPr>
            <w:tcW w:w="724" w:type="dxa"/>
            <w:vAlign w:val="center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Punts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Nombre de màquines amb classificació energètica tipus A+</w:t>
            </w:r>
          </w:p>
        </w:tc>
        <w:tc>
          <w:tcPr>
            <w:tcW w:w="724" w:type="dxa"/>
            <w:vAlign w:val="center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Punts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Nombre de màquines amb classificació energètica tipus  A++</w:t>
            </w:r>
          </w:p>
        </w:tc>
        <w:tc>
          <w:tcPr>
            <w:tcW w:w="724" w:type="dxa"/>
            <w:vAlign w:val="center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Punts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Maquina 1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2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3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4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5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lastRenderedPageBreak/>
              <w:t>Màquina 6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7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Màquina 8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0,25</w:t>
            </w: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0,50</w:t>
            </w: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  <w:t>1,5</w:t>
            </w:r>
          </w:p>
        </w:tc>
      </w:tr>
      <w:tr w:rsidR="0015372F" w:rsidRPr="001342FD" w:rsidTr="00116DA7">
        <w:trPr>
          <w:jc w:val="center"/>
        </w:trPr>
        <w:tc>
          <w:tcPr>
            <w:tcW w:w="1554" w:type="dxa"/>
            <w:shd w:val="clear" w:color="auto" w:fill="auto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</w:pPr>
            <w:r w:rsidRPr="001342FD">
              <w:rPr>
                <w:rFonts w:ascii="Calibri" w:eastAsia="Batang" w:hAnsi="Calibri" w:cs="Calibri"/>
                <w:b/>
                <w:bCs/>
                <w:spacing w:val="-2"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552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1568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1659" w:type="dxa"/>
            <w:shd w:val="clear" w:color="auto" w:fill="F2F2F2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  <w:tc>
          <w:tcPr>
            <w:tcW w:w="724" w:type="dxa"/>
          </w:tcPr>
          <w:p w:rsidR="0015372F" w:rsidRPr="001342FD" w:rsidRDefault="0015372F" w:rsidP="00116DA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Batang" w:hAnsi="Calibri" w:cs="Calibri"/>
                <w:spacing w:val="-2"/>
                <w:sz w:val="22"/>
                <w:szCs w:val="22"/>
                <w:lang w:eastAsia="es-ES"/>
              </w:rPr>
            </w:pPr>
          </w:p>
        </w:tc>
      </w:tr>
    </w:tbl>
    <w:p w:rsidR="0015372F" w:rsidRPr="00657711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Tahoma"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15E9B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3. Incorporació de gots i culleretes de pap</w:t>
      </w:r>
      <w:r w:rsidRPr="00D15E9B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er o qualsevol altra material compostable (fins a </w:t>
      </w:r>
      <w:r w:rsidRPr="00E2390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un màxim de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8</w:t>
      </w:r>
      <w:r w:rsidRPr="00D15E9B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punts)</w:t>
      </w:r>
    </w:p>
    <w:p w:rsidR="0015372F" w:rsidRPr="00D15E9B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sz w:val="22"/>
          <w:szCs w:val="22"/>
          <w:lang w:eastAsia="es-ES"/>
        </w:rPr>
      </w:pPr>
      <w:r w:rsidRPr="00D15E9B">
        <w:rPr>
          <w:rFonts w:ascii="Calibri" w:hAnsi="Calibri" w:cs="Tahoma"/>
          <w:spacing w:val="-2"/>
          <w:sz w:val="22"/>
          <w:szCs w:val="22"/>
          <w:lang w:eastAsia="es-ES"/>
        </w:rPr>
        <w:t>Es valorarà</w:t>
      </w:r>
      <w:r>
        <w:rPr>
          <w:rFonts w:ascii="Calibri" w:hAnsi="Calibri" w:cs="Tahoma"/>
          <w:spacing w:val="-2"/>
          <w:sz w:val="22"/>
          <w:szCs w:val="22"/>
          <w:lang w:eastAsia="es-ES"/>
        </w:rPr>
        <w:t xml:space="preserve"> amb un màxim de 8</w:t>
      </w:r>
      <w:r w:rsidRPr="00D15E9B">
        <w:rPr>
          <w:rFonts w:ascii="Calibri" w:hAnsi="Calibri" w:cs="Tahoma"/>
          <w:spacing w:val="-2"/>
          <w:sz w:val="22"/>
          <w:szCs w:val="22"/>
          <w:lang w:eastAsia="es-ES"/>
        </w:rPr>
        <w:t xml:space="preserve"> punts les propostes que ofereixin la utilització de gots i culleretes de paper o qualsevol altra material compostable </w:t>
      </w:r>
      <w:r w:rsidRPr="00D9386E">
        <w:rPr>
          <w:rFonts w:ascii="Calibri" w:hAnsi="Calibri" w:cs="Tahoma"/>
          <w:sz w:val="22"/>
          <w:szCs w:val="22"/>
          <w:lang w:eastAsia="es-ES"/>
        </w:rPr>
        <w:t xml:space="preserve">(marcar la casella corresponent): </w:t>
      </w:r>
    </w:p>
    <w:p w:rsidR="0015372F" w:rsidRPr="00D9386E" w:rsidRDefault="0015372F" w:rsidP="0015372F">
      <w:pPr>
        <w:ind w:left="720"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b/>
          <w:sz w:val="22"/>
          <w:szCs w:val="22"/>
          <w:lang w:eastAsia="es-ES"/>
        </w:rPr>
        <w:t>Gots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>
        <w:rPr>
          <w:rFonts w:ascii="Calibri" w:hAnsi="Calibri" w:cs="Calibri"/>
          <w:sz w:val="22"/>
          <w:szCs w:val="22"/>
          <w:lang w:eastAsia="es-ES"/>
        </w:rPr>
        <w:t xml:space="preserve"> (4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b/>
          <w:sz w:val="22"/>
          <w:szCs w:val="22"/>
          <w:lang w:eastAsia="es-ES"/>
        </w:rPr>
        <w:t>Culleretes</w:t>
      </w:r>
      <w:r w:rsidRPr="00D9386E">
        <w:rPr>
          <w:rFonts w:ascii="Calibri" w:hAnsi="Calibri" w:cs="Calibri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>⃝  Sí</w:t>
      </w:r>
      <w:r>
        <w:rPr>
          <w:rFonts w:ascii="Calibri" w:hAnsi="Calibri" w:cs="Calibri"/>
          <w:sz w:val="22"/>
          <w:szCs w:val="22"/>
          <w:lang w:eastAsia="es-ES"/>
        </w:rPr>
        <w:t xml:space="preserve"> (4 punts)</w:t>
      </w: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4. Instal·lació de màquines amb opció de gots reutilitzables en diferents equipaments municipals (fins a un màxim de 6 punts). 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 xml:space="preserve">Les màquines expenedores de begudes calentes ubicades en la Policia Local i SAC (zona oficines) obligatòriament </w:t>
      </w:r>
      <w:r w:rsidRPr="001342FD">
        <w:rPr>
          <w:rFonts w:ascii="Calibri" w:hAnsi="Calibri" w:cs="Calibri"/>
          <w:b/>
          <w:bCs/>
          <w:spacing w:val="-2"/>
          <w:sz w:val="22"/>
          <w:szCs w:val="22"/>
          <w:u w:val="single"/>
          <w:lang w:eastAsia="es-ES"/>
        </w:rPr>
        <w:t xml:space="preserve">hauran </w:t>
      </w:r>
      <w:r w:rsidRPr="001342FD">
        <w:rPr>
          <w:rFonts w:ascii="Calibri" w:hAnsi="Calibri" w:cs="Calibri"/>
          <w:b/>
          <w:spacing w:val="-2"/>
          <w:sz w:val="22"/>
          <w:szCs w:val="22"/>
          <w:u w:val="single"/>
          <w:lang w:eastAsia="es-ES"/>
        </w:rPr>
        <w:t>de tenir la opció d’oferir el servei amb o sense got</w:t>
      </w: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 xml:space="preserve"> amb un doble sistema de preus per tal d’afavorir l’ús de gots reutilitzables.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</w:t>
      </w:r>
      <w:r>
        <w:rPr>
          <w:rFonts w:ascii="Calibri" w:hAnsi="Calibri" w:cs="Tahoma"/>
          <w:sz w:val="22"/>
          <w:szCs w:val="22"/>
          <w:lang w:eastAsia="es-ES"/>
        </w:rPr>
        <w:t xml:space="preserve"> com a millora la instal·lació d’aquestes màquines </w:t>
      </w: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>en</w:t>
      </w:r>
      <w:r>
        <w:rPr>
          <w:rFonts w:ascii="Calibri" w:hAnsi="Calibri" w:cs="Calibri"/>
          <w:spacing w:val="-2"/>
          <w:sz w:val="22"/>
          <w:szCs w:val="22"/>
          <w:lang w:eastAsia="es-ES"/>
        </w:rPr>
        <w:t xml:space="preserve"> altres equipaments municipals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239"/>
        <w:gridCol w:w="1275"/>
        <w:gridCol w:w="1276"/>
        <w:gridCol w:w="709"/>
      </w:tblGrid>
      <w:tr w:rsidR="0015372F" w:rsidRPr="001342FD" w:rsidTr="00116DA7">
        <w:trPr>
          <w:trHeight w:val="1569"/>
          <w:jc w:val="center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UBICACIÓ MÀQUINES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ADREÇA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Nombre de màquines de begudes calentes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OFERT</w:t>
            </w: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 de màquines amb opció got reutilitzable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Punts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Centre Cívic Frederic Mompou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Plaça Joan XXIII,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Edifici de la República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c/Arcadi Balaguer,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Policia Local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Plaça Esperanto,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obligatòria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0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Poliesportiu Can Vinader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Rbla. </w:t>
            </w:r>
            <w:proofErr w:type="spellStart"/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Blas</w:t>
            </w:r>
            <w:proofErr w:type="spellEnd"/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 Infante,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Promoció Econòmica "La Guaita"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SAC - Zona descans oficines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obligatòria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0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SAC - Nau taller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15372F" w:rsidRPr="001342FD" w:rsidTr="00116DA7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5. Oferta addicional de productes comerç just (fins a 6 punts) </w:t>
      </w: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t xml:space="preserve">En el cas del cafè és obligatori, però, a part del cafè, es valorarà amb un màxim de 6 punts les </w:t>
      </w: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lastRenderedPageBreak/>
        <w:t>propostes que ofereixin la utilització dels productes de comerç just següents degudament acreditats amb els segells corresponents</w:t>
      </w:r>
      <w:r>
        <w:rPr>
          <w:rFonts w:ascii="Calibri" w:hAnsi="Calibri" w:cs="Calibri"/>
          <w:spacing w:val="-2"/>
          <w:sz w:val="22"/>
          <w:szCs w:val="22"/>
          <w:lang w:eastAsia="es-ES"/>
        </w:rPr>
        <w:t xml:space="preserve"> (</w:t>
      </w:r>
      <w:r w:rsidRPr="00D9386E">
        <w:rPr>
          <w:rFonts w:ascii="Calibri" w:hAnsi="Calibri" w:cs="Tahoma"/>
          <w:sz w:val="22"/>
          <w:szCs w:val="22"/>
          <w:lang w:eastAsia="es-ES"/>
        </w:rPr>
        <w:t>marcar la casella corresponent</w:t>
      </w:r>
      <w:r>
        <w:rPr>
          <w:rFonts w:ascii="Calibri" w:hAnsi="Calibri" w:cs="Tahoma"/>
          <w:sz w:val="22"/>
          <w:szCs w:val="22"/>
          <w:lang w:eastAsia="es-ES"/>
        </w:rPr>
        <w:t>)</w:t>
      </w: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t>:</w:t>
      </w: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z w:val="22"/>
          <w:szCs w:val="22"/>
          <w:lang w:eastAsia="es-ES"/>
        </w:rPr>
        <w:t>Sucre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>
        <w:rPr>
          <w:rFonts w:ascii="Calibri" w:hAnsi="Calibri" w:cs="Calibri"/>
          <w:sz w:val="22"/>
          <w:szCs w:val="22"/>
          <w:lang w:eastAsia="es-ES"/>
        </w:rPr>
        <w:t xml:space="preserve"> (3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z w:val="22"/>
          <w:szCs w:val="22"/>
          <w:lang w:eastAsia="es-ES"/>
        </w:rPr>
        <w:t>Cacau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>
        <w:rPr>
          <w:rFonts w:ascii="Calibri" w:hAnsi="Calibri" w:cs="Calibri"/>
          <w:sz w:val="22"/>
          <w:szCs w:val="22"/>
          <w:lang w:eastAsia="es-ES"/>
        </w:rPr>
        <w:t xml:space="preserve"> (3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>6. Oferiment d’un percentatge d’increment del cànon fixe de 30 € per màquina (fins a 8 punts)</w:t>
      </w: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  <w:r w:rsidRPr="00C80C96">
        <w:rPr>
          <w:rFonts w:ascii="Calibri" w:hAnsi="Calibri" w:cs="Calibri"/>
          <w:bCs/>
          <w:sz w:val="22"/>
          <w:szCs w:val="22"/>
        </w:rPr>
        <w:t>Es valorarà amb un màxim de 8 punts l’oferiment d’un percentatge d'increment sobre el cànon fixe de 30,00 € de cadascuna de les màquines instal·lades al llarg de l’any.</w:t>
      </w:r>
      <w:r>
        <w:rPr>
          <w:rFonts w:ascii="Calibri" w:hAnsi="Calibri" w:cs="Calibri"/>
          <w:bCs/>
          <w:sz w:val="22"/>
          <w:szCs w:val="22"/>
        </w:rPr>
        <w:t xml:space="preserve"> M</w:t>
      </w:r>
      <w:r w:rsidRPr="00D9386E">
        <w:rPr>
          <w:rFonts w:ascii="Calibri" w:hAnsi="Calibri" w:cs="Tahoma"/>
          <w:sz w:val="22"/>
          <w:szCs w:val="22"/>
          <w:lang w:eastAsia="es-ES"/>
        </w:rPr>
        <w:t>arcar la casella corresponent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⃝  No ofereixo cap increment sobre el cànon 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</w:t>
      </w:r>
      <w:r>
        <w:rPr>
          <w:rFonts w:ascii="Calibri" w:hAnsi="Calibri" w:cs="Calibri"/>
          <w:sz w:val="22"/>
          <w:szCs w:val="22"/>
          <w:lang w:eastAsia="es-ES"/>
        </w:rPr>
        <w:t>Ofereixo un increment del 10% sobre el cànon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(2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⃝  Ofereixo un increment del 20% sobre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el cànon (4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</w:t>
      </w:r>
      <w:r>
        <w:rPr>
          <w:rFonts w:ascii="Calibri" w:hAnsi="Calibri" w:cs="Calibri"/>
          <w:sz w:val="22"/>
          <w:szCs w:val="22"/>
          <w:lang w:eastAsia="es-ES"/>
        </w:rPr>
        <w:t>Ofereixo un increment del 30% sobre el cànon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(8 punts)</w:t>
      </w: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E00459" w:rsidRDefault="0015372F" w:rsidP="0015372F">
      <w:pPr>
        <w:jc w:val="both"/>
        <w:rPr>
          <w:rFonts w:ascii="Calibri" w:hAnsi="Calibri" w:cs="Calibri"/>
          <w:i/>
        </w:rPr>
      </w:pPr>
      <w:r w:rsidRPr="00764942">
        <w:rPr>
          <w:rFonts w:ascii="Calibri" w:hAnsi="Calibri" w:cs="Calibri"/>
          <w:i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764942">
        <w:rPr>
          <w:rFonts w:ascii="Calibri" w:hAnsi="Calibri" w:cs="Calibri"/>
        </w:rPr>
        <w:t>.</w:t>
      </w:r>
    </w:p>
    <w:p w:rsidR="0015372F" w:rsidRPr="00FC1849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Default="0015372F" w:rsidP="0015372F"/>
    <w:p w:rsidR="0015372F" w:rsidRPr="00D55967" w:rsidRDefault="0015372F" w:rsidP="0015372F">
      <w:pPr>
        <w:jc w:val="both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D55967">
        <w:rPr>
          <w:rFonts w:ascii="Calibri" w:hAnsi="Calibri" w:cs="Calibri"/>
          <w:b/>
          <w:bCs/>
          <w:sz w:val="22"/>
          <w:szCs w:val="22"/>
          <w:lang w:eastAsia="es-ES"/>
        </w:rPr>
        <w:t xml:space="preserve">Totes les millores que les empreses licitadores vulguin oferir hauran de constar degudament indicades a l’Annex II, el qual tindrà la consideració de declaració responsable a tots els efectes. Així mateix, els/les licitadors/res tenen l’obligació de presentar tota la documentació oficial que sigui necessària per tal d’acreditar les millores que ofereixen. Previ a l’adjudicació del contracte, l’Ajuntament podrà requerir la documentació </w:t>
      </w:r>
      <w:r>
        <w:rPr>
          <w:rFonts w:ascii="Calibri" w:hAnsi="Calibri" w:cs="Calibri"/>
          <w:b/>
          <w:bCs/>
          <w:sz w:val="22"/>
          <w:szCs w:val="22"/>
          <w:lang w:eastAsia="es-ES"/>
        </w:rPr>
        <w:t xml:space="preserve">justificativa </w:t>
      </w:r>
      <w:r w:rsidRPr="00D55967">
        <w:rPr>
          <w:rFonts w:ascii="Calibri" w:hAnsi="Calibri" w:cs="Calibri"/>
          <w:b/>
          <w:bCs/>
          <w:sz w:val="22"/>
          <w:szCs w:val="22"/>
          <w:lang w:eastAsia="es-ES"/>
        </w:rPr>
        <w:t xml:space="preserve">per a la comprovació de totes les millores ofertes. </w:t>
      </w:r>
    </w:p>
    <w:p w:rsidR="0015372F" w:rsidRPr="00BC2AD8" w:rsidRDefault="0015372F" w:rsidP="0015372F">
      <w:pPr>
        <w:pStyle w:val="Textoindependiente2"/>
        <w:rPr>
          <w:rFonts w:ascii="Calibri" w:hAnsi="Calibri" w:cs="Calibri"/>
          <w:sz w:val="22"/>
          <w:szCs w:val="22"/>
          <w:lang w:val="ca-ES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  <w:bookmarkStart w:id="1" w:name="_GoBack"/>
      <w:bookmarkEnd w:id="1"/>
    </w:p>
    <w:p w:rsidR="0015372F" w:rsidRPr="00D9386E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D9386E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9386E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4F1690" w:rsidRDefault="0098486F"/>
    <w:sectPr w:rsidR="004F1690">
      <w:headerReference w:type="default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486F">
      <w:r>
        <w:separator/>
      </w:r>
    </w:p>
  </w:endnote>
  <w:endnote w:type="continuationSeparator" w:id="0">
    <w:p w:rsidR="00000000" w:rsidRDefault="0098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D7508E" w:rsidRDefault="0015372F" w:rsidP="000153F3">
    <w:pPr>
      <w:pStyle w:val="Piedepgina"/>
      <w:jc w:val="center"/>
      <w:rPr>
        <w:rFonts w:ascii="Calibri" w:hAnsi="Calibri" w:cs="Calibri"/>
        <w:sz w:val="16"/>
        <w:szCs w:val="16"/>
      </w:rPr>
    </w:pPr>
    <w:proofErr w:type="spellStart"/>
    <w:r w:rsidRPr="00D7508E">
      <w:rPr>
        <w:rFonts w:ascii="Calibri" w:hAnsi="Calibri" w:cs="Calibri"/>
        <w:sz w:val="16"/>
        <w:szCs w:val="16"/>
      </w:rPr>
      <w:t>Pàg</w:t>
    </w:r>
    <w:proofErr w:type="spellEnd"/>
    <w:r w:rsidRPr="00D7508E">
      <w:rPr>
        <w:rFonts w:ascii="Calibri" w:hAnsi="Calibri" w:cs="Calibri"/>
        <w:sz w:val="16"/>
        <w:szCs w:val="16"/>
      </w:rPr>
      <w:t xml:space="preserve">.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PAGE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 w:rsidR="0098486F">
      <w:rPr>
        <w:rStyle w:val="Nmerodepgina"/>
        <w:rFonts w:ascii="Calibri" w:hAnsi="Calibri" w:cs="Calibri"/>
        <w:noProof/>
        <w:sz w:val="16"/>
        <w:szCs w:val="16"/>
      </w:rPr>
      <w:t>1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  <w:r w:rsidRPr="00D7508E">
      <w:rPr>
        <w:rStyle w:val="Nmerodepgina"/>
        <w:rFonts w:ascii="Calibri" w:hAnsi="Calibri" w:cs="Calibri"/>
        <w:sz w:val="16"/>
        <w:szCs w:val="16"/>
      </w:rPr>
      <w:t xml:space="preserve"> de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NUMPAGES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 w:rsidR="0098486F">
      <w:rPr>
        <w:rStyle w:val="Nmerodepgina"/>
        <w:rFonts w:ascii="Calibri" w:hAnsi="Calibri" w:cs="Calibri"/>
        <w:noProof/>
        <w:sz w:val="16"/>
        <w:szCs w:val="16"/>
      </w:rPr>
      <w:t>4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</w:p>
  <w:p w:rsidR="00756318" w:rsidRDefault="0098486F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D7508E" w:rsidRDefault="0015372F" w:rsidP="000153F3">
    <w:pPr>
      <w:pStyle w:val="Piedepgin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  <w:proofErr w:type="spellStart"/>
    <w:r w:rsidRPr="00D7508E">
      <w:rPr>
        <w:rFonts w:ascii="Calibri" w:hAnsi="Calibri" w:cs="Calibri"/>
        <w:sz w:val="16"/>
        <w:szCs w:val="16"/>
      </w:rPr>
      <w:t>Pàg</w:t>
    </w:r>
    <w:proofErr w:type="spellEnd"/>
    <w:r w:rsidRPr="00D7508E">
      <w:rPr>
        <w:rFonts w:ascii="Calibri" w:hAnsi="Calibri" w:cs="Calibri"/>
        <w:sz w:val="16"/>
        <w:szCs w:val="16"/>
      </w:rPr>
      <w:t xml:space="preserve">.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PAGE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>
      <w:rPr>
        <w:rStyle w:val="Nmerodepgina"/>
        <w:rFonts w:ascii="Calibri" w:hAnsi="Calibri" w:cs="Calibri"/>
        <w:noProof/>
        <w:sz w:val="16"/>
        <w:szCs w:val="16"/>
      </w:rPr>
      <w:t>1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  <w:r w:rsidRPr="00D7508E">
      <w:rPr>
        <w:rStyle w:val="Nmerodepgina"/>
        <w:rFonts w:ascii="Calibri" w:hAnsi="Calibri" w:cs="Calibri"/>
        <w:sz w:val="16"/>
        <w:szCs w:val="16"/>
      </w:rPr>
      <w:t xml:space="preserve"> de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NUMPAGES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>
      <w:rPr>
        <w:rStyle w:val="Nmerodepgina"/>
        <w:rFonts w:ascii="Calibri" w:hAnsi="Calibri" w:cs="Calibri"/>
        <w:noProof/>
        <w:sz w:val="16"/>
        <w:szCs w:val="16"/>
      </w:rPr>
      <w:t>5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56318" w:rsidTr="000153F3">
      <w:tc>
        <w:tcPr>
          <w:tcW w:w="675" w:type="dxa"/>
          <w:shd w:val="clear" w:color="auto" w:fill="auto"/>
        </w:tcPr>
        <w:p w:rsidR="00756318" w:rsidRPr="00BB1176" w:rsidRDefault="0015372F" w:rsidP="000153F3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89560" cy="289560"/>
                <wp:effectExtent l="0" t="0" r="0" b="0"/>
                <wp:docPr id="1" name="Imagen 1" descr="Title: TAO-IMG;QR;1524565276372261070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tle: TAO-IMG;QR;15245652763722610705;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56318" w:rsidRPr="00BB1176" w:rsidRDefault="0015372F" w:rsidP="000153F3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15245652763722610705 a la Seu electrònica de l’Ajuntament de Castelldefels: </w:t>
          </w:r>
          <w:hyperlink r:id="rId2" w:history="1">
            <w:r w:rsidRPr="00BB1176">
              <w:rPr>
                <w:rStyle w:val="Hipervnculo"/>
                <w:sz w:val="16"/>
                <w:szCs w:val="16"/>
              </w:rPr>
              <w:t>https://seu.castelldefels.org/validar</w:t>
            </w:r>
          </w:hyperlink>
        </w:p>
      </w:tc>
    </w:tr>
  </w:tbl>
  <w:p w:rsidR="00756318" w:rsidRDefault="009848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486F">
      <w:r>
        <w:separator/>
      </w:r>
    </w:p>
  </w:footnote>
  <w:footnote w:type="continuationSeparator" w:id="0">
    <w:p w:rsidR="00000000" w:rsidRDefault="0098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EB6C71" w:rsidRDefault="0098486F" w:rsidP="000153F3">
    <w:pPr>
      <w:pStyle w:val="Encabezad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71090"/>
    <w:multiLevelType w:val="hybridMultilevel"/>
    <w:tmpl w:val="2A70954E"/>
    <w:lvl w:ilvl="0" w:tplc="01D469F0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ca-ES" w:bidi="ca-ES"/>
      </w:rPr>
    </w:lvl>
    <w:lvl w:ilvl="1" w:tplc="B45A5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2F"/>
    <w:rsid w:val="0015372F"/>
    <w:rsid w:val="003715DD"/>
    <w:rsid w:val="009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59DBA-A89B-47A9-97CE-A74E6CD1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15372F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5372F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5372F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537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15372F"/>
  </w:style>
  <w:style w:type="paragraph" w:styleId="Piedepgina">
    <w:name w:val="footer"/>
    <w:basedOn w:val="Normal"/>
    <w:link w:val="PiedepginaCar"/>
    <w:rsid w:val="0015372F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537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15372F"/>
    <w:rPr>
      <w:color w:val="0000FF"/>
      <w:u w:val="single"/>
    </w:rPr>
  </w:style>
  <w:style w:type="paragraph" w:customStyle="1" w:styleId="Normal0">
    <w:name w:val="Normal_0"/>
    <w:qFormat/>
    <w:rsid w:val="0015372F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es-ES"/>
    </w:rPr>
  </w:style>
  <w:style w:type="paragraph" w:customStyle="1" w:styleId="Piedepgina0">
    <w:name w:val="Pie de página_0"/>
    <w:basedOn w:val="Normal"/>
    <w:rsid w:val="0015372F"/>
    <w:pPr>
      <w:tabs>
        <w:tab w:val="center" w:pos="4252"/>
        <w:tab w:val="right" w:pos="8504"/>
      </w:tabs>
      <w:jc w:val="both"/>
    </w:pPr>
    <w:rPr>
      <w:rFonts w:ascii="Calibri" w:hAnsi="Calibri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2025-07-11T12:27:00Z</dcterms:created>
  <dcterms:modified xsi:type="dcterms:W3CDTF">2025-10-02T11:20:00Z</dcterms:modified>
</cp:coreProperties>
</file>