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Documentació administrativa per participar en el procediment obert per a</w:t>
      </w:r>
      <w:r>
        <w:rPr>
          <w:rFonts w:eastAsia="Arial" w:cs="Arial" w:ascii="Arial" w:hAnsi="Arial"/>
          <w:b/>
          <w:bCs/>
          <w:i/>
          <w:iCs/>
          <w:color w:val="000000"/>
          <w:sz w:val="22"/>
          <w:szCs w:val="22"/>
          <w:u w:val="none"/>
          <w:shd w:fill="auto" w:val="clear"/>
          <w:lang w:val="ca-ES"/>
        </w:rPr>
        <w:t xml:space="preserve">l contracte </w:t>
      </w:r>
      <w:r>
        <w:rPr>
          <w:rFonts w:eastAsia="Arial" w:cs="Arial" w:ascii="Arial" w:hAnsi="Arial"/>
          <w:b/>
          <w:bCs/>
          <w:i/>
          <w:iCs/>
          <w:color w:val="000000"/>
          <w:sz w:val="22"/>
          <w:szCs w:val="22"/>
          <w:u w:val="none"/>
          <w:shd w:fill="auto" w:val="clear"/>
          <w:lang w:val="ca-ES"/>
        </w:rPr>
        <w:t>de serveis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1"/>
        </w:numPr>
        <w:pBdr/>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 xml:space="preserve">l contracte </w:t>
      </w:r>
      <w:r>
        <w:rPr>
          <w:rFonts w:eastAsia="Arial" w:cs="Arial" w:ascii="Arial" w:hAnsi="Arial"/>
          <w:b w:val="false"/>
          <w:i/>
          <w:color w:val="000000"/>
          <w:sz w:val="22"/>
          <w:szCs w:val="22"/>
          <w:shd w:fill="FFFFFF" w:val="clear"/>
          <w:lang w:val="ca-ES"/>
        </w:rPr>
        <w:t>de serveis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1"/>
        </w:numPr>
        <w:pBdr/>
        <w:spacing w:lineRule="auto" w:line="276" w:before="0" w:after="0"/>
        <w:ind w:hanging="0" w:left="0" w:right="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2</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BodyText"/>
        <w:numPr>
          <w:ilvl w:val="0"/>
          <w:numId w:val="1"/>
        </w:numPr>
        <w:pBdr/>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3</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1"/>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1"/>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de conformitat amb el que estableix l'art. 150.2 de la LCSP, autoritza a l'Ajuntament de Granollers per que pugui obtenir directament, davant de les Administracions competents, els certificats acreditatius del compliment de les obligacions tributaries, amb la Seguretat Social </w:t>
      </w:r>
      <w:r>
        <w:rPr>
          <w:rFonts w:ascii="Arial" w:hAnsi="Arial"/>
          <w:i/>
          <w:iCs/>
          <w:color w:val="000000"/>
          <w:sz w:val="22"/>
          <w:szCs w:val="22"/>
          <w:shd w:fill="auto" w:val="clear"/>
          <w:lang w:val="ca-ES"/>
        </w:rPr>
        <w:t>i el Registre Mercantil a efectes de capacitat i representació</w:t>
      </w:r>
      <w:r>
        <w:rPr>
          <w:rFonts w:ascii="Arial" w:hAnsi="Arial"/>
          <w:i/>
          <w:iCs/>
          <w:color w:val="000000"/>
          <w:sz w:val="22"/>
          <w:szCs w:val="22"/>
          <w:shd w:fill="auto" w:val="clear"/>
          <w:lang w:val="ca-ES"/>
        </w:rPr>
        <w:t>.</w:t>
      </w:r>
      <w:r>
        <w:rPr>
          <w:rFonts w:ascii="Arial" w:hAnsi="Arial"/>
          <w:i/>
          <w:iCs/>
          <w:color w:val="000000"/>
          <w:sz w:val="20"/>
          <w:szCs w:val="20"/>
          <w:shd w:fill="auto" w:val="clear"/>
          <w:lang w:val="ca-ES"/>
        </w:rPr>
        <w:t xml:space="preserve"> </w:t>
      </w:r>
    </w:p>
    <w:p>
      <w:pPr>
        <w:pStyle w:val="BodyText"/>
        <w:numPr>
          <w:ilvl w:val="0"/>
          <w:numId w:val="1"/>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6.-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ind w:hanging="0" w:left="0" w:right="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VI</w:t>
      </w:r>
      <w:r>
        <w:rPr>
          <w:rFonts w:eastAsia="Arial" w:cs="Arial" w:ascii="Arial" w:hAnsi="Arial"/>
          <w:b w:val="false"/>
          <w:i/>
          <w:iCs/>
          <w:color w:val="000000"/>
          <w:sz w:val="22"/>
          <w:szCs w:val="22"/>
          <w:shd w:fill="auto" w:val="clear"/>
          <w:lang w:val="ca-ES"/>
        </w:rPr>
        <w:t xml:space="preserve"> del present plec.</w:t>
      </w:r>
    </w:p>
    <w:p>
      <w:pPr>
        <w:pStyle w:val="BodyText"/>
        <w:numPr>
          <w:ilvl w:val="0"/>
          <w:numId w:val="1"/>
        </w:numPr>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XI</w:t>
      </w:r>
      <w:r>
        <w:rPr>
          <w:rFonts w:eastAsia="Arial" w:cs="Arial" w:ascii="Arial" w:hAnsi="Arial"/>
          <w:b w:val="false"/>
          <w:i/>
          <w:iCs/>
          <w:color w:val="000000"/>
          <w:sz w:val="22"/>
          <w:szCs w:val="22"/>
          <w:shd w:fill="auto" w:val="clear"/>
          <w:lang w:val="ca-ES"/>
        </w:rPr>
        <w:t xml:space="preserve"> d'aquest plec.</w:t>
      </w:r>
    </w:p>
    <w:p>
      <w:pPr>
        <w:pStyle w:val="BodyText"/>
        <w:numPr>
          <w:ilvl w:val="0"/>
          <w:numId w:val="1"/>
        </w:numPr>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9</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1"/>
        </w:numPr>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0</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1"/>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1"/>
        </w:numPr>
        <w:pBdr/>
        <w:spacing w:lineRule="auto" w:line="276" w:before="0" w:after="0"/>
        <w:ind w:hanging="0" w:left="0" w:right="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1"/>
        </w:numPr>
        <w:pBdr/>
        <w:spacing w:lineRule="auto" w:line="276" w:before="0" w:after="0"/>
        <w:ind w:hanging="0" w:left="0" w:right="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1"/>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2</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1"/>
        </w:numPr>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3</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numPr>
          <w:ilvl w:val="0"/>
          <w:numId w:val="1"/>
        </w:numPr>
        <w:pBdr/>
        <w:spacing w:lineRule="auto" w:line="276" w:before="0" w:after="0"/>
        <w:ind w:hanging="0" w:left="0" w:right="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1"/>
        </w:numPr>
        <w:pBdr/>
        <w:spacing w:lineRule="auto" w:line="276" w:before="0" w:after="0"/>
        <w:ind w:hanging="0" w:left="0" w:right="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4</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FFFFFF" w:val="clear"/>
          <w:lang w:val="ca-ES" w:eastAsia="zh-CN" w:bidi="hi-IN"/>
        </w:rPr>
        <w:t>Que es disposa d</w:t>
      </w:r>
      <w:r>
        <w:rPr>
          <w:rFonts w:eastAsia="Times New Roman" w:cs="Times New Roman" w:ascii="Arial" w:hAnsi="Arial"/>
          <w:b w:val="false"/>
          <w:bCs w:val="false"/>
          <w:i/>
          <w:iCs/>
          <w:color w:val="000000"/>
          <w:sz w:val="22"/>
          <w:szCs w:val="22"/>
          <w:u w:val="none"/>
          <w:shd w:fill="FFFFFF" w:val="clear"/>
          <w:lang w:val="ca-ES" w:eastAsia="zh-CN" w:bidi="hi-IN"/>
        </w:rPr>
        <w:t>e l’</w:t>
      </w:r>
      <w:r>
        <w:rPr>
          <w:rFonts w:eastAsia="Times New Roman" w:cs="Times New Roman" w:ascii="Arial" w:hAnsi="Arial"/>
          <w:b w:val="false"/>
          <w:bCs w:val="false"/>
          <w:i/>
          <w:iCs/>
          <w:color w:val="000000"/>
          <w:sz w:val="22"/>
          <w:szCs w:val="22"/>
          <w:u w:val="none"/>
          <w:shd w:fill="FFFFFF" w:val="clear"/>
          <w:lang w:val="ca-ES" w:eastAsia="zh-CN" w:bidi="hi-IN"/>
        </w:rPr>
        <w:t xml:space="preserve">avaluació de riscos laborals conforme la normativa vigent. </w:t>
      </w:r>
    </w:p>
    <w:p>
      <w:pPr>
        <w:pStyle w:val="BodyText"/>
        <w:numPr>
          <w:ilvl w:val="0"/>
          <w:numId w:val="1"/>
        </w:numPr>
        <w:pBdr/>
        <w:spacing w:lineRule="auto" w:line="276" w:before="0" w:after="0"/>
        <w:ind w:hanging="0" w:left="0" w:right="0"/>
        <w:jc w:val="both"/>
        <w:rPr>
          <w:rFonts w:ascii="Arial" w:hAnsi="Arial" w:eastAsia="Times New Roman" w:cs="Times New Roman"/>
          <w:b w:val="false"/>
          <w:bCs w:val="false"/>
          <w:i/>
          <w:i/>
          <w:iCs/>
          <w:color w:val="000000"/>
          <w:sz w:val="22"/>
          <w:szCs w:val="22"/>
          <w:u w:val="none"/>
          <w:shd w:fill="FFFFFF" w:val="clear"/>
          <w:lang w:val="ca-ES" w:eastAsia="zh-CN" w:bidi="hi-IN"/>
        </w:rPr>
      </w:pPr>
      <w:r>
        <w:rPr>
          <w:rFonts w:eastAsia="Times New Roman" w:cs="Times New Roman" w:ascii="Arial" w:hAnsi="Arial"/>
          <w:b w:val="false"/>
          <w:bCs w:val="false"/>
          <w:i/>
          <w:iCs/>
          <w:color w:val="000000"/>
          <w:sz w:val="22"/>
          <w:szCs w:val="22"/>
          <w:u w:val="none"/>
          <w:shd w:fill="FFFFFF" w:val="clear"/>
          <w:lang w:val="ca-ES" w:eastAsia="zh-CN" w:bidi="hi-IN"/>
        </w:rPr>
      </w:r>
    </w:p>
    <w:p>
      <w:pPr>
        <w:pStyle w:val="BodyText"/>
        <w:numPr>
          <w:ilvl w:val="0"/>
          <w:numId w:val="1"/>
        </w:numPr>
        <w:pBdr/>
        <w:spacing w:lineRule="auto" w:line="276"/>
        <w:ind w:hanging="0" w:left="0" w:right="0"/>
        <w:jc w:val="both"/>
        <w:rPr>
          <w:rFonts w:ascii="Arial" w:hAnsi="Arial"/>
          <w:i/>
          <w:i/>
          <w:iCs/>
          <w:color w:val="000000"/>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15.-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numPr>
          <w:ilvl w:val="0"/>
          <w:numId w:val="1"/>
        </w:numPr>
        <w:pBdr/>
        <w:tabs>
          <w:tab w:val="clear" w:pos="720"/>
        </w:tabs>
        <w:bidi w:val="0"/>
        <w:spacing w:lineRule="auto" w:line="276" w:before="57" w:after="57"/>
        <w:ind w:hanging="0" w:left="0" w:right="0"/>
        <w:jc w:val="both"/>
        <w:rPr>
          <w:rFonts w:ascii="Arial" w:hAnsi="Arial"/>
          <w:i w:val="false"/>
          <w:i w:val="false"/>
          <w:iCs w:val="false"/>
          <w:color w:val="auto"/>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Normal"/>
        <w:widowControl/>
        <w:numPr>
          <w:ilvl w:val="0"/>
          <w:numId w:val="1"/>
        </w:numPr>
        <w:pBdr/>
        <w:tabs>
          <w:tab w:val="clear" w:pos="720"/>
        </w:tabs>
        <w:bidi w:val="0"/>
        <w:spacing w:lineRule="auto" w:line="276" w:before="171" w:after="171"/>
        <w:ind w:hanging="0" w:left="0" w:right="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6</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numPr>
          <w:ilvl w:val="0"/>
          <w:numId w:val="1"/>
        </w:numPr>
        <w:pBdr/>
        <w:tabs>
          <w:tab w:val="clear" w:pos="720"/>
        </w:tabs>
        <w:bidi w:val="0"/>
        <w:spacing w:lineRule="auto" w:line="276" w:before="0" w:after="0"/>
        <w:ind w:hanging="0" w:left="0" w:right="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ind w:hanging="0" w:left="0" w:right="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numPr>
          <w:ilvl w:val="0"/>
          <w:numId w:val="1"/>
        </w:numPr>
        <w:pBdr/>
        <w:spacing w:lineRule="auto" w:line="276" w:before="0" w:after="0"/>
        <w:ind w:hanging="0" w:left="0" w:right="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numPr>
          <w:ilvl w:val="0"/>
          <w:numId w:val="1"/>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numPr>
          <w:ilvl w:val="0"/>
          <w:numId w:val="1"/>
        </w:numPr>
        <w:pBdr/>
        <w:bidi w:val="0"/>
        <w:spacing w:lineRule="auto" w:line="276" w:before="57" w:after="57"/>
        <w:ind w:hanging="0" w:left="0" w:right="0"/>
        <w:jc w:val="both"/>
        <w:rPr>
          <w:rFonts w:ascii="Arial" w:hAnsi="Arial"/>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rPr>
        <w:t>(Lloc, data i signatura del licitador)</w:t>
      </w:r>
      <w:r>
        <w:rPr>
          <w:rFonts w:cs="Arial"/>
          <w:b/>
          <w:bCs/>
          <w:i/>
          <w:iCs/>
          <w:color w:val="000000"/>
          <w:sz w:val="22"/>
          <w:szCs w:val="22"/>
          <w:lang w:val="ca-ES"/>
        </w:rPr>
        <w:t>.</w:t>
      </w:r>
      <w:r>
        <w:rPr>
          <w:rFonts w:cs="Arial"/>
          <w:b w:val="false"/>
          <w:bCs w:val="false"/>
          <w:i/>
          <w:iCs/>
          <w:color w:val="000000"/>
          <w:sz w:val="22"/>
          <w:szCs w:val="22"/>
          <w:lang w:val="ca-ES"/>
        </w:rPr>
        <w:t>»</w:t>
      </w:r>
    </w:p>
    <w:p>
      <w:pPr>
        <w:pStyle w:val="BodyText"/>
        <w:widowControl/>
        <w:pBdr/>
        <w:bidi w:val="0"/>
        <w:spacing w:lineRule="auto" w:line="276" w:before="57" w:after="57"/>
        <w:ind w:hanging="0" w:left="0" w:right="0"/>
        <w:jc w:val="both"/>
        <w:rPr>
          <w:rFonts w:ascii="Arial" w:hAnsi="Arial"/>
          <w:b/>
          <w:bCs/>
          <w:i w:val="false"/>
          <w:i w:val="false"/>
          <w:iCs w:val="false"/>
          <w:color w:val="auto"/>
          <w:sz w:val="22"/>
          <w:szCs w:val="22"/>
          <w:u w:val="single"/>
          <w:lang w:val="ca-ES"/>
        </w:rPr>
      </w:pPr>
      <w:r>
        <w:rPr>
          <w:rFonts w:cs="Arial" w:ascii="Arial" w:hAnsi="Arial"/>
          <w:b/>
          <w:bCs/>
          <w:i/>
          <w:iCs/>
          <w:color w:val="000000"/>
          <w:sz w:val="22"/>
          <w:szCs w:val="22"/>
          <w:lang w:val="ca-E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170"/>
        </w:tabs>
        <w:ind w:left="170" w:hanging="170"/>
      </w:pPr>
      <w:rPr>
        <w:rFonts w:ascii="Symbol" w:hAnsi="Symbol" w:cs="Symbol" w:hint="default"/>
        <w:color w:val="auto"/>
      </w:rPr>
    </w:lvl>
    <w:lvl w:ilvl="1">
      <w:start w:val="1"/>
      <w:numFmt w:val="bullet"/>
      <w:lvlText w:val=""/>
      <w:lvlJc w:val="left"/>
      <w:pPr>
        <w:tabs>
          <w:tab w:val="num" w:pos="340"/>
        </w:tabs>
        <w:ind w:left="340" w:hanging="170"/>
      </w:pPr>
      <w:rPr>
        <w:rFonts w:ascii="Symbol" w:hAnsi="Symbol" w:cs="Symbol" w:hint="default"/>
        <w:color w:val="auto"/>
      </w:rPr>
    </w:lvl>
    <w:lvl w:ilvl="2">
      <w:start w:val="1"/>
      <w:numFmt w:val="bullet"/>
      <w:lvlText w:val=""/>
      <w:lvlJc w:val="left"/>
      <w:pPr>
        <w:tabs>
          <w:tab w:val="num" w:pos="510"/>
        </w:tabs>
        <w:ind w:left="510" w:hanging="170"/>
      </w:pPr>
      <w:rPr>
        <w:rFonts w:ascii="Symbol" w:hAnsi="Symbol" w:cs="Symbol" w:hint="default"/>
        <w:color w:val="auto"/>
      </w:rPr>
    </w:lvl>
    <w:lvl w:ilvl="3">
      <w:start w:val="1"/>
      <w:numFmt w:val="bullet"/>
      <w:lvlText w:val=""/>
      <w:lvlJc w:val="left"/>
      <w:pPr>
        <w:tabs>
          <w:tab w:val="num" w:pos="680"/>
        </w:tabs>
        <w:ind w:left="680" w:hanging="170"/>
      </w:pPr>
      <w:rPr>
        <w:rFonts w:ascii="Symbol" w:hAnsi="Symbol" w:cs="Symbol" w:hint="default"/>
        <w:color w:val="auto"/>
      </w:rPr>
    </w:lvl>
    <w:lvl w:ilvl="4">
      <w:start w:val="1"/>
      <w:numFmt w:val="bullet"/>
      <w:lvlText w:val=""/>
      <w:lvlJc w:val="left"/>
      <w:pPr>
        <w:tabs>
          <w:tab w:val="num" w:pos="850"/>
        </w:tabs>
        <w:ind w:left="850" w:hanging="170"/>
      </w:pPr>
      <w:rPr>
        <w:rFonts w:ascii="Symbol" w:hAnsi="Symbol" w:cs="Symbol" w:hint="default"/>
        <w:color w:val="auto"/>
      </w:rPr>
    </w:lvl>
    <w:lvl w:ilvl="5">
      <w:start w:val="1"/>
      <w:numFmt w:val="bullet"/>
      <w:lvlText w:val=""/>
      <w:lvlJc w:val="left"/>
      <w:pPr>
        <w:tabs>
          <w:tab w:val="num" w:pos="1020"/>
        </w:tabs>
        <w:ind w:left="1020" w:hanging="170"/>
      </w:pPr>
      <w:rPr>
        <w:rFonts w:ascii="Symbol" w:hAnsi="Symbol" w:cs="Symbol" w:hint="default"/>
        <w:color w:val="auto"/>
      </w:rPr>
    </w:lvl>
    <w:lvl w:ilvl="6">
      <w:start w:val="1"/>
      <w:numFmt w:val="bullet"/>
      <w:lvlText w:val=""/>
      <w:lvlJc w:val="left"/>
      <w:pPr>
        <w:tabs>
          <w:tab w:val="num" w:pos="1191"/>
        </w:tabs>
        <w:ind w:left="1191" w:hanging="170"/>
      </w:pPr>
      <w:rPr>
        <w:rFonts w:ascii="Symbol" w:hAnsi="Symbol" w:cs="Symbol" w:hint="default"/>
        <w:color w:val="auto"/>
      </w:rPr>
    </w:lvl>
    <w:lvl w:ilvl="7">
      <w:start w:val="1"/>
      <w:numFmt w:val="bullet"/>
      <w:lvlText w:val=""/>
      <w:lvlJc w:val="left"/>
      <w:pPr>
        <w:tabs>
          <w:tab w:val="num" w:pos="1361"/>
        </w:tabs>
        <w:ind w:left="1361" w:hanging="170"/>
      </w:pPr>
      <w:rPr>
        <w:rFonts w:ascii="Symbol" w:hAnsi="Symbol" w:cs="Symbol" w:hint="default"/>
        <w:color w:val="auto"/>
      </w:rPr>
    </w:lvl>
    <w:lvl w:ilvl="8">
      <w:start w:val="1"/>
      <w:numFmt w:val="bullet"/>
      <w:lvlText w:val=""/>
      <w:lvlJc w:val="left"/>
      <w:pPr>
        <w:tabs>
          <w:tab w:val="num" w:pos="1531"/>
        </w:tabs>
        <w:ind w:left="1531" w:hanging="170"/>
      </w:pPr>
      <w:rPr>
        <w:rFonts w:ascii="Symbol" w:hAnsi="Symbol" w:cs="Symbol" w:hint="default"/>
        <w:color w:val="auto"/>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2"/>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3"/>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paragraph" w:styleId="LO-Normal">
    <w:name w:val="LO-Normal"/>
    <w:qFormat/>
    <w:pPr>
      <w:widowControl/>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16</TotalTime>
  <Application>LibreOffice/24.8.7.2$Windows_X86_64 LibreOffice_project/e07d0a63a46349d29051da79b1fde8160bab2a89</Application>
  <AppVersion>15.0000</AppVersion>
  <Pages>4</Pages>
  <Words>1100</Words>
  <Characters>6119</Characters>
  <CharactersWithSpaces>7171</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2025-10-01T08:40:10Z</dcterms:modified>
  <cp:revision>17</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