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9E35" w14:textId="106CA34C" w:rsidR="00CB4BB7" w:rsidRPr="00AB16C6" w:rsidRDefault="0043478C" w:rsidP="002973C7">
      <w:pPr>
        <w:pStyle w:val="Ttol2"/>
        <w:numPr>
          <w:ilvl w:val="0"/>
          <w:numId w:val="0"/>
        </w:numPr>
        <w:ind w:left="360" w:hanging="360"/>
      </w:pPr>
      <w:bookmarkStart w:id="0" w:name="_Toc209624508"/>
      <w:r w:rsidRPr="00AB16C6">
        <w:t>Annex 12. Declaració relativa a la promoció d’ocupació amb persones en</w:t>
      </w:r>
      <w:r w:rsidR="002973C7">
        <w:t xml:space="preserve"> </w:t>
      </w:r>
      <w:r w:rsidRPr="00AB16C6">
        <w:t>situació d’atur</w:t>
      </w:r>
      <w:r w:rsidR="00CB4BB7" w:rsidRPr="00AB16C6">
        <w:t>:</w:t>
      </w:r>
      <w:bookmarkEnd w:id="0"/>
      <w:r w:rsidR="00CB4BB7" w:rsidRPr="00AB16C6">
        <w:t xml:space="preserve"> </w:t>
      </w:r>
    </w:p>
    <w:p w14:paraId="3DB05A9B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 A presentar únicament pel licitador proposat com adjudicatari)</w:t>
      </w:r>
    </w:p>
    <w:p w14:paraId="07C4A9C4" w14:textId="3746952C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................................., amb DNI núm. ......................, en nom propi o, si escau, en nom propi i de ………………………….( la persona física o jurídica que representa), amb NIF ..................... havent estat proposat com adjudicatari en el procediment obert per la contractació del lot núm. ....... del servei de .......................................................... (Expedient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)”</w:t>
      </w:r>
    </w:p>
    <w:p w14:paraId="1EB16C11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 :</w:t>
      </w:r>
    </w:p>
    <w:p w14:paraId="64EFFD99" w14:textId="1868F572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es compromet a que en cas que per a l’execució del contracte l’empresa hagi de contractar nou personal (incloent personal de substitucions per a vacances, malalties, </w:t>
      </w:r>
      <w:proofErr w:type="spellStart"/>
      <w:r w:rsidRPr="00AB16C6">
        <w:rPr>
          <w:rFonts w:cs="Tahoma"/>
          <w:szCs w:val="24"/>
          <w:lang w:val="ca-ES"/>
        </w:rPr>
        <w:t>etc</w:t>
      </w:r>
      <w:proofErr w:type="spellEnd"/>
      <w:r w:rsidRPr="00AB16C6">
        <w:rPr>
          <w:rFonts w:cs="Tahoma"/>
          <w:szCs w:val="24"/>
          <w:lang w:val="ca-ES"/>
        </w:rPr>
        <w:t>), aquestes persones es seleccionaran entre persones que estiguin en situació d’atur, inscrites en els Serveis Públics d’Ocupació corresponents com a demandants d’ocupació, no ocupats i les contractacions es portaran a terme, entre personal capacitat, seleccionat a través dels processos d’intermediació laboral del Servei d’Ocupació. L’acreditació d’aquest compromís s’efectuarà mitjançant informe o certificat expedit per l’esmentat Servei d’Ocupació.</w:t>
      </w:r>
    </w:p>
    <w:p w14:paraId="545D2D79" w14:textId="096B5CC0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en cas que a través de l’esmentat procés d’intermediació laboral no sigui possible seleccionar treballadors amb el perfil laboral adequat per a l’execució del contracte, acreditarà aquest extrem mitjançant informe o certificat expedit per l’esmentat Servei d’Ocupació (en aquest cas l’adjudicatari podrà seleccionar i contractar aquests treballadors per altres mitjans adients).</w:t>
      </w:r>
    </w:p>
    <w:p w14:paraId="720E6F17" w14:textId="19E2CA34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comunicarà les noves contractacions de personal que efectuï per a l’execució d’aquest contracte, aportant l’informe o certificat esmentat al paràgraf anterior, amb còpia del contracte de treball en el termini de deu dies que aquest s’hagi produït.</w:t>
      </w:r>
    </w:p>
    <w:p w14:paraId="2EC8AC15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637E7CAA" w14:textId="77777777" w:rsidR="00CB4BB7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CB4BB7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C631" w14:textId="77777777" w:rsidR="00A90C43" w:rsidRDefault="00A90C43" w:rsidP="00115EB3">
      <w:pPr>
        <w:spacing w:after="0" w:line="240" w:lineRule="auto"/>
      </w:pPr>
      <w:r>
        <w:separator/>
      </w:r>
    </w:p>
  </w:endnote>
  <w:endnote w:type="continuationSeparator" w:id="0">
    <w:p w14:paraId="6FA51413" w14:textId="77777777" w:rsidR="00A90C43" w:rsidRDefault="00A90C43" w:rsidP="00115EB3">
      <w:pPr>
        <w:spacing w:after="0" w:line="240" w:lineRule="auto"/>
      </w:pPr>
      <w:r>
        <w:continuationSeparator/>
      </w:r>
    </w:p>
  </w:endnote>
  <w:endnote w:type="continuationNotice" w:id="1">
    <w:p w14:paraId="39FCD983" w14:textId="77777777" w:rsidR="00A90C43" w:rsidRDefault="00A90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25A1" w14:textId="77777777" w:rsidR="00A90C43" w:rsidRDefault="00A90C43" w:rsidP="00115EB3">
      <w:pPr>
        <w:spacing w:after="0" w:line="240" w:lineRule="auto"/>
      </w:pPr>
      <w:r>
        <w:separator/>
      </w:r>
    </w:p>
  </w:footnote>
  <w:footnote w:type="continuationSeparator" w:id="0">
    <w:p w14:paraId="5761F108" w14:textId="77777777" w:rsidR="00A90C43" w:rsidRDefault="00A90C43" w:rsidP="00115EB3">
      <w:pPr>
        <w:spacing w:after="0" w:line="240" w:lineRule="auto"/>
      </w:pPr>
      <w:r>
        <w:continuationSeparator/>
      </w:r>
    </w:p>
  </w:footnote>
  <w:footnote w:type="continuationNotice" w:id="1">
    <w:p w14:paraId="40BF1076" w14:textId="77777777" w:rsidR="00A90C43" w:rsidRDefault="00A90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0F5E0F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973C7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90C43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2025-09-30T10:43:00Z</dcterms:created>
  <dcterms:modified xsi:type="dcterms:W3CDTF">2025-09-30T10:43:00Z</dcterms:modified>
</cp:coreProperties>
</file>