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A8F2F" w14:textId="77777777" w:rsidR="00FD7540" w:rsidRDefault="00000000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3B93BC1E" w14:textId="3A82D50F" w:rsidR="002129EF" w:rsidRPr="00000718" w:rsidRDefault="00000000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5E41B6">
        <w:rPr>
          <w:b/>
          <w:sz w:val="20"/>
          <w:u w:val="single"/>
        </w:rPr>
        <w:t>7</w:t>
      </w:r>
    </w:p>
    <w:p w14:paraId="2DA48DA9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1CDB602B" w14:textId="77777777"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14:paraId="270507F2" w14:textId="77777777" w:rsidR="002129EF" w:rsidRPr="00000718" w:rsidRDefault="00000000" w:rsidP="00000718">
      <w:pPr>
        <w:rPr>
          <w:b/>
          <w:sz w:val="20"/>
        </w:rPr>
      </w:pPr>
      <w:r w:rsidRPr="00000718">
        <w:rPr>
          <w:b/>
          <w:sz w:val="20"/>
        </w:rPr>
        <w:t>A. MODEL D'AVAL GARANTIA PROVISIONAL</w:t>
      </w:r>
    </w:p>
    <w:p w14:paraId="070E9CD8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6A3BA59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6230C4CB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="000E7674" w:rsidRPr="00647A39">
        <w:rPr>
          <w:sz w:val="20"/>
          <w:highlight w:val="lightGray"/>
        </w:rPr>
        <w:t>...</w:t>
      </w:r>
      <w:r w:rsidR="000E7674">
        <w:rPr>
          <w:rFonts w:cs="Arial"/>
          <w:color w:val="000000"/>
          <w:spacing w:val="-2"/>
          <w:sz w:val="20"/>
        </w:rPr>
        <w:t xml:space="preserve"> i, en el seu nom, en/na </w:t>
      </w:r>
      <w:r w:rsidR="000E7674" w:rsidRPr="00647A39">
        <w:rPr>
          <w:sz w:val="20"/>
          <w:highlight w:val="lightGray"/>
        </w:rPr>
        <w:t>...</w:t>
      </w:r>
      <w:r w:rsidR="000E7674">
        <w:rPr>
          <w:sz w:val="20"/>
        </w:rPr>
        <w:t xml:space="preserve"> , </w:t>
      </w:r>
      <w:r w:rsidR="00BC54DE"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03FA7F22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3BEBF798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66865D8E" w14:textId="77777777" w:rsidR="002129EF" w:rsidRPr="00000718" w:rsidRDefault="00000000">
      <w:pPr>
        <w:rPr>
          <w:rFonts w:cs="Arial"/>
          <w:b/>
          <w:bCs/>
          <w:color w:val="000000"/>
          <w:spacing w:val="-2"/>
          <w:sz w:val="20"/>
        </w:rPr>
      </w:pPr>
      <w:r w:rsidRPr="00000718">
        <w:rPr>
          <w:rFonts w:cs="Arial"/>
          <w:b/>
          <w:bCs/>
          <w:color w:val="000000"/>
          <w:spacing w:val="-2"/>
          <w:sz w:val="20"/>
        </w:rPr>
        <w:t>AVALA</w:t>
      </w:r>
    </w:p>
    <w:p w14:paraId="4BBFFA89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1EFB2D77" w14:textId="77777777" w:rsidR="002129EF" w:rsidRDefault="000E767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 w:rsidR="00000000"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contracte, aprovat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provisional i per respondre del manteniment de l’oferta fins la perfecció del contracte,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 w:rsidR="00000000">
        <w:rPr>
          <w:rFonts w:cs="Arial"/>
          <w:color w:val="000000"/>
          <w:spacing w:val="-2"/>
          <w:sz w:val="20"/>
        </w:rPr>
        <w:t>.</w:t>
      </w:r>
    </w:p>
    <w:p w14:paraId="250C03F3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9005353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7C896D04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F2838CD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0517DE2D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FB325AE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16B99367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68588E63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285B601B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482B41D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544A13D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VERIFICACIÓ DE LA PRESENTACIÓ</w:t>
      </w:r>
    </w:p>
    <w:p w14:paraId="24EA7FCC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53357865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455898E0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2EDAF93" w14:textId="77777777" w:rsidR="00FD7540" w:rsidRDefault="00FD7540">
      <w:pPr>
        <w:rPr>
          <w:rFonts w:cs="Arial"/>
          <w:color w:val="000000"/>
          <w:spacing w:val="-2"/>
          <w:sz w:val="20"/>
        </w:rPr>
      </w:pPr>
    </w:p>
    <w:p w14:paraId="23759151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70548E17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76DBF500" w14:textId="77777777" w:rsidR="002129EF" w:rsidRPr="000E7674" w:rsidRDefault="00000000" w:rsidP="000E7674">
      <w:pPr>
        <w:rPr>
          <w:b/>
          <w:sz w:val="20"/>
        </w:rPr>
      </w:pPr>
      <w:r w:rsidRPr="000E7674">
        <w:rPr>
          <w:b/>
          <w:sz w:val="20"/>
        </w:rPr>
        <w:t>B. MODEL D'AVAL GARANTIA DEFINITIVA</w:t>
      </w:r>
    </w:p>
    <w:p w14:paraId="6F52E986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5AD5A281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50C80D33" w14:textId="77777777" w:rsidR="00C00C57" w:rsidRDefault="00000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25AF2B4E" w14:textId="77777777" w:rsidR="002129EF" w:rsidRDefault="002129EF" w:rsidP="000E7674">
      <w:pPr>
        <w:rPr>
          <w:sz w:val="20"/>
        </w:rPr>
      </w:pPr>
    </w:p>
    <w:p w14:paraId="4C1D17A4" w14:textId="77777777" w:rsidR="00C00C57" w:rsidRPr="000E7674" w:rsidRDefault="00C00C57" w:rsidP="000E7674">
      <w:pPr>
        <w:rPr>
          <w:sz w:val="20"/>
        </w:rPr>
      </w:pPr>
    </w:p>
    <w:p w14:paraId="1320D349" w14:textId="77777777" w:rsidR="002129EF" w:rsidRPr="000E7674" w:rsidRDefault="00000000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6D564FCA" w14:textId="77777777" w:rsidR="002129EF" w:rsidRDefault="002129EF" w:rsidP="000E7674">
      <w:pPr>
        <w:rPr>
          <w:sz w:val="20"/>
        </w:rPr>
      </w:pPr>
    </w:p>
    <w:p w14:paraId="233FE209" w14:textId="77777777" w:rsidR="00C00C57" w:rsidRDefault="00000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64CF2B3D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ABAB74C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6816CD47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DCE0192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731F23A4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CA7301C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04ED5A72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20B38AB4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22DCD337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C9FA4D3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382DCD6" w14:textId="77777777" w:rsidR="002129EF" w:rsidRPr="00C00C57" w:rsidRDefault="00000000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2E5EE1B3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09054F58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2BC1A91A" w14:textId="77777777" w:rsidR="00FD7540" w:rsidRPr="00FD7540" w:rsidRDefault="0000000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8A4C" w14:textId="77777777" w:rsidR="00386C78" w:rsidRDefault="00386C78">
      <w:r>
        <w:separator/>
      </w:r>
    </w:p>
  </w:endnote>
  <w:endnote w:type="continuationSeparator" w:id="0">
    <w:p w14:paraId="481661AB" w14:textId="77777777" w:rsidR="00386C78" w:rsidRDefault="0038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0728A" w14:textId="77777777" w:rsidR="00386C78" w:rsidRDefault="00386C78">
      <w:r>
        <w:separator/>
      </w:r>
    </w:p>
  </w:footnote>
  <w:footnote w:type="continuationSeparator" w:id="0">
    <w:p w14:paraId="185CF897" w14:textId="77777777" w:rsidR="00386C78" w:rsidRDefault="00386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03203" w14:textId="77777777" w:rsidR="00FD7540" w:rsidRPr="00FD7540" w:rsidRDefault="00FD7540" w:rsidP="00FD7540">
    <w:pPr>
      <w:rPr>
        <w:szCs w:val="20"/>
      </w:rPr>
    </w:pPr>
  </w:p>
  <w:p w14:paraId="754B9007" w14:textId="77777777" w:rsidR="00FD7540" w:rsidRPr="00FD7540" w:rsidRDefault="00000000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3CB164A8" wp14:editId="7C6F63C9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14EF5" w14:textId="77777777" w:rsidR="00FD7540" w:rsidRPr="00FD7540" w:rsidRDefault="00FD7540" w:rsidP="00FD7540">
    <w:pPr>
      <w:rPr>
        <w:szCs w:val="20"/>
      </w:rPr>
    </w:pPr>
  </w:p>
  <w:p w14:paraId="549EF4EE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8F5A44" w14:paraId="0D5FE65C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712725E6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05E5E7C9" w14:textId="77777777" w:rsidR="00FD7540" w:rsidRPr="005E41B6" w:rsidRDefault="00000000" w:rsidP="003722D9">
          <w:pPr>
            <w:spacing w:before="60" w:after="60"/>
            <w:jc w:val="center"/>
            <w:rPr>
              <w:sz w:val="18"/>
              <w:szCs w:val="20"/>
              <w:lang w:val="en-GB"/>
            </w:rPr>
          </w:pPr>
          <w:r w:rsidRPr="005E41B6">
            <w:rPr>
              <w:rFonts w:ascii="Code128" w:hAnsi="Code128"/>
              <w:color w:val="000000"/>
              <w:sz w:val="18"/>
              <w:szCs w:val="20"/>
              <w:lang w:val="en-GB"/>
            </w:rPr>
            <w:t>²3S6M344A083I1B4N0UPP"»</w:t>
          </w:r>
        </w:p>
        <w:p w14:paraId="5FF9CDFA" w14:textId="77777777" w:rsidR="00FD7540" w:rsidRPr="005E41B6" w:rsidRDefault="00000000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n-GB"/>
            </w:rPr>
          </w:pPr>
          <w:r w:rsidRPr="005E41B6">
            <w:rPr>
              <w:color w:val="000000"/>
              <w:sz w:val="14"/>
              <w:szCs w:val="20"/>
              <w:lang w:val="en-GB"/>
            </w:rPr>
            <w:t>3S6M     344A     083I     1B4N     0UPP</w:t>
          </w:r>
        </w:p>
      </w:tc>
    </w:tr>
    <w:tr w:rsidR="008F5A44" w14:paraId="3605BD48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3151889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B5B13B0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TRO/2024/40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00F3191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1ED26FE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TRO19I00LH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61FDDBA1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2DF928B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23-06-2025</w:t>
          </w:r>
        </w:p>
      </w:tc>
    </w:tr>
    <w:tr w:rsidR="008F5A44" w14:paraId="2CDBB2AA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53B4462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1DBB132F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d'Economia i Serveis Centrals</w:t>
          </w:r>
        </w:p>
      </w:tc>
    </w:tr>
    <w:tr w:rsidR="008F5A44" w14:paraId="202F72D7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361ED44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ED80472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Transformació Organitzativa</w:t>
          </w:r>
        </w:p>
      </w:tc>
    </w:tr>
    <w:tr w:rsidR="008F5A44" w14:paraId="05391E0D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57556B62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0305812C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Prestació de serveis per al tractament arxivístic de la documentació del fons Administratiu de l'Ajuntament de Sabadell.</w:t>
          </w:r>
        </w:p>
      </w:tc>
    </w:tr>
  </w:tbl>
  <w:p w14:paraId="7B427A84" w14:textId="77777777" w:rsidR="00FD7540" w:rsidRPr="00FD7540" w:rsidRDefault="00FD7540" w:rsidP="00FD7540">
    <w:pPr>
      <w:rPr>
        <w:szCs w:val="20"/>
      </w:rPr>
    </w:pPr>
  </w:p>
  <w:p w14:paraId="406307B7" w14:textId="77777777"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D8C"/>
    <w:multiLevelType w:val="hybridMultilevel"/>
    <w:tmpl w:val="7FAEBE3E"/>
    <w:lvl w:ilvl="0" w:tplc="146CB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C15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D402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B2EB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637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C480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A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1A82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5438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468E28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D4BFE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A4A7C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3249C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B3613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AE84E1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458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D42F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8BE5F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ACD61B3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84989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6823B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7247A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746160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C401C8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8FC35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5BA0D4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D20F43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2F146F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11E2AA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2E81A5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0411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987A4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D06633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0846C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146179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1A81E8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6BD660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7D67B9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0503C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A765C5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0453F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E44EB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40216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98287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E1AD3D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3849082">
    <w:abstractNumId w:val="2"/>
  </w:num>
  <w:num w:numId="2" w16cid:durableId="1979676357">
    <w:abstractNumId w:val="0"/>
  </w:num>
  <w:num w:numId="3" w16cid:durableId="1154025616">
    <w:abstractNumId w:val="1"/>
  </w:num>
  <w:num w:numId="4" w16cid:durableId="1405640670">
    <w:abstractNumId w:val="4"/>
  </w:num>
  <w:num w:numId="5" w16cid:durableId="521355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0E"/>
    <w:rsid w:val="00000718"/>
    <w:rsid w:val="00077B95"/>
    <w:rsid w:val="000E7674"/>
    <w:rsid w:val="002129EF"/>
    <w:rsid w:val="00266DAC"/>
    <w:rsid w:val="003722D9"/>
    <w:rsid w:val="00386C78"/>
    <w:rsid w:val="00482682"/>
    <w:rsid w:val="004F582C"/>
    <w:rsid w:val="005E41B6"/>
    <w:rsid w:val="006444AF"/>
    <w:rsid w:val="00647A39"/>
    <w:rsid w:val="0070313B"/>
    <w:rsid w:val="00721C34"/>
    <w:rsid w:val="00776A6B"/>
    <w:rsid w:val="008F5A44"/>
    <w:rsid w:val="00AF3F3B"/>
    <w:rsid w:val="00BC54DE"/>
    <w:rsid w:val="00C00C57"/>
    <w:rsid w:val="00C15D0E"/>
    <w:rsid w:val="00D33E15"/>
    <w:rsid w:val="00ED0293"/>
    <w:rsid w:val="00EF4ADF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5C207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González L Elia ÀREA D'ECONOMIA I SERVEIS CENTRALS</cp:lastModifiedBy>
  <cp:revision>8</cp:revision>
  <cp:lastPrinted>2017-02-02T07:01:00Z</cp:lastPrinted>
  <dcterms:created xsi:type="dcterms:W3CDTF">2024-04-29T10:54:00Z</dcterms:created>
  <dcterms:modified xsi:type="dcterms:W3CDTF">2025-06-23T07:36:00Z</dcterms:modified>
</cp:coreProperties>
</file>