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0" w:right="-70" w:firstLine="0"/>
        <w:jc w:val="left"/>
        <w:rPr>
          <w:rFonts w:ascii="Arial" w:cs="Arial" w:eastAsia="Arial" w:hAnsi="Arial"/>
          <w:color w:val="008000"/>
          <w:sz w:val="22"/>
          <w:szCs w:val="22"/>
        </w:rPr>
      </w:pPr>
      <w:r w:rsidDel="00000000" w:rsidR="00000000" w:rsidRPr="00000000">
        <w:rPr>
          <w:rtl w:val="0"/>
        </w:rPr>
      </w:r>
    </w:p>
    <w:p w:rsidR="00000000" w:rsidDel="00000000" w:rsidP="00000000" w:rsidRDefault="00000000" w:rsidRPr="00000000" w14:paraId="00000002">
      <w:pPr>
        <w:jc w:val="center"/>
        <w:rPr>
          <w:rFonts w:ascii="Poppins" w:cs="Poppins" w:eastAsia="Poppins" w:hAnsi="Poppins"/>
        </w:rPr>
      </w:pPr>
      <w:r w:rsidDel="00000000" w:rsidR="00000000" w:rsidRPr="00000000">
        <w:rPr>
          <w:rFonts w:ascii="Poppins" w:cs="Poppins" w:eastAsia="Poppins" w:hAnsi="Poppins"/>
          <w:sz w:val="22"/>
          <w:szCs w:val="22"/>
          <w:rtl w:val="0"/>
        </w:rPr>
        <w:t xml:space="preserve">ANNEX XIII</w:t>
      </w:r>
      <w:r w:rsidDel="00000000" w:rsidR="00000000" w:rsidRPr="00000000">
        <w:rPr>
          <w:rtl w:val="0"/>
        </w:rPr>
      </w:r>
    </w:p>
    <w:p w:rsidR="00000000" w:rsidDel="00000000" w:rsidP="00000000" w:rsidRDefault="00000000" w:rsidRPr="00000000" w14:paraId="00000003">
      <w:pPr>
        <w:jc w:val="right"/>
        <w:rPr>
          <w:rFonts w:ascii="Poppins" w:cs="Poppins" w:eastAsia="Poppins" w:hAnsi="Poppins"/>
          <w:sz w:val="22"/>
          <w:szCs w:val="22"/>
        </w:rPr>
      </w:pPr>
      <w:r w:rsidDel="00000000" w:rsidR="00000000" w:rsidRPr="00000000">
        <w:rPr>
          <w:rFonts w:ascii="Poppins" w:cs="Poppins" w:eastAsia="Poppins" w:hAnsi="Poppins"/>
          <w:sz w:val="22"/>
          <w:szCs w:val="22"/>
          <w:rtl w:val="0"/>
        </w:rPr>
        <w:t xml:space="preserve">                                                                                          Model 29</w:t>
      </w:r>
    </w:p>
    <w:p w:rsidR="00000000" w:rsidDel="00000000" w:rsidP="00000000" w:rsidRDefault="00000000" w:rsidRPr="00000000" w14:paraId="00000004">
      <w:pPr>
        <w:jc w:val="right"/>
        <w:rPr>
          <w:rFonts w:ascii="Poppins" w:cs="Poppins" w:eastAsia="Poppins" w:hAnsi="Poppins"/>
          <w:sz w:val="22"/>
          <w:szCs w:val="22"/>
        </w:rPr>
      </w:pPr>
      <w:r w:rsidDel="00000000" w:rsidR="00000000" w:rsidRPr="00000000">
        <w:rPr>
          <w:rtl w:val="0"/>
        </w:rPr>
      </w:r>
    </w:p>
    <w:p w:rsidR="00000000" w:rsidDel="00000000" w:rsidP="00000000" w:rsidRDefault="00000000" w:rsidRPr="00000000" w14:paraId="00000005">
      <w:pPr>
        <w:jc w:val="right"/>
        <w:rPr>
          <w:rFonts w:ascii="Poppins" w:cs="Poppins" w:eastAsia="Poppins" w:hAnsi="Poppins"/>
          <w:sz w:val="20"/>
          <w:szCs w:val="20"/>
          <w:highlight w:val="white"/>
        </w:rPr>
      </w:pPr>
      <w:r w:rsidDel="00000000" w:rsidR="00000000" w:rsidRPr="00000000">
        <w:rPr>
          <w:rFonts w:ascii="Poppins" w:cs="Poppins" w:eastAsia="Poppins" w:hAnsi="Poppins"/>
          <w:sz w:val="18"/>
          <w:szCs w:val="18"/>
          <w:rtl w:val="0"/>
        </w:rPr>
        <w:t xml:space="preserve">Expedient: </w:t>
      </w:r>
      <w:r w:rsidDel="00000000" w:rsidR="00000000" w:rsidRPr="00000000">
        <w:rPr>
          <w:rFonts w:ascii="Poppins" w:cs="Poppins" w:eastAsia="Poppins" w:hAnsi="Poppins"/>
          <w:sz w:val="18"/>
          <w:szCs w:val="18"/>
          <w:highlight w:val="white"/>
          <w:rtl w:val="0"/>
        </w:rPr>
        <w:t xml:space="preserve">N801/2025/000230</w:t>
      </w:r>
      <w:r w:rsidDel="00000000" w:rsidR="00000000" w:rsidRPr="00000000">
        <w:rPr>
          <w:rtl w:val="0"/>
        </w:rPr>
      </w:r>
    </w:p>
    <w:p w:rsidR="00000000" w:rsidDel="00000000" w:rsidP="00000000" w:rsidRDefault="00000000" w:rsidRPr="00000000" w14:paraId="00000006">
      <w:pPr>
        <w:jc w:val="both"/>
        <w:rPr>
          <w:rFonts w:ascii="Poppins" w:cs="Poppins" w:eastAsia="Poppins" w:hAnsi="Poppins"/>
          <w:b w:val="1"/>
          <w:sz w:val="22"/>
          <w:szCs w:val="22"/>
        </w:rPr>
      </w:pPr>
      <w:r w:rsidDel="00000000" w:rsidR="00000000" w:rsidRPr="00000000">
        <w:rPr>
          <w:rtl w:val="0"/>
        </w:rPr>
      </w:r>
    </w:p>
    <w:p w:rsidR="00000000" w:rsidDel="00000000" w:rsidP="00000000" w:rsidRDefault="00000000" w:rsidRPr="00000000" w14:paraId="00000007">
      <w:pPr>
        <w:jc w:val="both"/>
        <w:rPr>
          <w:rFonts w:ascii="Poppins" w:cs="Poppins" w:eastAsia="Poppins" w:hAnsi="Poppins"/>
          <w:sz w:val="22"/>
          <w:szCs w:val="22"/>
        </w:rPr>
      </w:pPr>
      <w:r w:rsidDel="00000000" w:rsidR="00000000" w:rsidRPr="00000000">
        <w:rPr>
          <w:rFonts w:ascii="Poppins" w:cs="Poppins" w:eastAsia="Poppins" w:hAnsi="Poppins"/>
          <w:b w:val="1"/>
          <w:sz w:val="18"/>
          <w:szCs w:val="18"/>
          <w:rtl w:val="0"/>
        </w:rPr>
        <w:t xml:space="preserve">Objecte del contracte: </w:t>
      </w:r>
      <w:r w:rsidDel="00000000" w:rsidR="00000000" w:rsidRPr="00000000">
        <w:rPr>
          <w:rFonts w:ascii="Poppins" w:cs="Poppins" w:eastAsia="Poppins" w:hAnsi="Poppins"/>
          <w:sz w:val="18"/>
          <w:szCs w:val="18"/>
          <w:rtl w:val="0"/>
        </w:rPr>
        <w:t xml:space="preserve">Actuacions de retirada de canya a rieres SANT BOI RESPIRA + VERD. B2 Recuperació de la funcionalitat i  biodiversitat de grans parcs urbans i hàbitats degradats, en el marc del projecte Sant Boi Respira + Verd que compta amb el suport de la Fundación Biodiversidad del Ministerio para la Transición Ecológica y el Reto Demográfico (MITECO), en el marc del Pla de Recuperació, Transformació i Resiliència (PRTR), finançat per la Unió Europea - NextGenerationEU</w:t>
      </w:r>
      <w:r w:rsidDel="00000000" w:rsidR="00000000" w:rsidRPr="00000000">
        <w:rPr>
          <w:rtl w:val="0"/>
        </w:rPr>
      </w:r>
    </w:p>
    <w:p w:rsidR="00000000" w:rsidDel="00000000" w:rsidP="00000000" w:rsidRDefault="00000000" w:rsidRPr="00000000" w14:paraId="00000008">
      <w:pPr>
        <w:jc w:val="both"/>
        <w:rPr>
          <w:rFonts w:ascii="Poppins" w:cs="Poppins" w:eastAsia="Poppins" w:hAnsi="Poppins"/>
          <w:color w:val="222222"/>
          <w:sz w:val="22"/>
          <w:szCs w:val="22"/>
          <w:highlight w:val="white"/>
        </w:rPr>
      </w:pPr>
      <w:r w:rsidDel="00000000" w:rsidR="00000000" w:rsidRPr="00000000">
        <w:rPr>
          <w:rtl w:val="0"/>
        </w:rPr>
      </w:r>
    </w:p>
    <w:p w:rsidR="00000000" w:rsidDel="00000000" w:rsidP="00000000" w:rsidRDefault="00000000" w:rsidRPr="00000000" w14:paraId="00000009">
      <w:pPr>
        <w:rPr>
          <w:rFonts w:ascii="Poppins" w:cs="Poppins" w:eastAsia="Poppins" w:hAnsi="Poppins"/>
          <w:b w:val="1"/>
          <w:color w:val="0000ff"/>
          <w:sz w:val="22"/>
          <w:szCs w:val="22"/>
        </w:rPr>
      </w:pPr>
      <w:r w:rsidDel="00000000" w:rsidR="00000000" w:rsidRPr="00000000">
        <w:rPr>
          <w:rtl w:val="0"/>
        </w:rPr>
      </w:r>
    </w:p>
    <w:p w:rsidR="00000000" w:rsidDel="00000000" w:rsidP="00000000" w:rsidRDefault="00000000" w:rsidRPr="00000000" w14:paraId="0000000A">
      <w:pPr>
        <w:jc w:val="both"/>
        <w:rPr>
          <w:rFonts w:ascii="Poppins" w:cs="Poppins" w:eastAsia="Poppins" w:hAnsi="Poppins"/>
          <w:b w:val="1"/>
          <w:color w:val="0000ff"/>
          <w:sz w:val="22"/>
          <w:szCs w:val="22"/>
        </w:rPr>
      </w:pPr>
      <w:r w:rsidDel="00000000" w:rsidR="00000000" w:rsidRPr="00000000">
        <w:rPr>
          <w:rFonts w:ascii="Poppins" w:cs="Poppins" w:eastAsia="Poppins" w:hAnsi="Poppins"/>
          <w:b w:val="1"/>
          <w:color w:val="0000ff"/>
          <w:sz w:val="22"/>
          <w:szCs w:val="22"/>
          <w:rtl w:val="0"/>
        </w:rPr>
        <w:t xml:space="preserve">DECLARACIÓ DE COMPLIMENT DEL PRINCIPI DE «NO CAUSAR UN PERJUDICI SIGNIFICATIU» ALS SIS OBJECTIUS MEDIAMBIENTALS EN EL SENTIT DE L’ARTICLE 17 DEL REGLAMENT (UE) 2020/852</w:t>
      </w:r>
    </w:p>
    <w:p w:rsidR="00000000" w:rsidDel="00000000" w:rsidP="00000000" w:rsidRDefault="00000000" w:rsidRPr="00000000" w14:paraId="0000000B">
      <w:pPr>
        <w:jc w:val="both"/>
        <w:rPr>
          <w:rFonts w:ascii="Poppins" w:cs="Poppins" w:eastAsia="Poppins" w:hAnsi="Poppins"/>
          <w:b w:val="1"/>
          <w:sz w:val="22"/>
          <w:szCs w:val="22"/>
        </w:rPr>
      </w:pPr>
      <w:r w:rsidDel="00000000" w:rsidR="00000000" w:rsidRPr="00000000">
        <w:rPr>
          <w:rtl w:val="0"/>
        </w:rPr>
      </w:r>
    </w:p>
    <w:p w:rsidR="00000000" w:rsidDel="00000000" w:rsidP="00000000" w:rsidRDefault="00000000" w:rsidRPr="00000000" w14:paraId="0000000C">
      <w:pPr>
        <w:shd w:fill="ffffff" w:val="clear"/>
        <w:spacing w:after="180" w:before="360" w:line="360" w:lineRule="auto"/>
        <w:jc w:val="both"/>
        <w:rPr>
          <w:rFonts w:ascii="Poppins" w:cs="Poppins" w:eastAsia="Poppins" w:hAnsi="Poppins"/>
          <w:sz w:val="22"/>
          <w:szCs w:val="22"/>
        </w:rPr>
      </w:pPr>
      <w:r w:rsidDel="00000000" w:rsidR="00000000" w:rsidRPr="00000000">
        <w:rPr>
          <w:rFonts w:ascii="Poppins" w:cs="Poppins" w:eastAsia="Poppins" w:hAnsi="Poppins"/>
          <w:sz w:val="22"/>
          <w:szCs w:val="22"/>
          <w:rtl w:val="0"/>
        </w:rPr>
        <w:t xml:space="preserve">El/La Sr./Sra. .......................................... </w:t>
      </w:r>
      <w:r w:rsidDel="00000000" w:rsidR="00000000" w:rsidRPr="00000000">
        <w:rPr>
          <w:rFonts w:ascii="Poppins" w:cs="Poppins" w:eastAsia="Poppins" w:hAnsi="Poppins"/>
          <w:color w:val="666666"/>
          <w:sz w:val="22"/>
          <w:szCs w:val="22"/>
          <w:rtl w:val="0"/>
        </w:rPr>
        <w:t xml:space="preserve">(nom i cognoms)</w:t>
      </w:r>
      <w:r w:rsidDel="00000000" w:rsidR="00000000" w:rsidRPr="00000000">
        <w:rPr>
          <w:rFonts w:ascii="Poppins" w:cs="Poppins" w:eastAsia="Poppins" w:hAnsi="Poppins"/>
          <w:sz w:val="22"/>
          <w:szCs w:val="22"/>
          <w:rtl w:val="0"/>
        </w:rPr>
        <w:t xml:space="preserve">, amb DNI núm. ....................., com a .......................... </w:t>
      </w:r>
      <w:r w:rsidDel="00000000" w:rsidR="00000000" w:rsidRPr="00000000">
        <w:rPr>
          <w:rFonts w:ascii="Poppins" w:cs="Poppins" w:eastAsia="Poppins" w:hAnsi="Poppins"/>
          <w:color w:val="666666"/>
          <w:sz w:val="22"/>
          <w:szCs w:val="22"/>
          <w:rtl w:val="0"/>
        </w:rPr>
        <w:t xml:space="preserve">(càrrec que ocupa)</w:t>
      </w:r>
      <w:r w:rsidDel="00000000" w:rsidR="00000000" w:rsidRPr="00000000">
        <w:rPr>
          <w:rFonts w:ascii="Poppins" w:cs="Poppins" w:eastAsia="Poppins" w:hAnsi="Poppins"/>
          <w:sz w:val="22"/>
          <w:szCs w:val="22"/>
          <w:rtl w:val="0"/>
        </w:rPr>
        <w:t xml:space="preserve"> de l’entitat/empresa ..................................................., amb NIF núm. ..........................., i domicili fiscal a .................................................., beneficiària d’ajuts finançats amb recursos procedents del Pla de Recuperació, Transformació i Resiliència, que participa com a </w:t>
      </w:r>
      <w:r w:rsidDel="00000000" w:rsidR="00000000" w:rsidRPr="00000000">
        <w:rPr>
          <w:rFonts w:ascii="Poppins" w:cs="Poppins" w:eastAsia="Poppins" w:hAnsi="Poppins"/>
          <w:color w:val="666666"/>
          <w:sz w:val="22"/>
          <w:szCs w:val="22"/>
          <w:rtl w:val="0"/>
        </w:rPr>
        <w:t xml:space="preserve">contractista / subcontractista</w:t>
      </w:r>
      <w:r w:rsidDel="00000000" w:rsidR="00000000" w:rsidRPr="00000000">
        <w:rPr>
          <w:rFonts w:ascii="Poppins" w:cs="Poppins" w:eastAsia="Poppins" w:hAnsi="Poppins"/>
          <w:sz w:val="22"/>
          <w:szCs w:val="22"/>
          <w:rtl w:val="0"/>
        </w:rPr>
        <w:t xml:space="preserve"> en el contracte de ................................................. </w:t>
      </w:r>
      <w:r w:rsidDel="00000000" w:rsidR="00000000" w:rsidRPr="00000000">
        <w:rPr>
          <w:rFonts w:ascii="Poppins" w:cs="Poppins" w:eastAsia="Poppins" w:hAnsi="Poppins"/>
          <w:color w:val="666666"/>
          <w:sz w:val="22"/>
          <w:szCs w:val="22"/>
          <w:rtl w:val="0"/>
        </w:rPr>
        <w:t xml:space="preserve">(objecte del contracte)</w:t>
      </w:r>
      <w:r w:rsidDel="00000000" w:rsidR="00000000" w:rsidRPr="00000000">
        <w:rPr>
          <w:rFonts w:ascii="Poppins" w:cs="Poppins" w:eastAsia="Poppins" w:hAnsi="Poppins"/>
          <w:sz w:val="22"/>
          <w:szCs w:val="22"/>
          <w:rtl w:val="0"/>
        </w:rPr>
        <w:t xml:space="preserve">,</w:t>
      </w:r>
    </w:p>
    <w:p w:rsidR="00000000" w:rsidDel="00000000" w:rsidP="00000000" w:rsidRDefault="00000000" w:rsidRPr="00000000" w14:paraId="0000000D">
      <w:pPr>
        <w:shd w:fill="ffffff" w:val="clear"/>
        <w:spacing w:after="180" w:before="360" w:line="360" w:lineRule="auto"/>
        <w:jc w:val="both"/>
        <w:rPr>
          <w:rFonts w:ascii="Poppins" w:cs="Poppins" w:eastAsia="Poppins" w:hAnsi="Poppins"/>
          <w:sz w:val="22"/>
          <w:szCs w:val="22"/>
        </w:rPr>
      </w:pPr>
      <w:r w:rsidDel="00000000" w:rsidR="00000000" w:rsidRPr="00000000">
        <w:rPr>
          <w:rFonts w:ascii="Poppins" w:cs="Poppins" w:eastAsia="Poppins" w:hAnsi="Poppins"/>
          <w:b w:val="1"/>
          <w:sz w:val="22"/>
          <w:szCs w:val="22"/>
          <w:rtl w:val="0"/>
        </w:rPr>
        <w:t xml:space="preserve">DECLARA</w:t>
      </w:r>
      <w:r w:rsidDel="00000000" w:rsidR="00000000" w:rsidRPr="00000000">
        <w:rPr>
          <w:rFonts w:ascii="Poppins" w:cs="Poppins" w:eastAsia="Poppins" w:hAnsi="Poppins"/>
          <w:sz w:val="22"/>
          <w:szCs w:val="22"/>
          <w:rtl w:val="0"/>
        </w:rPr>
        <w:t xml:space="preserve"> que compleix el següent:</w:t>
      </w:r>
    </w:p>
    <w:p w:rsidR="00000000" w:rsidDel="00000000" w:rsidP="00000000" w:rsidRDefault="00000000" w:rsidRPr="00000000" w14:paraId="0000000E">
      <w:pPr>
        <w:shd w:fill="ffffff" w:val="clear"/>
        <w:spacing w:after="180" w:before="360" w:line="360" w:lineRule="auto"/>
        <w:jc w:val="both"/>
        <w:rPr>
          <w:rFonts w:ascii="Poppins" w:cs="Poppins" w:eastAsia="Poppins" w:hAnsi="Poppins"/>
          <w:sz w:val="22"/>
          <w:szCs w:val="22"/>
        </w:rPr>
      </w:pPr>
      <w:r w:rsidDel="00000000" w:rsidR="00000000" w:rsidRPr="00000000">
        <w:rPr>
          <w:rFonts w:ascii="Poppins" w:cs="Poppins" w:eastAsia="Poppins" w:hAnsi="Poppins"/>
          <w:sz w:val="22"/>
          <w:szCs w:val="22"/>
          <w:rtl w:val="0"/>
        </w:rPr>
        <w:t xml:space="preserve">A. Les activitats que es desenvolupen no ocasionen un perjudici significatiu als següents objectius mediambientals, segons l’article 17 del Reglament (UE) 2020/852 relatiu a l’establiment d’un marc per facilitar les inversions sostenibles mitjançant la implantació d’un sistema de classificació (o «taxonomia») de les activitats econòmiques mediambientalment sostenibles:</w:t>
      </w:r>
    </w:p>
    <w:p w:rsidR="00000000" w:rsidDel="00000000" w:rsidP="00000000" w:rsidRDefault="00000000" w:rsidRPr="00000000" w14:paraId="0000000F">
      <w:pPr>
        <w:numPr>
          <w:ilvl w:val="0"/>
          <w:numId w:val="1"/>
        </w:numPr>
        <w:shd w:fill="ffffff" w:val="clear"/>
        <w:spacing w:after="0" w:afterAutospacing="0" w:before="360" w:line="360" w:lineRule="auto"/>
        <w:ind w:left="1440" w:hanging="360"/>
        <w:jc w:val="both"/>
        <w:rPr>
          <w:rFonts w:ascii="Poppins" w:cs="Poppins" w:eastAsia="Poppins" w:hAnsi="Poppins"/>
          <w:sz w:val="22"/>
          <w:szCs w:val="22"/>
        </w:rPr>
      </w:pPr>
      <w:r w:rsidDel="00000000" w:rsidR="00000000" w:rsidRPr="00000000">
        <w:rPr>
          <w:rFonts w:ascii="Poppins" w:cs="Poppins" w:eastAsia="Poppins" w:hAnsi="Poppins"/>
          <w:sz w:val="22"/>
          <w:szCs w:val="22"/>
          <w:rtl w:val="0"/>
        </w:rPr>
        <w:t xml:space="preserve">Mitigació del canvi climàtic</w:t>
      </w:r>
    </w:p>
    <w:p w:rsidR="00000000" w:rsidDel="00000000" w:rsidP="00000000" w:rsidRDefault="00000000" w:rsidRPr="00000000" w14:paraId="00000010">
      <w:pPr>
        <w:numPr>
          <w:ilvl w:val="0"/>
          <w:numId w:val="1"/>
        </w:numPr>
        <w:shd w:fill="ffffff" w:val="clear"/>
        <w:spacing w:after="0" w:afterAutospacing="0" w:before="0" w:beforeAutospacing="0" w:line="360" w:lineRule="auto"/>
        <w:ind w:left="1440" w:hanging="360"/>
        <w:jc w:val="both"/>
        <w:rPr>
          <w:rFonts w:ascii="Poppins" w:cs="Poppins" w:eastAsia="Poppins" w:hAnsi="Poppins"/>
          <w:sz w:val="22"/>
          <w:szCs w:val="22"/>
        </w:rPr>
      </w:pPr>
      <w:r w:rsidDel="00000000" w:rsidR="00000000" w:rsidRPr="00000000">
        <w:rPr>
          <w:rFonts w:ascii="Poppins" w:cs="Poppins" w:eastAsia="Poppins" w:hAnsi="Poppins"/>
          <w:sz w:val="22"/>
          <w:szCs w:val="22"/>
          <w:rtl w:val="0"/>
        </w:rPr>
        <w:t xml:space="preserve">Adaptació al canvi climàtic</w:t>
      </w:r>
    </w:p>
    <w:p w:rsidR="00000000" w:rsidDel="00000000" w:rsidP="00000000" w:rsidRDefault="00000000" w:rsidRPr="00000000" w14:paraId="00000011">
      <w:pPr>
        <w:numPr>
          <w:ilvl w:val="0"/>
          <w:numId w:val="1"/>
        </w:numPr>
        <w:shd w:fill="ffffff" w:val="clear"/>
        <w:spacing w:after="0" w:afterAutospacing="0" w:before="0" w:beforeAutospacing="0" w:line="360" w:lineRule="auto"/>
        <w:ind w:left="1440" w:hanging="360"/>
        <w:jc w:val="both"/>
        <w:rPr>
          <w:rFonts w:ascii="Poppins" w:cs="Poppins" w:eastAsia="Poppins" w:hAnsi="Poppins"/>
          <w:sz w:val="22"/>
          <w:szCs w:val="22"/>
        </w:rPr>
      </w:pPr>
      <w:r w:rsidDel="00000000" w:rsidR="00000000" w:rsidRPr="00000000">
        <w:rPr>
          <w:rFonts w:ascii="Poppins" w:cs="Poppins" w:eastAsia="Poppins" w:hAnsi="Poppins"/>
          <w:sz w:val="22"/>
          <w:szCs w:val="22"/>
          <w:rtl w:val="0"/>
        </w:rPr>
        <w:t xml:space="preserve">Ús sostenible i protecció dels recursos hídrics i marins</w:t>
      </w:r>
    </w:p>
    <w:p w:rsidR="00000000" w:rsidDel="00000000" w:rsidP="00000000" w:rsidRDefault="00000000" w:rsidRPr="00000000" w14:paraId="00000012">
      <w:pPr>
        <w:numPr>
          <w:ilvl w:val="0"/>
          <w:numId w:val="1"/>
        </w:numPr>
        <w:shd w:fill="ffffff" w:val="clear"/>
        <w:spacing w:after="0" w:afterAutospacing="0" w:before="0" w:beforeAutospacing="0" w:line="360" w:lineRule="auto"/>
        <w:ind w:left="1440" w:hanging="360"/>
        <w:jc w:val="both"/>
        <w:rPr>
          <w:rFonts w:ascii="Poppins" w:cs="Poppins" w:eastAsia="Poppins" w:hAnsi="Poppins"/>
          <w:sz w:val="22"/>
          <w:szCs w:val="22"/>
        </w:rPr>
      </w:pPr>
      <w:r w:rsidDel="00000000" w:rsidR="00000000" w:rsidRPr="00000000">
        <w:rPr>
          <w:rFonts w:ascii="Poppins" w:cs="Poppins" w:eastAsia="Poppins" w:hAnsi="Poppins"/>
          <w:sz w:val="22"/>
          <w:szCs w:val="22"/>
          <w:rtl w:val="0"/>
        </w:rPr>
        <w:t xml:space="preserve">Economia circular, inclosa la prevenció i el reciclatge de residus</w:t>
      </w:r>
    </w:p>
    <w:p w:rsidR="00000000" w:rsidDel="00000000" w:rsidP="00000000" w:rsidRDefault="00000000" w:rsidRPr="00000000" w14:paraId="00000013">
      <w:pPr>
        <w:numPr>
          <w:ilvl w:val="0"/>
          <w:numId w:val="1"/>
        </w:numPr>
        <w:shd w:fill="ffffff" w:val="clear"/>
        <w:spacing w:after="0" w:afterAutospacing="0" w:before="0" w:beforeAutospacing="0" w:line="360" w:lineRule="auto"/>
        <w:ind w:left="1440" w:hanging="360"/>
        <w:jc w:val="both"/>
        <w:rPr>
          <w:rFonts w:ascii="Poppins" w:cs="Poppins" w:eastAsia="Poppins" w:hAnsi="Poppins"/>
          <w:sz w:val="22"/>
          <w:szCs w:val="22"/>
        </w:rPr>
      </w:pPr>
      <w:r w:rsidDel="00000000" w:rsidR="00000000" w:rsidRPr="00000000">
        <w:rPr>
          <w:rFonts w:ascii="Poppins" w:cs="Poppins" w:eastAsia="Poppins" w:hAnsi="Poppins"/>
          <w:sz w:val="22"/>
          <w:szCs w:val="22"/>
          <w:rtl w:val="0"/>
        </w:rPr>
        <w:t xml:space="preserve">Prevenció i control de la contaminació de l’atmosfera, l’aigua i el sòl</w:t>
      </w:r>
    </w:p>
    <w:p w:rsidR="00000000" w:rsidDel="00000000" w:rsidP="00000000" w:rsidRDefault="00000000" w:rsidRPr="00000000" w14:paraId="00000014">
      <w:pPr>
        <w:numPr>
          <w:ilvl w:val="0"/>
          <w:numId w:val="1"/>
        </w:numPr>
        <w:shd w:fill="ffffff" w:val="clear"/>
        <w:spacing w:after="180" w:before="0" w:beforeAutospacing="0" w:line="360" w:lineRule="auto"/>
        <w:ind w:left="1440" w:hanging="360"/>
        <w:jc w:val="both"/>
        <w:rPr>
          <w:rFonts w:ascii="Poppins" w:cs="Poppins" w:eastAsia="Poppins" w:hAnsi="Poppins"/>
          <w:sz w:val="22"/>
          <w:szCs w:val="22"/>
        </w:rPr>
      </w:pPr>
      <w:r w:rsidDel="00000000" w:rsidR="00000000" w:rsidRPr="00000000">
        <w:rPr>
          <w:rFonts w:ascii="Poppins" w:cs="Poppins" w:eastAsia="Poppins" w:hAnsi="Poppins"/>
          <w:sz w:val="22"/>
          <w:szCs w:val="22"/>
          <w:rtl w:val="0"/>
        </w:rPr>
        <w:t xml:space="preserve">Protecció i restauració de la biodiversitat i dels ecosistemes</w:t>
      </w:r>
    </w:p>
    <w:p w:rsidR="00000000" w:rsidDel="00000000" w:rsidP="00000000" w:rsidRDefault="00000000" w:rsidRPr="00000000" w14:paraId="00000015">
      <w:pPr>
        <w:shd w:fill="ffffff" w:val="clear"/>
        <w:spacing w:after="180" w:before="360" w:line="360" w:lineRule="auto"/>
        <w:jc w:val="both"/>
        <w:rPr>
          <w:rFonts w:ascii="Poppins" w:cs="Poppins" w:eastAsia="Poppins" w:hAnsi="Poppins"/>
          <w:sz w:val="22"/>
          <w:szCs w:val="22"/>
        </w:rPr>
      </w:pPr>
      <w:r w:rsidDel="00000000" w:rsidR="00000000" w:rsidRPr="00000000">
        <w:rPr>
          <w:rFonts w:ascii="Poppins" w:cs="Poppins" w:eastAsia="Poppins" w:hAnsi="Poppins"/>
          <w:sz w:val="22"/>
          <w:szCs w:val="22"/>
          <w:rtl w:val="0"/>
        </w:rPr>
        <w:t xml:space="preserve">B. Les activitats s’adeqüen, si escau, a les característiques i condicions establertes per a la mesura i submesura de la Component corresponent i recollides en el Pla de Recuperació, Transformació i Resiliència.</w:t>
      </w:r>
    </w:p>
    <w:p w:rsidR="00000000" w:rsidDel="00000000" w:rsidP="00000000" w:rsidRDefault="00000000" w:rsidRPr="00000000" w14:paraId="00000016">
      <w:pPr>
        <w:shd w:fill="ffffff" w:val="clear"/>
        <w:spacing w:after="180" w:before="360" w:line="360" w:lineRule="auto"/>
        <w:jc w:val="both"/>
        <w:rPr>
          <w:rFonts w:ascii="Poppins" w:cs="Poppins" w:eastAsia="Poppins" w:hAnsi="Poppins"/>
          <w:sz w:val="22"/>
          <w:szCs w:val="22"/>
        </w:rPr>
      </w:pPr>
      <w:r w:rsidDel="00000000" w:rsidR="00000000" w:rsidRPr="00000000">
        <w:rPr>
          <w:rFonts w:ascii="Poppins" w:cs="Poppins" w:eastAsia="Poppins" w:hAnsi="Poppins"/>
          <w:sz w:val="22"/>
          <w:szCs w:val="22"/>
          <w:rtl w:val="0"/>
        </w:rPr>
        <w:t xml:space="preserve">C. Les activitats que es desenvolupen en el projecte compliran la normativa mediambiental vigent que sigui aplicable.</w:t>
      </w:r>
    </w:p>
    <w:p w:rsidR="00000000" w:rsidDel="00000000" w:rsidP="00000000" w:rsidRDefault="00000000" w:rsidRPr="00000000" w14:paraId="00000017">
      <w:pPr>
        <w:shd w:fill="ffffff" w:val="clear"/>
        <w:spacing w:after="180" w:before="360" w:line="360" w:lineRule="auto"/>
        <w:jc w:val="both"/>
        <w:rPr>
          <w:rFonts w:ascii="Poppins" w:cs="Poppins" w:eastAsia="Poppins" w:hAnsi="Poppins"/>
          <w:sz w:val="22"/>
          <w:szCs w:val="22"/>
        </w:rPr>
      </w:pPr>
      <w:r w:rsidDel="00000000" w:rsidR="00000000" w:rsidRPr="00000000">
        <w:rPr>
          <w:rFonts w:ascii="Poppins" w:cs="Poppins" w:eastAsia="Poppins" w:hAnsi="Poppins"/>
          <w:sz w:val="22"/>
          <w:szCs w:val="22"/>
          <w:rtl w:val="0"/>
        </w:rPr>
        <w:t xml:space="preserve">D. Les activitats que es desenvolupen no estan excloses de finançament per part del Pla, conforme a la Guia tècnica sobre l’aplicació del principi de “no causar un perjudici significatiu” d’acord amb el Reglament relatiu al Mecanisme de Recuperació i Resiliència (2021/C 58/01), la Proposta de Decisió d’Execució del Consell relativa a l’avaluació del pla de recuperació i resiliència d’Espanya, i l’annex corresponent.</w:t>
      </w:r>
    </w:p>
    <w:p w:rsidR="00000000" w:rsidDel="00000000" w:rsidP="00000000" w:rsidRDefault="00000000" w:rsidRPr="00000000" w14:paraId="00000018">
      <w:pPr>
        <w:shd w:fill="ffffff" w:val="clear"/>
        <w:spacing w:after="180" w:before="360" w:line="360" w:lineRule="auto"/>
        <w:jc w:val="both"/>
        <w:rPr>
          <w:rFonts w:ascii="Poppins" w:cs="Poppins" w:eastAsia="Poppins" w:hAnsi="Poppins"/>
          <w:sz w:val="22"/>
          <w:szCs w:val="22"/>
        </w:rPr>
      </w:pPr>
      <w:r w:rsidDel="00000000" w:rsidR="00000000" w:rsidRPr="00000000">
        <w:rPr>
          <w:rFonts w:ascii="Poppins" w:cs="Poppins" w:eastAsia="Poppins" w:hAnsi="Poppins"/>
          <w:sz w:val="22"/>
          <w:szCs w:val="22"/>
          <w:rtl w:val="0"/>
        </w:rPr>
        <w:t xml:space="preserve">En concret, queden excloses:</w:t>
      </w:r>
    </w:p>
    <w:p w:rsidR="00000000" w:rsidDel="00000000" w:rsidP="00000000" w:rsidRDefault="00000000" w:rsidRPr="00000000" w14:paraId="00000019">
      <w:pPr>
        <w:numPr>
          <w:ilvl w:val="0"/>
          <w:numId w:val="3"/>
        </w:numPr>
        <w:shd w:fill="ffffff" w:val="clear"/>
        <w:spacing w:after="0" w:afterAutospacing="0" w:before="360" w:line="360" w:lineRule="auto"/>
        <w:ind w:left="720" w:hanging="360"/>
        <w:jc w:val="both"/>
        <w:rPr>
          <w:rFonts w:ascii="Poppins" w:cs="Poppins" w:eastAsia="Poppins" w:hAnsi="Poppins"/>
          <w:sz w:val="22"/>
          <w:szCs w:val="22"/>
        </w:rPr>
      </w:pPr>
      <w:r w:rsidDel="00000000" w:rsidR="00000000" w:rsidRPr="00000000">
        <w:rPr>
          <w:rFonts w:ascii="Poppins" w:cs="Poppins" w:eastAsia="Poppins" w:hAnsi="Poppins"/>
          <w:sz w:val="22"/>
          <w:szCs w:val="22"/>
          <w:rtl w:val="0"/>
        </w:rPr>
        <w:t xml:space="preserve">La construcció de refineries de cru, centrals tèrmiques de carbó i projectes que impliquin l’extracció de petroli o gas natural, per perjudicar l’objectiu de mitigació del canvi climàtic.</w:t>
      </w:r>
    </w:p>
    <w:p w:rsidR="00000000" w:rsidDel="00000000" w:rsidP="00000000" w:rsidRDefault="00000000" w:rsidRPr="00000000" w14:paraId="0000001A">
      <w:pPr>
        <w:numPr>
          <w:ilvl w:val="0"/>
          <w:numId w:val="3"/>
        </w:numPr>
        <w:shd w:fill="ffffff" w:val="clear"/>
        <w:spacing w:after="0" w:afterAutospacing="0" w:before="0" w:beforeAutospacing="0" w:line="360" w:lineRule="auto"/>
        <w:ind w:left="720" w:hanging="360"/>
        <w:jc w:val="both"/>
        <w:rPr>
          <w:rFonts w:ascii="Poppins" w:cs="Poppins" w:eastAsia="Poppins" w:hAnsi="Poppins"/>
          <w:sz w:val="22"/>
          <w:szCs w:val="22"/>
        </w:rPr>
      </w:pPr>
      <w:r w:rsidDel="00000000" w:rsidR="00000000" w:rsidRPr="00000000">
        <w:rPr>
          <w:rFonts w:ascii="Poppins" w:cs="Poppins" w:eastAsia="Poppins" w:hAnsi="Poppins"/>
          <w:sz w:val="22"/>
          <w:szCs w:val="22"/>
          <w:rtl w:val="0"/>
        </w:rPr>
        <w:t xml:space="preserve">Activitats relacionades amb combustibles fòssils, inclòs el seu ús posterior, excepte els projectes relacionats amb la generació d’electricitat i/o calor mitjançant gas natural, així com la infraestructura de transport i distribució associada, sempre que compleixin les condicions establertes a l’Annex III de la Guia Tècnica de la Comissió Europea.</w:t>
      </w:r>
    </w:p>
    <w:p w:rsidR="00000000" w:rsidDel="00000000" w:rsidP="00000000" w:rsidRDefault="00000000" w:rsidRPr="00000000" w14:paraId="0000001B">
      <w:pPr>
        <w:numPr>
          <w:ilvl w:val="0"/>
          <w:numId w:val="3"/>
        </w:numPr>
        <w:shd w:fill="ffffff" w:val="clear"/>
        <w:spacing w:after="0" w:afterAutospacing="0" w:before="0" w:beforeAutospacing="0" w:line="360" w:lineRule="auto"/>
        <w:ind w:left="720" w:hanging="360"/>
        <w:jc w:val="both"/>
        <w:rPr>
          <w:rFonts w:ascii="Poppins" w:cs="Poppins" w:eastAsia="Poppins" w:hAnsi="Poppins"/>
          <w:sz w:val="22"/>
          <w:szCs w:val="22"/>
        </w:rPr>
      </w:pPr>
      <w:r w:rsidDel="00000000" w:rsidR="00000000" w:rsidRPr="00000000">
        <w:rPr>
          <w:rFonts w:ascii="Poppins" w:cs="Poppins" w:eastAsia="Poppins" w:hAnsi="Poppins"/>
          <w:sz w:val="22"/>
          <w:szCs w:val="22"/>
          <w:rtl w:val="0"/>
        </w:rPr>
        <w:t xml:space="preserve">Activitats i actius inclosos en el règim de comerç de drets d’emissió de la UE (RCDE) si es preveu que les seves emissions de gasos amb efecte d’hivernacle no estaran per sota dels paràmetres de referència pertinents. Si es preveu que les emissions no seran significativament inferiors, caldrà aportar una justificació motivada.</w:t>
      </w:r>
    </w:p>
    <w:p w:rsidR="00000000" w:rsidDel="00000000" w:rsidP="00000000" w:rsidRDefault="00000000" w:rsidRPr="00000000" w14:paraId="0000001C">
      <w:pPr>
        <w:numPr>
          <w:ilvl w:val="0"/>
          <w:numId w:val="3"/>
        </w:numPr>
        <w:shd w:fill="ffffff" w:val="clear"/>
        <w:spacing w:after="0" w:afterAutospacing="0" w:before="0" w:beforeAutospacing="0" w:line="360" w:lineRule="auto"/>
        <w:ind w:left="720" w:hanging="360"/>
        <w:jc w:val="both"/>
        <w:rPr>
          <w:rFonts w:ascii="Poppins" w:cs="Poppins" w:eastAsia="Poppins" w:hAnsi="Poppins"/>
          <w:sz w:val="22"/>
          <w:szCs w:val="22"/>
        </w:rPr>
      </w:pPr>
      <w:r w:rsidDel="00000000" w:rsidR="00000000" w:rsidRPr="00000000">
        <w:rPr>
          <w:rFonts w:ascii="Poppins" w:cs="Poppins" w:eastAsia="Poppins" w:hAnsi="Poppins"/>
          <w:sz w:val="22"/>
          <w:szCs w:val="22"/>
          <w:rtl w:val="0"/>
        </w:rPr>
        <w:t xml:space="preserve">Compensació de costos indirectes del RCDE.</w:t>
      </w:r>
    </w:p>
    <w:p w:rsidR="00000000" w:rsidDel="00000000" w:rsidP="00000000" w:rsidRDefault="00000000" w:rsidRPr="00000000" w14:paraId="0000001D">
      <w:pPr>
        <w:numPr>
          <w:ilvl w:val="0"/>
          <w:numId w:val="3"/>
        </w:numPr>
        <w:shd w:fill="ffffff" w:val="clear"/>
        <w:spacing w:after="0" w:afterAutospacing="0" w:before="0" w:beforeAutospacing="0" w:line="360" w:lineRule="auto"/>
        <w:ind w:left="720" w:hanging="360"/>
        <w:jc w:val="both"/>
        <w:rPr>
          <w:rFonts w:ascii="Poppins" w:cs="Poppins" w:eastAsia="Poppins" w:hAnsi="Poppins"/>
          <w:sz w:val="22"/>
          <w:szCs w:val="22"/>
        </w:rPr>
      </w:pPr>
      <w:r w:rsidDel="00000000" w:rsidR="00000000" w:rsidRPr="00000000">
        <w:rPr>
          <w:rFonts w:ascii="Poppins" w:cs="Poppins" w:eastAsia="Poppins" w:hAnsi="Poppins"/>
          <w:sz w:val="22"/>
          <w:szCs w:val="22"/>
          <w:rtl w:val="0"/>
        </w:rPr>
        <w:t xml:space="preserve">Activitats relacionades amb abocadors de residus i incineradores. aquesta exclusió no s’aplica a les accions en plantes dedicades exclusivament al tractament de residus perillosos no reciclables, o a plantes existents si les actuacions tenen per objecte millorar l’eficiència energètica, capturar gasos d’escapament per al seu emmagatzematge o ús, o recuperar materials de cendres d’incineració, sempre que aquestes accions no impliquin un augment de la capacitat de tractament de residus ni una prolongació de la seva vida útil; aquests aspectes s’han de justificar documentalment per planta.</w:t>
      </w:r>
    </w:p>
    <w:p w:rsidR="00000000" w:rsidDel="00000000" w:rsidP="00000000" w:rsidRDefault="00000000" w:rsidRPr="00000000" w14:paraId="0000001E">
      <w:pPr>
        <w:numPr>
          <w:ilvl w:val="0"/>
          <w:numId w:val="3"/>
        </w:numPr>
        <w:shd w:fill="ffffff" w:val="clear"/>
        <w:spacing w:after="0" w:afterAutospacing="0" w:before="0" w:beforeAutospacing="0" w:line="360" w:lineRule="auto"/>
        <w:ind w:left="720" w:hanging="360"/>
        <w:jc w:val="both"/>
        <w:rPr>
          <w:rFonts w:ascii="Poppins" w:cs="Poppins" w:eastAsia="Poppins" w:hAnsi="Poppins"/>
          <w:sz w:val="22"/>
          <w:szCs w:val="22"/>
        </w:rPr>
      </w:pPr>
      <w:r w:rsidDel="00000000" w:rsidR="00000000" w:rsidRPr="00000000">
        <w:rPr>
          <w:rFonts w:ascii="Poppins" w:cs="Poppins" w:eastAsia="Poppins" w:hAnsi="Poppins"/>
          <w:sz w:val="22"/>
          <w:szCs w:val="22"/>
          <w:rtl w:val="0"/>
        </w:rPr>
        <w:t xml:space="preserve">Activitats relacionades amb plantes de tractament mecànic-biològic. Aquesta exclusió no s’aplica a accions en plantes existents que tinguin per objecte millorar l’eficiència energètica o recondicionar-les per operacions de reciclatge de residus separats (compostatge, digestió anaeròbica de bioresidus), sempre que aquestes accions no suposin un augment de capacitat ni una extensió de la vida útil de les plantes, i sempre degudament justificat.</w:t>
      </w:r>
    </w:p>
    <w:p w:rsidR="00000000" w:rsidDel="00000000" w:rsidP="00000000" w:rsidRDefault="00000000" w:rsidRPr="00000000" w14:paraId="0000001F">
      <w:pPr>
        <w:numPr>
          <w:ilvl w:val="0"/>
          <w:numId w:val="3"/>
        </w:numPr>
        <w:shd w:fill="ffffff" w:val="clear"/>
        <w:spacing w:after="180" w:before="0" w:beforeAutospacing="0" w:line="360" w:lineRule="auto"/>
        <w:ind w:left="720" w:hanging="360"/>
        <w:jc w:val="both"/>
        <w:rPr>
          <w:rFonts w:ascii="Poppins" w:cs="Poppins" w:eastAsia="Poppins" w:hAnsi="Poppins"/>
          <w:sz w:val="22"/>
          <w:szCs w:val="22"/>
        </w:rPr>
      </w:pPr>
      <w:r w:rsidDel="00000000" w:rsidR="00000000" w:rsidRPr="00000000">
        <w:rPr>
          <w:rFonts w:ascii="Poppins" w:cs="Poppins" w:eastAsia="Poppins" w:hAnsi="Poppins"/>
          <w:sz w:val="22"/>
          <w:szCs w:val="22"/>
          <w:rtl w:val="0"/>
        </w:rPr>
        <w:t xml:space="preserve">Activitats on l’eliminació a llarg termini de residus pugui causar danys al medi ambient.</w:t>
      </w:r>
    </w:p>
    <w:p w:rsidR="00000000" w:rsidDel="00000000" w:rsidP="00000000" w:rsidRDefault="00000000" w:rsidRPr="00000000" w14:paraId="00000020">
      <w:pPr>
        <w:shd w:fill="ffffff" w:val="clear"/>
        <w:spacing w:after="180" w:before="360" w:line="360" w:lineRule="auto"/>
        <w:jc w:val="both"/>
        <w:rPr>
          <w:rFonts w:ascii="Poppins" w:cs="Poppins" w:eastAsia="Poppins" w:hAnsi="Poppins"/>
          <w:sz w:val="22"/>
          <w:szCs w:val="22"/>
        </w:rPr>
      </w:pPr>
      <w:r w:rsidDel="00000000" w:rsidR="00000000" w:rsidRPr="00000000">
        <w:rPr>
          <w:rFonts w:ascii="Poppins" w:cs="Poppins" w:eastAsia="Poppins" w:hAnsi="Poppins"/>
          <w:sz w:val="22"/>
          <w:szCs w:val="22"/>
          <w:rtl w:val="0"/>
        </w:rPr>
        <w:t xml:space="preserve">E. Les activitats que es desenvolupen no causen efectes directes sobre el medi ambient, ni efectes indirectes primaris durant tot el seu cicle de vida, entenent per aquests aquells que es poden materialitzar un cop finalitzada l’activitat.</w:t>
      </w:r>
    </w:p>
    <w:p w:rsidR="00000000" w:rsidDel="00000000" w:rsidP="00000000" w:rsidRDefault="00000000" w:rsidRPr="00000000" w14:paraId="00000021">
      <w:pPr>
        <w:shd w:fill="ffffff" w:val="clear"/>
        <w:spacing w:after="180" w:before="360" w:line="360" w:lineRule="auto"/>
        <w:jc w:val="both"/>
        <w:rPr>
          <w:rFonts w:ascii="Poppins" w:cs="Poppins" w:eastAsia="Poppins" w:hAnsi="Poppins"/>
          <w:sz w:val="22"/>
          <w:szCs w:val="22"/>
        </w:rPr>
      </w:pPr>
      <w:r w:rsidDel="00000000" w:rsidR="00000000" w:rsidRPr="00000000">
        <w:rPr>
          <w:rFonts w:ascii="Poppins" w:cs="Poppins" w:eastAsia="Poppins" w:hAnsi="Poppins"/>
          <w:sz w:val="22"/>
          <w:szCs w:val="22"/>
          <w:rtl w:val="0"/>
        </w:rPr>
        <w:t xml:space="preserve">L’incompliment de qualsevol dels requisits establerts en aquesta declaració comportarà l’obligació de retornar les quantitats percebudes i els interessos de demora corresponents.</w:t>
      </w:r>
    </w:p>
    <w:p w:rsidR="00000000" w:rsidDel="00000000" w:rsidP="00000000" w:rsidRDefault="00000000" w:rsidRPr="00000000" w14:paraId="00000022">
      <w:pPr>
        <w:shd w:fill="ffffff" w:val="clear"/>
        <w:spacing w:after="180" w:before="360" w:line="360" w:lineRule="auto"/>
        <w:jc w:val="both"/>
        <w:rPr>
          <w:rFonts w:ascii="Poppins" w:cs="Poppins" w:eastAsia="Poppins" w:hAnsi="Poppins"/>
          <w:sz w:val="22"/>
          <w:szCs w:val="22"/>
        </w:rPr>
      </w:pPr>
      <w:r w:rsidDel="00000000" w:rsidR="00000000" w:rsidRPr="00000000">
        <w:rPr>
          <w:rFonts w:ascii="Poppins" w:cs="Poppins" w:eastAsia="Poppins" w:hAnsi="Poppins"/>
          <w:sz w:val="22"/>
          <w:szCs w:val="22"/>
          <w:rtl w:val="0"/>
        </w:rPr>
        <w:t xml:space="preserve">Data:</w:t>
        <w:tab/>
        <w:tab/>
        <w:tab/>
        <w:tab/>
        <w:tab/>
        <w:tab/>
        <w:tab/>
        <w:tab/>
        <w:t xml:space="preserve">Firmat:</w:t>
      </w:r>
    </w:p>
    <w:p w:rsidR="00000000" w:rsidDel="00000000" w:rsidP="00000000" w:rsidRDefault="00000000" w:rsidRPr="00000000" w14:paraId="00000023">
      <w:pPr>
        <w:shd w:fill="ffffff" w:val="clear"/>
        <w:spacing w:after="180" w:before="360" w:line="360" w:lineRule="auto"/>
        <w:jc w:val="both"/>
        <w:rPr>
          <w:rFonts w:ascii="Poppins" w:cs="Poppins" w:eastAsia="Poppins" w:hAnsi="Poppins"/>
          <w:sz w:val="22"/>
          <w:szCs w:val="22"/>
        </w:rPr>
      </w:pPr>
      <w:r w:rsidDel="00000000" w:rsidR="00000000" w:rsidRPr="00000000">
        <w:rPr>
          <w:rtl w:val="0"/>
        </w:rPr>
      </w:r>
    </w:p>
    <w:p w:rsidR="00000000" w:rsidDel="00000000" w:rsidP="00000000" w:rsidRDefault="00000000" w:rsidRPr="00000000" w14:paraId="00000024">
      <w:pPr>
        <w:keepNext w:val="1"/>
        <w:keepLines w:val="0"/>
        <w:pageBreakBefore w:val="0"/>
        <w:widowControl w:val="1"/>
        <w:numPr>
          <w:ilvl w:val="4"/>
          <w:numId w:val="2"/>
        </w:numPr>
        <w:pBdr>
          <w:top w:space="0" w:sz="0" w:val="nil"/>
          <w:left w:space="0" w:sz="0" w:val="nil"/>
          <w:bottom w:space="0" w:sz="0" w:val="nil"/>
          <w:right w:space="0" w:sz="0" w:val="nil"/>
          <w:between w:space="0" w:sz="0" w:val="nil"/>
        </w:pBdr>
        <w:shd w:fill="auto" w:val="clear"/>
        <w:tabs>
          <w:tab w:val="left" w:leader="none" w:pos="3240"/>
          <w:tab w:val="left" w:leader="none" w:pos="3240"/>
        </w:tabs>
        <w:spacing w:after="0" w:before="0" w:line="240" w:lineRule="auto"/>
        <w:ind w:left="0" w:right="-70" w:firstLine="0"/>
        <w:jc w:val="left"/>
        <w:rPr>
          <w:rFonts w:ascii="Arial" w:cs="Arial" w:eastAsia="Arial" w:hAnsi="Arial"/>
          <w:color w:val="008000"/>
          <w:sz w:val="22"/>
          <w:szCs w:val="22"/>
          <w:u w:val="none"/>
        </w:rPr>
      </w:pPr>
      <w:r w:rsidDel="00000000" w:rsidR="00000000" w:rsidRPr="00000000">
        <w:rPr>
          <w:rtl w:val="0"/>
        </w:rPr>
      </w:r>
    </w:p>
    <w:p w:rsidR="00000000" w:rsidDel="00000000" w:rsidP="00000000" w:rsidRDefault="00000000" w:rsidRPr="00000000" w14:paraId="00000025">
      <w:pPr>
        <w:keepNext w:val="1"/>
        <w:keepLines w:val="0"/>
        <w:pageBreakBefore w:val="0"/>
        <w:widowControl w:val="1"/>
        <w:pBdr>
          <w:top w:space="0" w:sz="0" w:val="nil"/>
          <w:left w:space="0" w:sz="0" w:val="nil"/>
          <w:bottom w:space="0" w:sz="0" w:val="nil"/>
          <w:right w:space="0" w:sz="0" w:val="nil"/>
          <w:between w:space="0" w:sz="0" w:val="nil"/>
        </w:pBdr>
        <w:shd w:fill="auto" w:val="clear"/>
        <w:tabs>
          <w:tab w:val="left" w:leader="none" w:pos="3240"/>
          <w:tab w:val="left" w:leader="none" w:pos="3240"/>
        </w:tabs>
        <w:spacing w:after="0" w:before="0" w:line="360" w:lineRule="auto"/>
        <w:ind w:left="0" w:right="-70" w:firstLine="0"/>
        <w:jc w:val="both"/>
        <w:rPr>
          <w:rFonts w:ascii="Arial" w:cs="Arial" w:eastAsia="Arial" w:hAnsi="Arial"/>
          <w:b w:val="1"/>
          <w:i w:val="0"/>
          <w:smallCaps w:val="0"/>
          <w:strike w:val="0"/>
          <w:color w:val="000000"/>
          <w:sz w:val="24"/>
          <w:szCs w:val="24"/>
          <w:highlight w:val="yellow"/>
          <w:u w:val="single"/>
          <w:vertAlign w:val="baseline"/>
        </w:rPr>
      </w:pPr>
      <w:bookmarkStart w:colFirst="0" w:colLast="0" w:name="_heading=h.gjdgxs" w:id="0"/>
      <w:bookmarkEnd w:id="0"/>
      <w:r w:rsidDel="00000000" w:rsidR="00000000" w:rsidRPr="00000000">
        <w:rPr>
          <w:rtl w:val="0"/>
        </w:rPr>
      </w:r>
    </w:p>
    <w:sectPr>
      <w:headerReference r:id="rId7" w:type="default"/>
      <w:footerReference r:id="rId8" w:type="default"/>
      <w:pgSz w:h="16838" w:w="11906" w:orient="portrait"/>
      <w:pgMar w:bottom="1418" w:top="1418" w:left="1797" w:right="1644"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Georgia"/>
  <w:font w:name="Poppi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8">
    <w:pPr>
      <w:keepNext w:val="0"/>
      <w:keepLines w:val="0"/>
      <w:widowControl w:val="1"/>
      <w:shd w:fill="auto" w:val="clear"/>
      <w:tabs>
        <w:tab w:val="center" w:leader="none" w:pos="4252"/>
        <w:tab w:val="right" w:leader="none" w:pos="8504"/>
      </w:tabs>
      <w:spacing w:after="0" w:before="0" w:line="240" w:lineRule="auto"/>
      <w:ind w:left="0" w:right="0" w:firstLine="708"/>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fldChar w:fldCharType="begin"/>
      <w:instrText xml:space="preserve">PAGE</w:instrText>
      <w:fldChar w:fldCharType="separate"/>
      <w:fldChar w:fldCharType="end"/>
    </w: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2527300</wp:posOffset>
              </wp:positionH>
              <wp:positionV relativeFrom="paragraph">
                <wp:posOffset>0</wp:posOffset>
              </wp:positionV>
              <wp:extent cx="222885" cy="174625"/>
              <wp:effectExtent b="0" l="0" r="0" t="0"/>
              <wp:wrapSquare wrapText="bothSides" distB="0" distT="0" distL="0" distR="0"/>
              <wp:docPr id="20" name=""/>
              <a:graphic>
                <a:graphicData uri="http://schemas.microsoft.com/office/word/2010/wordprocessingShape">
                  <wps:wsp>
                    <wps:cNvSpPr/>
                    <wps:cNvPr id="2" name="Shape 2"/>
                    <wps:spPr>
                      <a:xfrm>
                        <a:off x="5263200" y="3721320"/>
                        <a:ext cx="165600" cy="11736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2527300</wp:posOffset>
              </wp:positionH>
              <wp:positionV relativeFrom="paragraph">
                <wp:posOffset>0</wp:posOffset>
              </wp:positionV>
              <wp:extent cx="222885" cy="174625"/>
              <wp:effectExtent b="0" l="0" r="0" t="0"/>
              <wp:wrapSquare wrapText="bothSides" distB="0" distT="0" distL="0" distR="0"/>
              <wp:docPr id="20"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222885" cy="174625"/>
                      </a:xfrm>
                      <a:prstGeom prst="rect"/>
                      <a:ln/>
                    </pic:spPr>
                  </pic:pic>
                </a:graphicData>
              </a:graphic>
            </wp:anchor>
          </w:drawing>
        </mc:Fallback>
      </mc:AlternateConten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6">
    <w:pPr>
      <w:keepNext w:val="0"/>
      <w:keepLines w:val="0"/>
      <w:widowControl w:val="1"/>
      <w:shd w:fill="auto" w:val="clear"/>
      <w:tabs>
        <w:tab w:val="center" w:leader="none" w:pos="4252"/>
        <w:tab w:val="right" w:leader="none" w:pos="8504"/>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2590800</wp:posOffset>
              </wp:positionH>
              <wp:positionV relativeFrom="paragraph">
                <wp:posOffset>0</wp:posOffset>
              </wp:positionV>
              <wp:extent cx="81280" cy="241935"/>
              <wp:effectExtent b="0" l="0" r="0" t="0"/>
              <wp:wrapSquare wrapText="bothSides" distB="0" distT="0" distL="0" distR="0"/>
              <wp:docPr id="21" name=""/>
              <a:graphic>
                <a:graphicData uri="http://schemas.microsoft.com/office/word/2010/wordprocessingShape">
                  <wps:wsp>
                    <wps:cNvSpPr/>
                    <wps:cNvPr id="3" name="Shape 3"/>
                    <wps:spPr>
                      <a:xfrm>
                        <a:off x="5333940" y="3687660"/>
                        <a:ext cx="24120" cy="18468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0" lIns="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2590800</wp:posOffset>
              </wp:positionH>
              <wp:positionV relativeFrom="paragraph">
                <wp:posOffset>0</wp:posOffset>
              </wp:positionV>
              <wp:extent cx="81280" cy="241935"/>
              <wp:effectExtent b="0" l="0" r="0" t="0"/>
              <wp:wrapSquare wrapText="bothSides" distB="0" distT="0" distL="0" distR="0"/>
              <wp:docPr id="21" name="image3.png"/>
              <a:graphic>
                <a:graphicData uri="http://schemas.openxmlformats.org/drawingml/2006/picture">
                  <pic:pic>
                    <pic:nvPicPr>
                      <pic:cNvPr id="0" name="image3.png"/>
                      <pic:cNvPicPr preferRelativeResize="0"/>
                    </pic:nvPicPr>
                    <pic:blipFill>
                      <a:blip r:embed="rId1"/>
                      <a:srcRect/>
                      <a:stretch>
                        <a:fillRect/>
                      </a:stretch>
                    </pic:blipFill>
                    <pic:spPr>
                      <a:xfrm>
                        <a:off x="0" y="0"/>
                        <a:ext cx="81280" cy="241935"/>
                      </a:xfrm>
                      <a:prstGeom prst="rect"/>
                      <a:ln/>
                    </pic:spPr>
                  </pic:pic>
                </a:graphicData>
              </a:graphic>
            </wp:anchor>
          </w:drawing>
        </mc:Fallback>
      </mc:AlternateContent>
    </w:r>
    <w:r w:rsidDel="00000000" w:rsidR="00000000" w:rsidRPr="00000000">
      <w:drawing>
        <wp:anchor allowOverlap="1" behindDoc="0" distB="0" distT="0" distL="0" distR="0" hidden="0" layoutInCell="1" locked="0" relativeHeight="0" simplePos="0">
          <wp:simplePos x="0" y="0"/>
          <wp:positionH relativeFrom="column">
            <wp:posOffset>48895</wp:posOffset>
          </wp:positionH>
          <wp:positionV relativeFrom="paragraph">
            <wp:posOffset>635</wp:posOffset>
          </wp:positionV>
          <wp:extent cx="5278120" cy="517525"/>
          <wp:effectExtent b="0" l="0" r="0" t="0"/>
          <wp:wrapSquare wrapText="bothSides" distB="0" distT="0" distL="0" distR="0"/>
          <wp:docPr id="22"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5278120" cy="517525"/>
                  </a:xfrm>
                  <a:prstGeom prst="rect"/>
                  <a:ln/>
                </pic:spPr>
              </pic:pic>
            </a:graphicData>
          </a:graphic>
        </wp:anchor>
      </w:drawing>
    </w:r>
  </w:p>
  <w:p w:rsidR="00000000" w:rsidDel="00000000" w:rsidP="00000000" w:rsidRDefault="00000000" w:rsidRPr="00000000" w14:paraId="00000027">
    <w:pPr>
      <w:keepNext w:val="0"/>
      <w:keepLines w:val="0"/>
      <w:widowControl w:val="1"/>
      <w:shd w:fill="auto" w:val="clear"/>
      <w:tabs>
        <w:tab w:val="center" w:leader="none" w:pos="4252"/>
        <w:tab w:val="right" w:leader="none" w:pos="8504"/>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
    <w:lvl w:ilvl="0">
      <w:start w:val="1"/>
      <w:numFmt w:val="decimal"/>
      <w:lvlText w:val=""/>
      <w:lvlJc w:val="left"/>
      <w:pPr>
        <w:ind w:left="0" w:firstLine="0"/>
      </w:pPr>
      <w:rPr/>
    </w:lvl>
    <w:lvl w:ilvl="1">
      <w:start w:val="1"/>
      <w:numFmt w:val="decimal"/>
      <w:lvlText w:val=""/>
      <w:lvlJc w:val="left"/>
      <w:pPr>
        <w:ind w:left="0" w:firstLine="0"/>
      </w:pPr>
      <w:rPr/>
    </w:lvl>
    <w:lvl w:ilvl="2">
      <w:start w:val="1"/>
      <w:numFmt w:val="decimal"/>
      <w:lvlText w:val=""/>
      <w:lvlJc w:val="left"/>
      <w:pPr>
        <w:ind w:left="0" w:firstLine="0"/>
      </w:pPr>
      <w:rPr/>
    </w:lvl>
    <w:lvl w:ilvl="3">
      <w:start w:val="1"/>
      <w:numFmt w:val="decimal"/>
      <w:lvlText w:val=""/>
      <w:lvlJc w:val="left"/>
      <w:pPr>
        <w:ind w:left="0" w:firstLine="0"/>
      </w:pPr>
      <w:rPr/>
    </w:lvl>
    <w:lvl w:ilvl="4">
      <w:start w:val="1"/>
      <w:numFmt w:val="decimal"/>
      <w:lvlText w:val=""/>
      <w:lvlJc w:val="left"/>
      <w:pPr>
        <w:ind w:left="0" w:firstLine="0"/>
      </w:pPr>
      <w:rPr/>
    </w:lvl>
    <w:lvl w:ilvl="5">
      <w:start w:val="1"/>
      <w:numFmt w:val="decimal"/>
      <w:lvlText w:val=""/>
      <w:lvlJc w:val="left"/>
      <w:pPr>
        <w:ind w:left="0" w:firstLine="0"/>
      </w:pPr>
      <w:rPr/>
    </w:lvl>
    <w:lvl w:ilvl="6">
      <w:start w:val="1"/>
      <w:numFmt w:val="decimal"/>
      <w:lvlText w:val=""/>
      <w:lvlJc w:val="left"/>
      <w:pPr>
        <w:ind w:left="0" w:firstLine="0"/>
      </w:pPr>
      <w:rPr/>
    </w:lvl>
    <w:lvl w:ilvl="7">
      <w:start w:val="1"/>
      <w:numFmt w:val="decimal"/>
      <w:lvlText w:val=""/>
      <w:lvlJc w:val="left"/>
      <w:pPr>
        <w:ind w:left="0" w:firstLine="0"/>
      </w:pPr>
      <w:rPr/>
    </w:lvl>
    <w:lvl w:ilvl="8">
      <w:start w:val="1"/>
      <w:numFmt w:val="decimal"/>
      <w:lvlText w:val=""/>
      <w:lvlJc w:val="left"/>
      <w:pPr>
        <w:ind w:left="0" w:firstLine="0"/>
      </w:pPr>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110" w:firstLine="0"/>
      <w:jc w:val="both"/>
    </w:pPr>
    <w:rPr>
      <w:rFonts w:ascii="Arial" w:cs="Arial" w:eastAsia="Arial" w:hAnsi="Arial"/>
      <w:b w:val="0"/>
      <w:i w:val="1"/>
      <w:smallCaps w:val="0"/>
      <w:strike w:val="0"/>
      <w:color w:val="000000"/>
      <w:sz w:val="22"/>
      <w:szCs w:val="22"/>
      <w:u w:val="none"/>
      <w:shd w:fill="auto" w:val="clear"/>
      <w:vertAlign w:val="baseline"/>
    </w:rPr>
  </w:style>
  <w:style w:type="paragraph" w:styleId="Heading2">
    <w:name w:val="heading 2"/>
    <w:basedOn w:val="Normal"/>
    <w:next w:val="Normal"/>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360" w:right="110" w:firstLine="0"/>
      <w:jc w:val="both"/>
    </w:pPr>
    <w:rPr>
      <w:rFonts w:ascii="Arial" w:cs="Arial" w:eastAsia="Arial" w:hAnsi="Arial"/>
      <w:b w:val="0"/>
      <w:i w:val="1"/>
      <w:smallCaps w:val="0"/>
      <w:strike w:val="0"/>
      <w:color w:val="000000"/>
      <w:sz w:val="24"/>
      <w:szCs w:val="24"/>
      <w:u w:val="none"/>
      <w:shd w:fill="auto" w:val="clear"/>
      <w:vertAlign w:val="baseline"/>
    </w:rPr>
  </w:style>
  <w:style w:type="paragraph" w:styleId="Heading3">
    <w:name w:val="heading 3"/>
    <w:basedOn w:val="Normal"/>
    <w:next w:val="Normal"/>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70" w:firstLine="0"/>
      <w:jc w:val="both"/>
    </w:pPr>
    <w:rPr>
      <w:rFonts w:ascii="Arial" w:cs="Arial" w:eastAsia="Arial" w:hAnsi="Arial"/>
      <w:b w:val="1"/>
      <w:i w:val="1"/>
      <w:smallCaps w:val="0"/>
      <w:strike w:val="0"/>
      <w:color w:val="000000"/>
      <w:sz w:val="24"/>
      <w:szCs w:val="24"/>
      <w:u w:val="single"/>
      <w:shd w:fill="auto" w:val="clear"/>
      <w:vertAlign w:val="baseline"/>
    </w:rPr>
  </w:style>
  <w:style w:type="paragraph" w:styleId="Heading4">
    <w:name w:val="heading 4"/>
    <w:basedOn w:val="Normal"/>
    <w:next w:val="Normal"/>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70" w:firstLine="0"/>
      <w:jc w:val="both"/>
    </w:pPr>
    <w:rPr>
      <w:rFonts w:ascii="Arial" w:cs="Arial" w:eastAsia="Arial" w:hAnsi="Arial"/>
      <w:b w:val="1"/>
      <w:i w:val="0"/>
      <w:smallCaps w:val="0"/>
      <w:strike w:val="0"/>
      <w:color w:val="000000"/>
      <w:sz w:val="24"/>
      <w:szCs w:val="24"/>
      <w:u w:val="single"/>
      <w:shd w:fill="auto" w:val="clear"/>
      <w:vertAlign w:val="baseline"/>
    </w:rPr>
  </w:style>
  <w:style w:type="paragraph" w:styleId="Heading5">
    <w:name w:val="heading 5"/>
    <w:basedOn w:val="Normal"/>
    <w:next w:val="Normal"/>
    <w:pPr>
      <w:keepNext w:val="1"/>
      <w:keepLines w:val="0"/>
      <w:pageBreakBefore w:val="0"/>
      <w:widowControl w:val="1"/>
      <w:pBdr>
        <w:top w:space="0" w:sz="0" w:val="nil"/>
        <w:left w:space="0" w:sz="0" w:val="nil"/>
        <w:bottom w:space="0" w:sz="0" w:val="nil"/>
        <w:right w:space="0" w:sz="0" w:val="nil"/>
        <w:between w:space="0" w:sz="0" w:val="nil"/>
      </w:pBdr>
      <w:shd w:fill="auto" w:val="clear"/>
      <w:tabs>
        <w:tab w:val="left" w:leader="none" w:pos="3240"/>
      </w:tabs>
      <w:spacing w:after="0" w:before="0" w:line="240" w:lineRule="auto"/>
      <w:ind w:left="-360" w:right="-70" w:firstLine="0"/>
      <w:jc w:val="both"/>
    </w:pPr>
    <w:rPr>
      <w:rFonts w:ascii="Arial" w:cs="Arial" w:eastAsia="Arial" w:hAnsi="Arial"/>
      <w:b w:val="1"/>
      <w:i w:val="0"/>
      <w:smallCaps w:val="0"/>
      <w:strike w:val="0"/>
      <w:color w:val="000000"/>
      <w:sz w:val="24"/>
      <w:szCs w:val="24"/>
      <w:u w:val="single"/>
      <w:shd w:fill="auto" w:val="clear"/>
      <w:vertAlign w:val="baseline"/>
    </w:rPr>
  </w:style>
  <w:style w:type="paragraph" w:styleId="Heading6">
    <w:name w:val="heading 6"/>
    <w:basedOn w:val="Normal"/>
    <w:next w:val="Normal"/>
    <w:pPr>
      <w:keepNext w:val="1"/>
      <w:keepLines w:val="0"/>
      <w:pageBreakBefore w:val="0"/>
      <w:widowControl w:val="1"/>
      <w:pBdr>
        <w:top w:space="0" w:sz="0" w:val="nil"/>
        <w:left w:space="0" w:sz="0" w:val="nil"/>
        <w:bottom w:space="0" w:sz="0" w:val="nil"/>
        <w:right w:space="0" w:sz="0" w:val="nil"/>
        <w:between w:space="0" w:sz="0" w:val="nil"/>
      </w:pBdr>
      <w:shd w:fill="auto" w:val="clear"/>
      <w:tabs>
        <w:tab w:val="left" w:leader="none" w:pos="3240"/>
      </w:tabs>
      <w:spacing w:after="0" w:before="0" w:line="240" w:lineRule="auto"/>
      <w:ind w:left="-360" w:right="0" w:firstLine="0"/>
      <w:jc w:val="both"/>
    </w:pPr>
    <w:rPr>
      <w:rFonts w:ascii="Arial" w:cs="Arial" w:eastAsia="Arial" w:hAnsi="Arial"/>
      <w:b w:val="1"/>
      <w:i w:val="0"/>
      <w:smallCaps w:val="0"/>
      <w:strike w:val="0"/>
      <w:color w:val="000000"/>
      <w:sz w:val="24"/>
      <w:szCs w:val="24"/>
      <w:u w:val="singl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Times New Roman" w:cs="Times New Roman" w:eastAsia="Times New Roman" w:hAnsi="Times New Roman"/>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Encapalament">
    <w:name w:val="Encapçalament"/>
    <w:basedOn w:val="Normal"/>
    <w:next w:val="Cosdeltext"/>
    <w:qFormat w:val="1"/>
    <w:pPr>
      <w:keepNext w:val="1"/>
      <w:spacing w:after="120" w:before="240"/>
    </w:pPr>
    <w:rPr>
      <w:rFonts w:ascii="Liberation Sans" w:cs="Arial" w:eastAsia="Microsoft YaHei" w:hAnsi="Liberation Sans"/>
      <w:sz w:val="28"/>
      <w:szCs w:val="28"/>
    </w:rPr>
  </w:style>
  <w:style w:type="paragraph" w:styleId="Cosdeltext">
    <w:name w:val="Body Text"/>
    <w:basedOn w:val="Normal"/>
    <w:pPr>
      <w:spacing w:after="140" w:before="0" w:line="276" w:lineRule="auto"/>
    </w:pPr>
    <w:rPr/>
  </w:style>
  <w:style w:type="paragraph" w:styleId="Llista">
    <w:name w:val="List"/>
    <w:basedOn w:val="Cosdeltext"/>
    <w:pPr/>
    <w:rPr>
      <w:rFonts w:cs="Arial"/>
    </w:rPr>
  </w:style>
  <w:style w:type="paragraph" w:styleId="Llegenda">
    <w:name w:val="Caption"/>
    <w:basedOn w:val="Normal"/>
    <w:qFormat w:val="1"/>
    <w:pPr>
      <w:suppressLineNumbers w:val="1"/>
      <w:spacing w:after="120" w:before="120"/>
    </w:pPr>
    <w:rPr>
      <w:rFonts w:cs="Arial"/>
      <w:i w:val="1"/>
      <w:iCs w:val="1"/>
      <w:sz w:val="24"/>
      <w:szCs w:val="24"/>
    </w:rPr>
  </w:style>
  <w:style w:type="paragraph" w:styleId="Ndex">
    <w:name w:val="Índex"/>
    <w:basedOn w:val="Normal"/>
    <w:qFormat w:val="1"/>
    <w:pPr>
      <w:suppressLineNumbers w:val="1"/>
    </w:pPr>
    <w:rPr>
      <w:rFonts w:cs="Arial"/>
    </w:rPr>
  </w:style>
  <w:style w:type="paragraph" w:styleId="Normal1" w:default="1">
    <w:name w:val="LO-normal"/>
    <w:qFormat w:val="1"/>
    <w:pPr>
      <w:widowControl w:val="1"/>
      <w:bidi w:val="0"/>
      <w:spacing w:after="0" w:before="0"/>
      <w:jc w:val="left"/>
    </w:pPr>
    <w:rPr>
      <w:rFonts w:ascii="Times New Roman" w:cs="Arial" w:eastAsia="NSimSun" w:hAnsi="Times New Roman"/>
      <w:color w:val="auto"/>
      <w:kern w:val="0"/>
      <w:sz w:val="24"/>
      <w:szCs w:val="24"/>
      <w:lang w:bidi="hi-IN" w:eastAsia="zh-CN" w:val="es-ES"/>
    </w:rPr>
  </w:style>
  <w:style w:type="paragraph" w:styleId="Capaleraipeu">
    <w:name w:val="Capçalera i peu"/>
    <w:basedOn w:val="Normal"/>
    <w:qFormat w:val="1"/>
    <w:pPr/>
    <w:rPr/>
  </w:style>
  <w:style w:type="paragraph" w:styleId="Capalera">
    <w:name w:val="Header"/>
    <w:basedOn w:val="Capaleraipeu"/>
    <w:pPr/>
    <w:rPr/>
  </w:style>
  <w:style w:type="paragraph" w:styleId="Contingutdelmarc">
    <w:name w:val="Contingut del marc"/>
    <w:basedOn w:val="Normal"/>
    <w:qFormat w:val="1"/>
    <w:pPr/>
    <w:rPr/>
  </w:style>
  <w:style w:type="paragraph" w:styleId="Peudepgina">
    <w:name w:val="Footer"/>
    <w:basedOn w:val="Capaleraipeu"/>
    <w:pPr/>
    <w:rPr/>
  </w:style>
  <w:style w:type="table" w:styleId="TableNormal" w:default="1">
    <w:name w:val="Table Normal"/>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oppins-regular.ttf"/><Relationship Id="rId2" Type="http://schemas.openxmlformats.org/officeDocument/2006/relationships/font" Target="fonts/Poppins-bold.ttf"/><Relationship Id="rId3" Type="http://schemas.openxmlformats.org/officeDocument/2006/relationships/font" Target="fonts/Poppins-italic.ttf"/><Relationship Id="rId4" Type="http://schemas.openxmlformats.org/officeDocument/2006/relationships/font" Target="fonts/Poppins-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H+8lG1YpydshIccay5oqd74TRDw==">CgMxLjAyCGguZ2pkZ3hzOAByITFNYXNnb0dKWXJkWXg5VHI2VUtpVWpyZEFRUlVKRmhoWQ==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