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70" w:firstLine="0"/>
        <w:jc w:val="left"/>
        <w:rPr>
          <w:rFonts w:ascii="Arial" w:cs="Arial" w:eastAsia="Arial" w:hAnsi="Arial"/>
          <w:color w:val="008000"/>
          <w:sz w:val="22"/>
          <w:szCs w:val="22"/>
        </w:rPr>
      </w:pPr>
      <w:r w:rsidDel="00000000" w:rsidR="00000000" w:rsidRPr="00000000">
        <w:rPr>
          <w:rtl w:val="0"/>
        </w:rPr>
      </w:r>
    </w:p>
    <w:p w:rsidR="00000000" w:rsidDel="00000000" w:rsidP="00000000" w:rsidRDefault="00000000" w:rsidRPr="00000000" w14:paraId="00000002">
      <w:pPr>
        <w:jc w:val="center"/>
        <w:rPr>
          <w:rFonts w:ascii="Poppins" w:cs="Poppins" w:eastAsia="Poppins" w:hAnsi="Poppins"/>
        </w:rPr>
      </w:pPr>
      <w:r w:rsidDel="00000000" w:rsidR="00000000" w:rsidRPr="00000000">
        <w:rPr>
          <w:rFonts w:ascii="Poppins" w:cs="Poppins" w:eastAsia="Poppins" w:hAnsi="Poppins"/>
          <w:sz w:val="22"/>
          <w:szCs w:val="22"/>
          <w:rtl w:val="0"/>
        </w:rPr>
        <w:t xml:space="preserve">ANNEX XIII</w:t>
      </w:r>
      <w:r w:rsidDel="00000000" w:rsidR="00000000" w:rsidRPr="00000000">
        <w:rPr>
          <w:rtl w:val="0"/>
        </w:rPr>
      </w:r>
    </w:p>
    <w:p w:rsidR="00000000" w:rsidDel="00000000" w:rsidP="00000000" w:rsidRDefault="00000000" w:rsidRPr="00000000" w14:paraId="00000003">
      <w:pPr>
        <w:jc w:val="right"/>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                                                                                          Model 29</w:t>
      </w:r>
    </w:p>
    <w:p w:rsidR="00000000" w:rsidDel="00000000" w:rsidP="00000000" w:rsidRDefault="00000000" w:rsidRPr="00000000" w14:paraId="00000004">
      <w:pPr>
        <w:jc w:val="right"/>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05">
      <w:pPr>
        <w:jc w:val="right"/>
        <w:rPr>
          <w:rFonts w:ascii="Poppins" w:cs="Poppins" w:eastAsia="Poppins" w:hAnsi="Poppins"/>
          <w:sz w:val="20"/>
          <w:szCs w:val="20"/>
          <w:highlight w:val="white"/>
        </w:rPr>
      </w:pPr>
      <w:r w:rsidDel="00000000" w:rsidR="00000000" w:rsidRPr="00000000">
        <w:rPr>
          <w:rFonts w:ascii="Poppins" w:cs="Poppins" w:eastAsia="Poppins" w:hAnsi="Poppins"/>
          <w:sz w:val="18"/>
          <w:szCs w:val="18"/>
          <w:rtl w:val="0"/>
        </w:rPr>
        <w:t xml:space="preserve">Expedient: </w:t>
      </w:r>
      <w:r w:rsidDel="00000000" w:rsidR="00000000" w:rsidRPr="00000000">
        <w:rPr>
          <w:rFonts w:ascii="Poppins" w:cs="Poppins" w:eastAsia="Poppins" w:hAnsi="Poppins"/>
          <w:sz w:val="18"/>
          <w:szCs w:val="18"/>
          <w:highlight w:val="white"/>
          <w:rtl w:val="0"/>
        </w:rPr>
        <w:t xml:space="preserve">N801/2025/000208</w:t>
      </w:r>
      <w:r w:rsidDel="00000000" w:rsidR="00000000" w:rsidRPr="00000000">
        <w:rPr>
          <w:rtl w:val="0"/>
        </w:rPr>
      </w:r>
    </w:p>
    <w:p w:rsidR="00000000" w:rsidDel="00000000" w:rsidP="00000000" w:rsidRDefault="00000000" w:rsidRPr="00000000" w14:paraId="00000006">
      <w:pPr>
        <w:jc w:val="both"/>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7">
      <w:pPr>
        <w:jc w:val="both"/>
        <w:rPr>
          <w:rFonts w:ascii="Poppins" w:cs="Poppins" w:eastAsia="Poppins" w:hAnsi="Poppins"/>
          <w:sz w:val="22"/>
          <w:szCs w:val="22"/>
        </w:rPr>
      </w:pPr>
      <w:r w:rsidDel="00000000" w:rsidR="00000000" w:rsidRPr="00000000">
        <w:rPr>
          <w:rFonts w:ascii="Poppins" w:cs="Poppins" w:eastAsia="Poppins" w:hAnsi="Poppins"/>
          <w:b w:val="1"/>
          <w:sz w:val="18"/>
          <w:szCs w:val="18"/>
          <w:rtl w:val="0"/>
        </w:rPr>
        <w:t xml:space="preserve">Objecte del contracte: </w:t>
      </w:r>
      <w:r w:rsidDel="00000000" w:rsidR="00000000" w:rsidRPr="00000000">
        <w:rPr>
          <w:rFonts w:ascii="Poppins" w:cs="Poppins" w:eastAsia="Poppins" w:hAnsi="Poppins"/>
          <w:sz w:val="18"/>
          <w:szCs w:val="18"/>
          <w:rtl w:val="0"/>
        </w:rPr>
        <w:t xml:space="preserve">Subministrament i servei </w:t>
      </w:r>
      <w:r w:rsidDel="00000000" w:rsidR="00000000" w:rsidRPr="00000000">
        <w:rPr>
          <w:rFonts w:ascii="Poppins" w:cs="Poppins" w:eastAsia="Poppins" w:hAnsi="Poppins"/>
          <w:sz w:val="18"/>
          <w:szCs w:val="18"/>
          <w:rtl w:val="0"/>
        </w:rPr>
        <w:t xml:space="preserve">plantació d'arbrat a diversos punts del municipi de Sant Boi de Llobregat,  SANT BOI RESPIRA + VERD.  B1: Nous espais verds i blaus connectors, en el marc del projecte Sant Boi Respira + Verd que compta amb el suport de la Fundación Biodiversidad del Ministerio para la Transición Ecológica y el Reto Demográfico (MITECO) en el marc del Plan de Recuperación, Transformación y Resiliencia (PRTR), finançat per la Unió Europea - NextGenerationEU.</w:t>
      </w:r>
      <w:r w:rsidDel="00000000" w:rsidR="00000000" w:rsidRPr="00000000">
        <w:rPr>
          <w:rtl w:val="0"/>
        </w:rPr>
      </w:r>
    </w:p>
    <w:p w:rsidR="00000000" w:rsidDel="00000000" w:rsidP="00000000" w:rsidRDefault="00000000" w:rsidRPr="00000000" w14:paraId="00000008">
      <w:pPr>
        <w:jc w:val="both"/>
        <w:rPr>
          <w:rFonts w:ascii="Poppins" w:cs="Poppins" w:eastAsia="Poppins" w:hAnsi="Poppins"/>
          <w:color w:val="222222"/>
          <w:sz w:val="22"/>
          <w:szCs w:val="22"/>
          <w:highlight w:val="white"/>
        </w:rPr>
      </w:pPr>
      <w:r w:rsidDel="00000000" w:rsidR="00000000" w:rsidRPr="00000000">
        <w:rPr>
          <w:rtl w:val="0"/>
        </w:rPr>
      </w:r>
    </w:p>
    <w:p w:rsidR="00000000" w:rsidDel="00000000" w:rsidP="00000000" w:rsidRDefault="00000000" w:rsidRPr="00000000" w14:paraId="00000009">
      <w:pPr>
        <w:rPr>
          <w:rFonts w:ascii="Poppins" w:cs="Poppins" w:eastAsia="Poppins" w:hAnsi="Poppins"/>
          <w:b w:val="1"/>
          <w:color w:val="0000ff"/>
          <w:sz w:val="22"/>
          <w:szCs w:val="22"/>
        </w:rPr>
      </w:pPr>
      <w:r w:rsidDel="00000000" w:rsidR="00000000" w:rsidRPr="00000000">
        <w:rPr>
          <w:rtl w:val="0"/>
        </w:rPr>
      </w:r>
    </w:p>
    <w:p w:rsidR="00000000" w:rsidDel="00000000" w:rsidP="00000000" w:rsidRDefault="00000000" w:rsidRPr="00000000" w14:paraId="0000000A">
      <w:pPr>
        <w:jc w:val="both"/>
        <w:rPr>
          <w:rFonts w:ascii="Poppins" w:cs="Poppins" w:eastAsia="Poppins" w:hAnsi="Poppins"/>
          <w:b w:val="1"/>
          <w:color w:val="0000ff"/>
          <w:sz w:val="22"/>
          <w:szCs w:val="22"/>
        </w:rPr>
      </w:pPr>
      <w:r w:rsidDel="00000000" w:rsidR="00000000" w:rsidRPr="00000000">
        <w:rPr>
          <w:rFonts w:ascii="Poppins" w:cs="Poppins" w:eastAsia="Poppins" w:hAnsi="Poppins"/>
          <w:b w:val="1"/>
          <w:color w:val="0000ff"/>
          <w:sz w:val="22"/>
          <w:szCs w:val="22"/>
          <w:rtl w:val="0"/>
        </w:rPr>
        <w:t xml:space="preserve">DECLARACIÓ DE COMPLIMENT DEL PRINCIPI DE «NO CAUSAR UN PERJUDICI SIGNIFICATIU» ALS SIS OBJECTIUS MEDIAMBIENTALS EN EL SENTIT DE L’ARTICLE 17 DEL REGLAMENT (UE) 2020/852</w:t>
      </w:r>
    </w:p>
    <w:p w:rsidR="00000000" w:rsidDel="00000000" w:rsidP="00000000" w:rsidRDefault="00000000" w:rsidRPr="00000000" w14:paraId="0000000B">
      <w:pPr>
        <w:jc w:val="both"/>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C">
      <w:pPr>
        <w:shd w:fill="ffffff" w:val="clear"/>
        <w:spacing w:after="180" w:before="360" w:line="36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El/La Sr./Sra. .......................................... </w:t>
      </w:r>
      <w:r w:rsidDel="00000000" w:rsidR="00000000" w:rsidRPr="00000000">
        <w:rPr>
          <w:rFonts w:ascii="Poppins" w:cs="Poppins" w:eastAsia="Poppins" w:hAnsi="Poppins"/>
          <w:color w:val="666666"/>
          <w:sz w:val="22"/>
          <w:szCs w:val="22"/>
          <w:rtl w:val="0"/>
        </w:rPr>
        <w:t xml:space="preserve">(nom i cognoms)</w:t>
      </w:r>
      <w:r w:rsidDel="00000000" w:rsidR="00000000" w:rsidRPr="00000000">
        <w:rPr>
          <w:rFonts w:ascii="Poppins" w:cs="Poppins" w:eastAsia="Poppins" w:hAnsi="Poppins"/>
          <w:sz w:val="22"/>
          <w:szCs w:val="22"/>
          <w:rtl w:val="0"/>
        </w:rPr>
        <w:t xml:space="preserve">, amb DNI núm. ....................., com a .......................... </w:t>
      </w:r>
      <w:r w:rsidDel="00000000" w:rsidR="00000000" w:rsidRPr="00000000">
        <w:rPr>
          <w:rFonts w:ascii="Poppins" w:cs="Poppins" w:eastAsia="Poppins" w:hAnsi="Poppins"/>
          <w:color w:val="666666"/>
          <w:sz w:val="22"/>
          <w:szCs w:val="22"/>
          <w:rtl w:val="0"/>
        </w:rPr>
        <w:t xml:space="preserve">(càrrec que ocupa)</w:t>
      </w:r>
      <w:r w:rsidDel="00000000" w:rsidR="00000000" w:rsidRPr="00000000">
        <w:rPr>
          <w:rFonts w:ascii="Poppins" w:cs="Poppins" w:eastAsia="Poppins" w:hAnsi="Poppins"/>
          <w:sz w:val="22"/>
          <w:szCs w:val="22"/>
          <w:rtl w:val="0"/>
        </w:rPr>
        <w:t xml:space="preserve"> de l’entitat/empresa ..................................................., amb NIF núm. ..........................., i domicili fiscal a .................................................., beneficiària d’ajuts finançats amb recursos procedents del Pla de Recuperació, Transformació i Resiliència, que participa com a </w:t>
      </w:r>
      <w:r w:rsidDel="00000000" w:rsidR="00000000" w:rsidRPr="00000000">
        <w:rPr>
          <w:rFonts w:ascii="Poppins" w:cs="Poppins" w:eastAsia="Poppins" w:hAnsi="Poppins"/>
          <w:color w:val="666666"/>
          <w:sz w:val="22"/>
          <w:szCs w:val="22"/>
          <w:rtl w:val="0"/>
        </w:rPr>
        <w:t xml:space="preserve">contractista / subcontractista</w:t>
      </w:r>
      <w:r w:rsidDel="00000000" w:rsidR="00000000" w:rsidRPr="00000000">
        <w:rPr>
          <w:rFonts w:ascii="Poppins" w:cs="Poppins" w:eastAsia="Poppins" w:hAnsi="Poppins"/>
          <w:sz w:val="22"/>
          <w:szCs w:val="22"/>
          <w:rtl w:val="0"/>
        </w:rPr>
        <w:t xml:space="preserve"> en el contracte de ................................................. </w:t>
      </w:r>
      <w:r w:rsidDel="00000000" w:rsidR="00000000" w:rsidRPr="00000000">
        <w:rPr>
          <w:rFonts w:ascii="Poppins" w:cs="Poppins" w:eastAsia="Poppins" w:hAnsi="Poppins"/>
          <w:color w:val="666666"/>
          <w:sz w:val="22"/>
          <w:szCs w:val="22"/>
          <w:rtl w:val="0"/>
        </w:rPr>
        <w:t xml:space="preserve">(objecte del contracte)</w:t>
      </w:r>
      <w:r w:rsidDel="00000000" w:rsidR="00000000" w:rsidRPr="00000000">
        <w:rPr>
          <w:rFonts w:ascii="Poppins" w:cs="Poppins" w:eastAsia="Poppins" w:hAnsi="Poppins"/>
          <w:sz w:val="22"/>
          <w:szCs w:val="22"/>
          <w:rtl w:val="0"/>
        </w:rPr>
        <w:t xml:space="preserve">,</w:t>
      </w:r>
    </w:p>
    <w:p w:rsidR="00000000" w:rsidDel="00000000" w:rsidP="00000000" w:rsidRDefault="00000000" w:rsidRPr="00000000" w14:paraId="0000000D">
      <w:pPr>
        <w:shd w:fill="ffffff" w:val="clear"/>
        <w:spacing w:after="180" w:before="360" w:line="360" w:lineRule="auto"/>
        <w:jc w:val="both"/>
        <w:rPr>
          <w:rFonts w:ascii="Poppins" w:cs="Poppins" w:eastAsia="Poppins" w:hAnsi="Poppins"/>
          <w:sz w:val="22"/>
          <w:szCs w:val="22"/>
        </w:rPr>
      </w:pPr>
      <w:r w:rsidDel="00000000" w:rsidR="00000000" w:rsidRPr="00000000">
        <w:rPr>
          <w:rFonts w:ascii="Poppins" w:cs="Poppins" w:eastAsia="Poppins" w:hAnsi="Poppins"/>
          <w:b w:val="1"/>
          <w:sz w:val="22"/>
          <w:szCs w:val="22"/>
          <w:rtl w:val="0"/>
        </w:rPr>
        <w:t xml:space="preserve">DECLARA</w:t>
      </w:r>
      <w:r w:rsidDel="00000000" w:rsidR="00000000" w:rsidRPr="00000000">
        <w:rPr>
          <w:rFonts w:ascii="Poppins" w:cs="Poppins" w:eastAsia="Poppins" w:hAnsi="Poppins"/>
          <w:sz w:val="22"/>
          <w:szCs w:val="22"/>
          <w:rtl w:val="0"/>
        </w:rPr>
        <w:t xml:space="preserve"> que compleix el següent:</w:t>
      </w:r>
    </w:p>
    <w:p w:rsidR="00000000" w:rsidDel="00000000" w:rsidP="00000000" w:rsidRDefault="00000000" w:rsidRPr="00000000" w14:paraId="0000000E">
      <w:pPr>
        <w:shd w:fill="ffffff" w:val="clear"/>
        <w:spacing w:after="180" w:before="360" w:line="36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 Les activitats que es desenvolupen no ocasionen un perjudici significatiu als següents objectius mediambientals, segons l’article 17 del Reglament (UE) 2020/852 relatiu a l’establiment d’un marc per facilitar les inversions sostenibles mitjançant la implantació d’un sistema de classificació (o «taxonomia») de les activitats econòmiques mediambientalment sostenibles:</w:t>
      </w:r>
    </w:p>
    <w:p w:rsidR="00000000" w:rsidDel="00000000" w:rsidP="00000000" w:rsidRDefault="00000000" w:rsidRPr="00000000" w14:paraId="0000000F">
      <w:pPr>
        <w:numPr>
          <w:ilvl w:val="0"/>
          <w:numId w:val="3"/>
        </w:numPr>
        <w:shd w:fill="ffffff" w:val="clear"/>
        <w:spacing w:after="0" w:afterAutospacing="0" w:before="360" w:line="360" w:lineRule="auto"/>
        <w:ind w:left="144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Mitigació del canvi climàtic</w:t>
      </w:r>
    </w:p>
    <w:p w:rsidR="00000000" w:rsidDel="00000000" w:rsidP="00000000" w:rsidRDefault="00000000" w:rsidRPr="00000000" w14:paraId="00000010">
      <w:pPr>
        <w:numPr>
          <w:ilvl w:val="0"/>
          <w:numId w:val="3"/>
        </w:numPr>
        <w:shd w:fill="ffffff" w:val="clear"/>
        <w:spacing w:after="0" w:afterAutospacing="0" w:before="0" w:beforeAutospacing="0" w:line="360" w:lineRule="auto"/>
        <w:ind w:left="144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Adaptació al canvi climàtic</w:t>
      </w:r>
    </w:p>
    <w:p w:rsidR="00000000" w:rsidDel="00000000" w:rsidP="00000000" w:rsidRDefault="00000000" w:rsidRPr="00000000" w14:paraId="00000011">
      <w:pPr>
        <w:numPr>
          <w:ilvl w:val="0"/>
          <w:numId w:val="3"/>
        </w:numPr>
        <w:shd w:fill="ffffff" w:val="clear"/>
        <w:spacing w:after="0" w:afterAutospacing="0" w:before="0" w:beforeAutospacing="0" w:line="360" w:lineRule="auto"/>
        <w:ind w:left="144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Ús sostenible i protecció dels recursos hídrics i marins</w:t>
      </w:r>
    </w:p>
    <w:p w:rsidR="00000000" w:rsidDel="00000000" w:rsidP="00000000" w:rsidRDefault="00000000" w:rsidRPr="00000000" w14:paraId="00000012">
      <w:pPr>
        <w:numPr>
          <w:ilvl w:val="0"/>
          <w:numId w:val="3"/>
        </w:numPr>
        <w:shd w:fill="ffffff" w:val="clear"/>
        <w:spacing w:after="0" w:afterAutospacing="0" w:before="0" w:beforeAutospacing="0" w:line="360" w:lineRule="auto"/>
        <w:ind w:left="144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Economia circular, inclosa la prevenció i el reciclatge de residus</w:t>
      </w:r>
    </w:p>
    <w:p w:rsidR="00000000" w:rsidDel="00000000" w:rsidP="00000000" w:rsidRDefault="00000000" w:rsidRPr="00000000" w14:paraId="00000013">
      <w:pPr>
        <w:numPr>
          <w:ilvl w:val="0"/>
          <w:numId w:val="3"/>
        </w:numPr>
        <w:shd w:fill="ffffff" w:val="clear"/>
        <w:spacing w:after="0" w:afterAutospacing="0" w:before="0" w:beforeAutospacing="0" w:line="360" w:lineRule="auto"/>
        <w:ind w:left="144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Prevenció i control de la contaminació de l’atmosfera, l’aigua i el sòl</w:t>
      </w:r>
    </w:p>
    <w:p w:rsidR="00000000" w:rsidDel="00000000" w:rsidP="00000000" w:rsidRDefault="00000000" w:rsidRPr="00000000" w14:paraId="00000014">
      <w:pPr>
        <w:numPr>
          <w:ilvl w:val="0"/>
          <w:numId w:val="3"/>
        </w:numPr>
        <w:shd w:fill="ffffff" w:val="clear"/>
        <w:spacing w:after="180" w:before="0" w:beforeAutospacing="0" w:line="360" w:lineRule="auto"/>
        <w:ind w:left="144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Protecció i restauració de la biodiversitat i dels ecosistemes</w:t>
      </w:r>
    </w:p>
    <w:p w:rsidR="00000000" w:rsidDel="00000000" w:rsidP="00000000" w:rsidRDefault="00000000" w:rsidRPr="00000000" w14:paraId="00000015">
      <w:pPr>
        <w:shd w:fill="ffffff" w:val="clear"/>
        <w:spacing w:after="180" w:before="360" w:line="36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B. Les activitats s’adeqüen, si escau, a les característiques i condicions establertes per a la mesura i submesura de la Component corresponent i recollides en el Pla de Recuperació, Transformació i Resiliència.</w:t>
      </w:r>
    </w:p>
    <w:p w:rsidR="00000000" w:rsidDel="00000000" w:rsidP="00000000" w:rsidRDefault="00000000" w:rsidRPr="00000000" w14:paraId="00000016">
      <w:pPr>
        <w:shd w:fill="ffffff" w:val="clear"/>
        <w:spacing w:after="180" w:before="360" w:line="36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C. Les activitats que es desenvolupen en el projecte compliran la normativa mediambiental vigent que sigui aplicable.</w:t>
      </w:r>
    </w:p>
    <w:p w:rsidR="00000000" w:rsidDel="00000000" w:rsidP="00000000" w:rsidRDefault="00000000" w:rsidRPr="00000000" w14:paraId="00000017">
      <w:pPr>
        <w:shd w:fill="ffffff" w:val="clear"/>
        <w:spacing w:after="180" w:before="360" w:line="36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D. Les activitats que es desenvolupen no estan excloses de finançament per part del Pla, conforme a la Guia tècnica sobre l’aplicació del principi de “no causar un perjudici significatiu” d’acord amb el Reglament relatiu al Mecanisme de Recuperació i Resiliència (2021/C 58/01), la Proposta de Decisió d’Execució del Consell relativa a l’avaluació del pla de recuperació i resiliència d’Espanya, i l’annex corresponent.</w:t>
      </w:r>
    </w:p>
    <w:p w:rsidR="00000000" w:rsidDel="00000000" w:rsidP="00000000" w:rsidRDefault="00000000" w:rsidRPr="00000000" w14:paraId="00000018">
      <w:pPr>
        <w:shd w:fill="ffffff" w:val="clear"/>
        <w:spacing w:after="180" w:before="360" w:line="36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En concret, queden excloses:</w:t>
      </w:r>
    </w:p>
    <w:p w:rsidR="00000000" w:rsidDel="00000000" w:rsidP="00000000" w:rsidRDefault="00000000" w:rsidRPr="00000000" w14:paraId="00000019">
      <w:pPr>
        <w:numPr>
          <w:ilvl w:val="0"/>
          <w:numId w:val="2"/>
        </w:numPr>
        <w:shd w:fill="ffffff" w:val="clear"/>
        <w:spacing w:after="0" w:afterAutospacing="0" w:before="360" w:line="360" w:lineRule="auto"/>
        <w:ind w:left="72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La construcció de refineries de cru, centrals tèrmiques de carbó i projectes que impliquin l’extracció de petroli o gas natural, per perjudicar l’objectiu de mitigació del canvi climàtic.</w:t>
      </w:r>
    </w:p>
    <w:p w:rsidR="00000000" w:rsidDel="00000000" w:rsidP="00000000" w:rsidRDefault="00000000" w:rsidRPr="00000000" w14:paraId="0000001A">
      <w:pPr>
        <w:numPr>
          <w:ilvl w:val="0"/>
          <w:numId w:val="2"/>
        </w:numPr>
        <w:shd w:fill="ffffff" w:val="clear"/>
        <w:spacing w:after="0" w:afterAutospacing="0" w:before="0" w:beforeAutospacing="0" w:line="360" w:lineRule="auto"/>
        <w:ind w:left="72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Activitats relacionades amb combustibles fòssils, inclòs el seu ús posterior, excepte els projectes relacionats amb la generació d’electricitat i/o calor mitjançant gas natural, així com la infraestructura de transport i distribució associada, sempre que compleixin les condicions establertes a l’Annex III de la Guia Tècnica de la Comissió Europea.</w:t>
      </w:r>
    </w:p>
    <w:p w:rsidR="00000000" w:rsidDel="00000000" w:rsidP="00000000" w:rsidRDefault="00000000" w:rsidRPr="00000000" w14:paraId="0000001B">
      <w:pPr>
        <w:numPr>
          <w:ilvl w:val="0"/>
          <w:numId w:val="2"/>
        </w:numPr>
        <w:shd w:fill="ffffff" w:val="clear"/>
        <w:spacing w:after="0" w:afterAutospacing="0" w:before="0" w:beforeAutospacing="0" w:line="360" w:lineRule="auto"/>
        <w:ind w:left="72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Activitats i actius inclosos en el règim de comerç de drets d’emissió de la UE (RCDE) si es preveu que les seves emissions de gasos amb efecte d’hivernacle no estaran per sota dels paràmetres de referència pertinents. Si es preveu que les emissions no seran significativament inferiors, caldrà aportar una justificació motivada.</w:t>
      </w:r>
    </w:p>
    <w:p w:rsidR="00000000" w:rsidDel="00000000" w:rsidP="00000000" w:rsidRDefault="00000000" w:rsidRPr="00000000" w14:paraId="0000001C">
      <w:pPr>
        <w:numPr>
          <w:ilvl w:val="0"/>
          <w:numId w:val="2"/>
        </w:numPr>
        <w:shd w:fill="ffffff" w:val="clear"/>
        <w:spacing w:after="0" w:afterAutospacing="0" w:before="0" w:beforeAutospacing="0" w:line="360" w:lineRule="auto"/>
        <w:ind w:left="72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Compensació de costos indirectes del RCDE.</w:t>
      </w:r>
    </w:p>
    <w:p w:rsidR="00000000" w:rsidDel="00000000" w:rsidP="00000000" w:rsidRDefault="00000000" w:rsidRPr="00000000" w14:paraId="0000001D">
      <w:pPr>
        <w:numPr>
          <w:ilvl w:val="0"/>
          <w:numId w:val="2"/>
        </w:numPr>
        <w:shd w:fill="ffffff" w:val="clear"/>
        <w:spacing w:after="0" w:afterAutospacing="0" w:before="0" w:beforeAutospacing="0" w:line="360" w:lineRule="auto"/>
        <w:ind w:left="72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Activitats relacionades amb abocadors de residus i incineradores. aquesta exclusió no s’aplica a les accions en plantes dedicades exclusivament al tractament de residus perillosos no reciclables, o a plantes existents si les actuacions tenen per objecte millorar l’eficiència energètica, capturar gasos d’escapament per al seu emmagatzematge o ús, o recuperar materials de cendres d’incineració, sempre que aquestes accions no impliquin un augment de la capacitat de tractament de residus ni una prolongació de la seva vida útil; aquests aspectes s’han de justificar documentalment per planta.</w:t>
      </w:r>
    </w:p>
    <w:p w:rsidR="00000000" w:rsidDel="00000000" w:rsidP="00000000" w:rsidRDefault="00000000" w:rsidRPr="00000000" w14:paraId="0000001E">
      <w:pPr>
        <w:numPr>
          <w:ilvl w:val="0"/>
          <w:numId w:val="2"/>
        </w:numPr>
        <w:shd w:fill="ffffff" w:val="clear"/>
        <w:spacing w:after="0" w:afterAutospacing="0" w:before="0" w:beforeAutospacing="0" w:line="360" w:lineRule="auto"/>
        <w:ind w:left="72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Activitats relacionades amb plantes de tractament mecànic-biològic. Aquesta exclusió no s’aplica a accions en plantes existents que tinguin per objecte millorar l’eficiència energètica o recondicionar-les per operacions de reciclatge de residus separats (compostatge, digestió anaeròbica de bioresidus), sempre que aquestes accions no suposin un augment de capacitat ni una extensió de la vida útil de les plantes, i sempre degudament justificat.</w:t>
      </w:r>
    </w:p>
    <w:p w:rsidR="00000000" w:rsidDel="00000000" w:rsidP="00000000" w:rsidRDefault="00000000" w:rsidRPr="00000000" w14:paraId="0000001F">
      <w:pPr>
        <w:numPr>
          <w:ilvl w:val="0"/>
          <w:numId w:val="2"/>
        </w:numPr>
        <w:shd w:fill="ffffff" w:val="clear"/>
        <w:spacing w:after="180" w:before="0" w:beforeAutospacing="0" w:line="360" w:lineRule="auto"/>
        <w:ind w:left="72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Activitats on l’eliminació a llarg termini de residus pugui causar danys al medi ambient.</w:t>
      </w:r>
    </w:p>
    <w:p w:rsidR="00000000" w:rsidDel="00000000" w:rsidP="00000000" w:rsidRDefault="00000000" w:rsidRPr="00000000" w14:paraId="00000020">
      <w:pPr>
        <w:shd w:fill="ffffff" w:val="clear"/>
        <w:spacing w:after="180" w:before="360" w:line="36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E. Les activitats que es desenvolupen no causen efectes directes sobre el medi ambient, ni efectes indirectes primaris durant tot el seu cicle de vida, entenent per aquests aquells que es poden materialitzar un cop finalitzada l’activitat.</w:t>
      </w:r>
    </w:p>
    <w:p w:rsidR="00000000" w:rsidDel="00000000" w:rsidP="00000000" w:rsidRDefault="00000000" w:rsidRPr="00000000" w14:paraId="00000021">
      <w:pPr>
        <w:shd w:fill="ffffff" w:val="clear"/>
        <w:spacing w:after="180" w:before="360" w:line="36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L’incompliment de qualsevol dels requisits establerts en aquesta declaració comportarà l’obligació de retornar les quantitats percebudes i els interessos de demora corresponents.</w:t>
      </w:r>
    </w:p>
    <w:p w:rsidR="00000000" w:rsidDel="00000000" w:rsidP="00000000" w:rsidRDefault="00000000" w:rsidRPr="00000000" w14:paraId="00000022">
      <w:pPr>
        <w:shd w:fill="ffffff" w:val="clear"/>
        <w:spacing w:after="180" w:before="360" w:line="36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Data:</w:t>
        <w:tab/>
        <w:tab/>
        <w:tab/>
        <w:tab/>
        <w:tab/>
        <w:tab/>
        <w:tab/>
        <w:tab/>
        <w:t xml:space="preserve">Firmat:</w:t>
      </w:r>
    </w:p>
    <w:p w:rsidR="00000000" w:rsidDel="00000000" w:rsidP="00000000" w:rsidRDefault="00000000" w:rsidRPr="00000000" w14:paraId="00000023">
      <w:pPr>
        <w:keepNext w:val="1"/>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3240"/>
          <w:tab w:val="left" w:leader="none" w:pos="3240"/>
        </w:tabs>
        <w:spacing w:after="0" w:before="0" w:line="240" w:lineRule="auto"/>
        <w:ind w:left="0" w:right="-70" w:firstLine="0"/>
        <w:jc w:val="left"/>
        <w:rPr>
          <w:rFonts w:ascii="Arial" w:cs="Arial" w:eastAsia="Arial" w:hAnsi="Arial"/>
          <w:color w:val="008000"/>
          <w:sz w:val="22"/>
          <w:szCs w:val="22"/>
          <w:u w:val="none"/>
        </w:rPr>
      </w:pPr>
      <w:r w:rsidDel="00000000" w:rsidR="00000000" w:rsidRPr="00000000">
        <w:rPr>
          <w:rtl w:val="0"/>
        </w:rPr>
      </w:r>
    </w:p>
    <w:p w:rsidR="00000000" w:rsidDel="00000000" w:rsidP="00000000" w:rsidRDefault="00000000" w:rsidRPr="00000000" w14:paraId="00000024">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3240"/>
          <w:tab w:val="left" w:leader="none" w:pos="3240"/>
        </w:tabs>
        <w:spacing w:after="0" w:before="0" w:line="360" w:lineRule="auto"/>
        <w:ind w:left="0" w:right="-70" w:firstLine="0"/>
        <w:jc w:val="both"/>
        <w:rPr>
          <w:rFonts w:ascii="Arial" w:cs="Arial" w:eastAsia="Arial" w:hAnsi="Arial"/>
          <w:b w:val="1"/>
          <w:i w:val="0"/>
          <w:smallCaps w:val="0"/>
          <w:strike w:val="0"/>
          <w:color w:val="000000"/>
          <w:sz w:val="24"/>
          <w:szCs w:val="24"/>
          <w:highlight w:val="yellow"/>
          <w:u w:val="single"/>
          <w:vertAlign w:val="baseline"/>
        </w:rPr>
      </w:pPr>
      <w:bookmarkStart w:colFirst="0" w:colLast="0" w:name="_heading=h.gjdgxs" w:id="0"/>
      <w:bookmarkEnd w:id="0"/>
      <w:r w:rsidDel="00000000" w:rsidR="00000000" w:rsidRPr="00000000">
        <w:rPr>
          <w:rtl w:val="0"/>
        </w:rPr>
      </w:r>
    </w:p>
    <w:sectPr>
      <w:headerReference r:id="rId7" w:type="default"/>
      <w:footerReference r:id="rId8" w:type="default"/>
      <w:pgSz w:h="16838" w:w="11906" w:orient="portrait"/>
      <w:pgMar w:bottom="1418" w:top="1418" w:left="1797" w:right="164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shd w:fill="auto" w:val="clear"/>
      <w:tabs>
        <w:tab w:val="center" w:leader="none" w:pos="4252"/>
        <w:tab w:val="right" w:leader="none" w:pos="8504"/>
      </w:tabs>
      <w:spacing w:after="0" w:before="0" w:line="240" w:lineRule="auto"/>
      <w:ind w:left="0" w:right="0" w:firstLine="708"/>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2540000</wp:posOffset>
              </wp:positionH>
              <wp:positionV relativeFrom="paragraph">
                <wp:posOffset>0</wp:posOffset>
              </wp:positionV>
              <wp:extent cx="213360" cy="165100"/>
              <wp:effectExtent b="0" l="0" r="0" t="0"/>
              <wp:wrapSquare wrapText="bothSides" distB="0" distT="0" distL="0" distR="0"/>
              <wp:docPr id="17" name=""/>
              <a:graphic>
                <a:graphicData uri="http://schemas.microsoft.com/office/word/2010/wordprocessingShape">
                  <wps:wsp>
                    <wps:cNvSpPr/>
                    <wps:cNvPr id="2" name="Shape 2"/>
                    <wps:spPr>
                      <a:xfrm>
                        <a:off x="5263200" y="3721320"/>
                        <a:ext cx="165600" cy="117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2540000</wp:posOffset>
              </wp:positionH>
              <wp:positionV relativeFrom="paragraph">
                <wp:posOffset>0</wp:posOffset>
              </wp:positionV>
              <wp:extent cx="213360" cy="165100"/>
              <wp:effectExtent b="0" l="0" r="0" t="0"/>
              <wp:wrapSquare wrapText="bothSides" distB="0" distT="0" distL="0" distR="0"/>
              <wp:docPr id="1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13360" cy="1651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1"/>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2603500</wp:posOffset>
              </wp:positionH>
              <wp:positionV relativeFrom="paragraph">
                <wp:posOffset>0</wp:posOffset>
              </wp:positionV>
              <wp:extent cx="71755" cy="232410"/>
              <wp:effectExtent b="0" l="0" r="0" t="0"/>
              <wp:wrapSquare wrapText="bothSides" distB="0" distT="0" distL="0" distR="0"/>
              <wp:docPr id="18" name=""/>
              <a:graphic>
                <a:graphicData uri="http://schemas.microsoft.com/office/word/2010/wordprocessingShape">
                  <wps:wsp>
                    <wps:cNvSpPr/>
                    <wps:cNvPr id="3" name="Shape 3"/>
                    <wps:spPr>
                      <a:xfrm>
                        <a:off x="5333940" y="3687660"/>
                        <a:ext cx="24120" cy="1846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2603500</wp:posOffset>
              </wp:positionH>
              <wp:positionV relativeFrom="paragraph">
                <wp:posOffset>0</wp:posOffset>
              </wp:positionV>
              <wp:extent cx="71755" cy="232410"/>
              <wp:effectExtent b="0" l="0" r="0" t="0"/>
              <wp:wrapSquare wrapText="bothSides" distB="0" distT="0" distL="0" distR="0"/>
              <wp:docPr id="1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1755" cy="232410"/>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48895</wp:posOffset>
          </wp:positionH>
          <wp:positionV relativeFrom="paragraph">
            <wp:posOffset>635</wp:posOffset>
          </wp:positionV>
          <wp:extent cx="5278120" cy="517525"/>
          <wp:effectExtent b="0" l="0" r="0" t="0"/>
          <wp:wrapSquare wrapText="bothSides" distB="0" distT="0" distL="0" distR="0"/>
          <wp:docPr id="19"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5278120" cy="517525"/>
                  </a:xfrm>
                  <a:prstGeom prst="rect"/>
                  <a:ln/>
                </pic:spPr>
              </pic:pic>
            </a:graphicData>
          </a:graphic>
        </wp:anchor>
      </w:drawing>
    </w:r>
  </w:p>
  <w:p w:rsidR="00000000" w:rsidDel="00000000" w:rsidP="00000000" w:rsidRDefault="00000000" w:rsidRPr="00000000" w14:paraId="00000026">
    <w:pPr>
      <w:keepNext w:val="0"/>
      <w:keepLines w:val="0"/>
      <w:widowControl w:val="1"/>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ind w:left="-360" w:right="110" w:firstLine="0"/>
      <w:jc w:val="both"/>
    </w:pPr>
    <w:rPr>
      <w:rFonts w:ascii="Arial" w:cs="Arial" w:eastAsia="Arial" w:hAnsi="Arial"/>
      <w:i w:val="1"/>
      <w:sz w:val="22"/>
      <w:szCs w:val="22"/>
    </w:rPr>
  </w:style>
  <w:style w:type="paragraph" w:styleId="Heading2">
    <w:name w:val="heading 2"/>
    <w:basedOn w:val="Normal"/>
    <w:next w:val="Normal"/>
    <w:pPr>
      <w:keepNext w:val="1"/>
      <w:spacing w:line="360" w:lineRule="auto"/>
      <w:ind w:left="-360" w:right="110" w:firstLine="0"/>
      <w:jc w:val="both"/>
    </w:pPr>
    <w:rPr>
      <w:rFonts w:ascii="Arial" w:cs="Arial" w:eastAsia="Arial" w:hAnsi="Arial"/>
      <w:i w:val="1"/>
    </w:rPr>
  </w:style>
  <w:style w:type="paragraph" w:styleId="Heading3">
    <w:name w:val="heading 3"/>
    <w:basedOn w:val="Normal"/>
    <w:next w:val="Normal"/>
    <w:pPr>
      <w:keepNext w:val="1"/>
      <w:ind w:left="-360" w:right="-70" w:firstLine="0"/>
      <w:jc w:val="both"/>
    </w:pPr>
    <w:rPr>
      <w:rFonts w:ascii="Arial" w:cs="Arial" w:eastAsia="Arial" w:hAnsi="Arial"/>
      <w:b w:val="1"/>
      <w:i w:val="1"/>
      <w:u w:val="single"/>
    </w:rPr>
  </w:style>
  <w:style w:type="paragraph" w:styleId="Heading4">
    <w:name w:val="heading 4"/>
    <w:basedOn w:val="Normal"/>
    <w:next w:val="Normal"/>
    <w:pPr>
      <w:keepNext w:val="1"/>
      <w:ind w:left="-360" w:right="-70" w:firstLine="0"/>
      <w:jc w:val="both"/>
    </w:pPr>
    <w:rPr>
      <w:rFonts w:ascii="Arial" w:cs="Arial" w:eastAsia="Arial" w:hAnsi="Arial"/>
      <w:b w:val="1"/>
      <w:u w:val="single"/>
    </w:rPr>
  </w:style>
  <w:style w:type="paragraph" w:styleId="Heading5">
    <w:name w:val="heading 5"/>
    <w:basedOn w:val="Normal"/>
    <w:next w:val="Normal"/>
    <w:pPr>
      <w:keepNext w:val="1"/>
      <w:tabs>
        <w:tab w:val="left" w:leader="none" w:pos="3240"/>
      </w:tabs>
      <w:ind w:left="-360" w:right="-70" w:firstLine="0"/>
      <w:jc w:val="both"/>
    </w:pPr>
    <w:rPr>
      <w:rFonts w:ascii="Arial" w:cs="Arial" w:eastAsia="Arial" w:hAnsi="Arial"/>
      <w:b w:val="1"/>
      <w:color w:val="000000"/>
      <w:u w:val="single"/>
    </w:rPr>
  </w:style>
  <w:style w:type="paragraph" w:styleId="Heading6">
    <w:name w:val="heading 6"/>
    <w:basedOn w:val="Normal"/>
    <w:next w:val="Normal"/>
    <w:pPr>
      <w:keepNext w:val="1"/>
      <w:tabs>
        <w:tab w:val="left" w:leader="none" w:pos="3240"/>
      </w:tabs>
      <w:ind w:left="-360" w:right="0" w:firstLine="0"/>
      <w:jc w:val="both"/>
    </w:pPr>
    <w:rPr>
      <w:rFonts w:ascii="Arial" w:cs="Arial" w:eastAsia="Arial" w:hAnsi="Arial"/>
      <w:b w:val="1"/>
      <w:color w:val="000000"/>
      <w:u w:val="single"/>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Encapalament">
    <w:name w:val="Encapçalament"/>
    <w:basedOn w:val="Normal"/>
    <w:next w:val="Cosdeltext"/>
    <w:qFormat w:val="1"/>
    <w:pPr>
      <w:keepNext w:val="1"/>
      <w:spacing w:after="120" w:before="240"/>
    </w:pPr>
    <w:rPr>
      <w:rFonts w:ascii="Liberation Sans" w:cs="Arial" w:eastAsia="Microsoft YaHei" w:hAnsi="Liberation Sans"/>
      <w:sz w:val="28"/>
      <w:szCs w:val="28"/>
    </w:rPr>
  </w:style>
  <w:style w:type="paragraph" w:styleId="Cosdeltext">
    <w:name w:val="Body Text"/>
    <w:basedOn w:val="Normal"/>
    <w:pPr>
      <w:spacing w:after="140" w:before="0" w:line="276" w:lineRule="auto"/>
    </w:pPr>
    <w:rPr/>
  </w:style>
  <w:style w:type="paragraph" w:styleId="Llista">
    <w:name w:val="List"/>
    <w:basedOn w:val="Cosdeltext"/>
    <w:pPr/>
    <w:rPr>
      <w:rFonts w:cs="Arial"/>
    </w:rPr>
  </w:style>
  <w:style w:type="paragraph" w:styleId="Llegenda">
    <w:name w:val="Caption"/>
    <w:basedOn w:val="Normal"/>
    <w:qFormat w:val="1"/>
    <w:pPr>
      <w:suppressLineNumbers w:val="1"/>
      <w:spacing w:after="120" w:before="120"/>
    </w:pPr>
    <w:rPr>
      <w:rFonts w:cs="Arial"/>
      <w:i w:val="1"/>
      <w:iCs w:val="1"/>
      <w:sz w:val="24"/>
      <w:szCs w:val="24"/>
    </w:rPr>
  </w:style>
  <w:style w:type="paragraph" w:styleId="Ndex">
    <w:name w:val="Índex"/>
    <w:basedOn w:val="Normal"/>
    <w:qFormat w:val="1"/>
    <w:pPr>
      <w:suppressLineNumbers w:val="1"/>
    </w:pPr>
    <w:rPr>
      <w:rFonts w:cs="Arial"/>
    </w:rPr>
  </w:style>
  <w:style w:type="paragraph" w:styleId="Normal1" w:default="1">
    <w:name w:val="LO-normal"/>
    <w:qFormat w:val="1"/>
    <w:pPr>
      <w:widowControl w:val="1"/>
      <w:bidi w:val="0"/>
      <w:spacing w:after="0" w:before="0"/>
      <w:jc w:val="left"/>
    </w:pPr>
    <w:rPr>
      <w:rFonts w:ascii="Times New Roman" w:cs="Arial" w:eastAsia="NSimSun" w:hAnsi="Times New Roman"/>
      <w:color w:val="auto"/>
      <w:kern w:val="0"/>
      <w:sz w:val="24"/>
      <w:szCs w:val="24"/>
      <w:lang w:bidi="hi-IN" w:eastAsia="zh-CN" w:val="es-ES"/>
    </w:rPr>
  </w:style>
  <w:style w:type="paragraph" w:styleId="Capaleraipeu">
    <w:name w:val="Capçalera i peu"/>
    <w:basedOn w:val="Normal"/>
    <w:qFormat w:val="1"/>
    <w:pPr/>
    <w:rPr/>
  </w:style>
  <w:style w:type="paragraph" w:styleId="Capalera">
    <w:name w:val="Header"/>
    <w:basedOn w:val="Capaleraipeu"/>
    <w:pPr/>
    <w:rPr/>
  </w:style>
  <w:style w:type="paragraph" w:styleId="Contingutdelmarc">
    <w:name w:val="Contingut del marc"/>
    <w:basedOn w:val="Normal"/>
    <w:qFormat w:val="1"/>
    <w:pPr/>
    <w:rPr/>
  </w:style>
  <w:style w:type="paragraph" w:styleId="Peudepgina">
    <w:name w:val="Footer"/>
    <w:basedOn w:val="Capaleraipeu"/>
    <w:pPr/>
    <w:rPr/>
  </w:style>
  <w:style w:type="table" w:styleId="TableNormal" w:default="1">
    <w:name w:val="Table Normal"/>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L6qCaKjTsp7zI/uTLqS24d5bDw==">CgMxLjAyCGguZ2pkZ3hzOAByITF0Z3pUV2R6MmNiYTlreUxVcW9kT3lpRjJoTy05aExWeA==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