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«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E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 xml:space="preserve">xp. 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20...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/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...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.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: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P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ropos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ta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econòmica i proposta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avaluable mitjançant criteris automàtics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  per participar en el procediment obert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simplificat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abreujat (sumari)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per a la contractació de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l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subministrament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..............................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... ,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presentada per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..............................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...": </w:t>
      </w:r>
    </w:p>
    <w:p>
      <w:pPr>
        <w:pStyle w:val="Normal"/>
        <w:numPr>
          <w:ilvl w:val="0"/>
          <w:numId w:val="1"/>
        </w:numPr>
        <w:pBdr/>
        <w:spacing w:lineRule="auto" w:line="276"/>
        <w:jc w:val="both"/>
        <w:rPr>
          <w:rFonts w:ascii="Arial" w:hAnsi="Arial" w:cs="Arial"/>
          <w:b/>
          <w:bCs/>
          <w:i/>
          <w:i/>
          <w:iCs/>
          <w:color w:val="000000"/>
          <w:sz w:val="22"/>
          <w:szCs w:val="22"/>
          <w:lang w:val="ca-ES"/>
        </w:rPr>
      </w:pPr>
      <w:r>
        <w:rPr>
          <w:rFonts w:cs="Arial" w:ascii="Arial" w:hAnsi="Arial"/>
          <w:b/>
          <w:bCs/>
          <w:i/>
          <w:iCs/>
          <w:color w:val="000000"/>
          <w:sz w:val="22"/>
          <w:szCs w:val="22"/>
          <w:lang w:val="ca-ES"/>
        </w:rPr>
      </w:r>
    </w:p>
    <w:p>
      <w:pPr>
        <w:pStyle w:val="Subtitle"/>
        <w:widowControl/>
        <w:pBdr/>
        <w:bidi w:val="0"/>
        <w:spacing w:lineRule="auto" w:line="276" w:before="57" w:after="57"/>
        <w:ind w:hanging="0" w:left="0" w:right="0"/>
        <w:jc w:val="both"/>
        <w:rPr>
          <w:rFonts w:ascii="Arial" w:hAnsi="Arial"/>
          <w:i/>
          <w:i/>
          <w:iCs/>
          <w:color w:val="000000"/>
          <w:sz w:val="22"/>
          <w:szCs w:val="22"/>
          <w:lang w:val="ca-ES"/>
        </w:rPr>
      </w:pPr>
      <w:r>
        <w:rPr>
          <w:i/>
          <w:iCs/>
          <w:color w:val="000000"/>
          <w:sz w:val="22"/>
          <w:szCs w:val="22"/>
          <w:lang w:val="ca-ES"/>
        </w:rPr>
        <w:t xml:space="preserve">"En/Na ......................................... amb NIF núm. ................, en nom propi, (o en representació de l'empresa .............., CIF núm. .............., domiciliada a ........... carrer ........................, núm. .......), assabentat/da de les condicions exigides per optar a la contractació relativa </w:t>
      </w:r>
      <w:r>
        <w:rPr>
          <w:i/>
          <w:iCs/>
          <w:color w:val="000000"/>
          <w:sz w:val="22"/>
          <w:szCs w:val="22"/>
          <w:lang w:val="ca-ES"/>
        </w:rPr>
        <w:t xml:space="preserve">al contracte de subministrament  ......................................................, es  compromet </w:t>
      </w:r>
      <w:r>
        <w:rPr>
          <w:i/>
          <w:iCs/>
          <w:color w:val="000000"/>
          <w:sz w:val="22"/>
          <w:szCs w:val="22"/>
          <w:lang w:val="ca-ES"/>
        </w:rPr>
        <w:t xml:space="preserve">a portar-la a terme amb subjecció als Plecs de Prescripcions Tècniques Particulars i de Clàusules Administratives Particulars  </w:t>
      </w:r>
      <w:r>
        <w:rPr>
          <w:i/>
          <w:iCs/>
          <w:color w:val="000000"/>
          <w:sz w:val="22"/>
          <w:szCs w:val="22"/>
          <w:lang w:val="ca-ES"/>
        </w:rPr>
        <w:t>amb les següents condicions:</w:t>
      </w:r>
    </w:p>
    <w:p>
      <w:pPr>
        <w:pStyle w:val="BodyText"/>
        <w:pBdr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BodyText"/>
        <w:pBdr/>
        <w:rPr>
          <w:rFonts w:ascii="Arial" w:hAnsi="Arial"/>
          <w:sz w:val="22"/>
          <w:szCs w:val="22"/>
          <w:u w:val="single"/>
        </w:rPr>
      </w:pPr>
      <w:r>
        <w:rPr>
          <w:rFonts w:ascii="Arial" w:hAnsi="Arial"/>
          <w:sz w:val="22"/>
          <w:szCs w:val="22"/>
          <w:u w:val="single"/>
        </w:rPr>
        <w:t>A</w:t>
      </w:r>
      <w:r>
        <w:rPr>
          <w:rFonts w:ascii="Arial" w:hAnsi="Arial"/>
          <w:sz w:val="22"/>
          <w:szCs w:val="22"/>
          <w:u w:val="single"/>
        </w:rPr>
        <w:t>.- Proposta econòmica:</w:t>
      </w:r>
    </w:p>
    <w:p>
      <w:pPr>
        <w:pStyle w:val="BodyText"/>
        <w:pBdr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BodyText"/>
        <w:pBdr/>
        <w:rPr>
          <w:rFonts w:ascii="Arial" w:hAnsi="Arial"/>
          <w:sz w:val="22"/>
          <w:szCs w:val="22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  <w:t>P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  <w:t xml:space="preserve">REU UNITARI MÀXIM: 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  <w:t xml:space="preserve">714,28 € 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  <w:t>sense IVA</w:t>
      </w:r>
    </w:p>
    <w:p>
      <w:pPr>
        <w:pStyle w:val="BodyText"/>
        <w:pBdr/>
        <w:rPr>
          <w:rFonts w:ascii="Arial" w:hAnsi="Arial"/>
          <w:sz w:val="22"/>
          <w:szCs w:val="22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  <w:t>P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  <w:t>REU UNITARI OFERT:</w:t>
      </w:r>
    </w:p>
    <w:p>
      <w:pPr>
        <w:pStyle w:val="Normal"/>
        <w:pBdr/>
        <w:spacing w:lineRule="auto" w:line="276" w:before="57" w:after="57"/>
        <w:ind w:hanging="0" w:left="0" w:right="0"/>
        <w:jc w:val="left"/>
        <w:rPr>
          <w:rFonts w:ascii="Arial" w:hAnsi="Arial" w:eastAsia="Arial" w:cs="Arial"/>
          <w:b w:val="false"/>
          <w:bCs w:val="false"/>
          <w:i/>
          <w:i/>
          <w:iCs/>
          <w:color w:val="auto"/>
          <w:sz w:val="20"/>
          <w:szCs w:val="20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 xml:space="preserve">* 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 xml:space="preserve">Si s’excedeix la quantia dels preus unitaris màxims 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 xml:space="preserve">sense IVA 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>establerts als plecs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>, l’oferta serà exclosa.</w:t>
      </w:r>
      <w:r>
        <w:rPr>
          <w:rFonts w:eastAsia="Arial" w:cs="Arial" w:ascii="Arial" w:hAnsi="Arial"/>
          <w:b w:val="false"/>
          <w:bCs w:val="false"/>
          <w:i/>
          <w:iCs/>
          <w:color w:val="2A6099"/>
          <w:sz w:val="20"/>
          <w:szCs w:val="20"/>
          <w:u w:val="none"/>
          <w:shd w:fill="auto" w:val="clear"/>
          <w:lang w:val="ca-ES"/>
        </w:rPr>
        <w:t xml:space="preserve"> </w:t>
      </w:r>
    </w:p>
    <w:p>
      <w:pPr>
        <w:pStyle w:val="Normal"/>
        <w:pBdr/>
        <w:spacing w:lineRule="auto" w:line="276" w:before="57" w:after="0"/>
        <w:ind w:hanging="0" w:left="0" w:right="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0"/>
          <w:szCs w:val="20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</w:r>
    </w:p>
    <w:p>
      <w:pPr>
        <w:pStyle w:val="BodyText"/>
        <w:pBdr/>
        <w:rPr>
          <w:rFonts w:ascii="Arial" w:hAnsi="Arial"/>
          <w:sz w:val="22"/>
          <w:szCs w:val="22"/>
          <w:u w:val="single"/>
        </w:rPr>
      </w:pPr>
      <w:bookmarkStart w:id="0" w:name="__RefHeading___Toc27218_1041666186"/>
      <w:bookmarkEnd w:id="0"/>
      <w:r>
        <w:rPr>
          <w:rFonts w:ascii="Arial" w:hAnsi="Arial"/>
          <w:sz w:val="22"/>
          <w:szCs w:val="22"/>
          <w:u w:val="single"/>
        </w:rPr>
        <w:t>B.- Criteris automàtics</w:t>
      </w:r>
    </w:p>
    <w:p>
      <w:pPr>
        <w:pStyle w:val="TOC1"/>
        <w:numPr>
          <w:ilvl w:val="0"/>
          <w:numId w:val="0"/>
        </w:numPr>
        <w:pBdr/>
        <w:spacing w:lineRule="auto" w:line="276"/>
        <w:ind w:hanging="0" w:left="0" w:right="0"/>
        <w:jc w:val="both"/>
        <w:rPr>
          <w:rFonts w:ascii="Arial" w:hAnsi="Arial" w:cs="Arial"/>
          <w:b w:val="false"/>
          <w:bCs w:val="false"/>
          <w:sz w:val="22"/>
          <w:szCs w:val="22"/>
          <w:u w:val="single"/>
          <w:lang w:val="ca-ES"/>
        </w:rPr>
      </w:pPr>
      <w:r>
        <w:rPr>
          <w:rFonts w:cs="Arial"/>
          <w:b w:val="false"/>
          <w:bCs w:val="false"/>
          <w:sz w:val="22"/>
          <w:szCs w:val="22"/>
          <w:u w:val="single"/>
          <w:lang w:val="ca-ES"/>
        </w:rPr>
        <w:t>B.1-  Augment de la capacitat de la memòria dels equips</w:t>
      </w:r>
    </w:p>
    <w:p>
      <w:pPr>
        <w:pStyle w:val="TOC1"/>
        <w:numPr>
          <w:ilvl w:val="0"/>
          <w:numId w:val="0"/>
        </w:numPr>
        <w:pBdr/>
        <w:spacing w:lineRule="auto" w:line="276"/>
        <w:ind w:hanging="624" w:left="624"/>
        <w:jc w:val="both"/>
        <w:rPr>
          <w:rFonts w:ascii="Arial" w:hAnsi="Arial" w:cs="Arial"/>
          <w:b w:val="false"/>
          <w:bCs w:val="false"/>
          <w:sz w:val="22"/>
          <w:szCs w:val="22"/>
          <w:u w:val="single"/>
          <w:lang w:val="ca-ES"/>
        </w:rPr>
      </w:pPr>
      <w:r>
        <w:rPr>
          <w:rFonts w:cs="Arial"/>
          <w:b w:val="false"/>
          <w:bCs w:val="false"/>
          <w:sz w:val="22"/>
          <w:szCs w:val="22"/>
          <w:u w:val="single"/>
          <w:lang w:val="ca-ES"/>
        </w:rPr>
      </w:r>
    </w:p>
    <w:p>
      <w:pPr>
        <w:pStyle w:val="Contingutdelataula"/>
        <w:bidi w:val="0"/>
        <w:spacing w:lineRule="auto" w:line="360" w:before="0" w:after="0"/>
        <w:ind w:hanging="0" w:left="709" w:right="0"/>
        <w:jc w:val="both"/>
        <w:rPr>
          <w:rFonts w:ascii="ArialMT" w:hAnsi="ArialMT"/>
          <w:b w:val="false"/>
          <w:bCs w:val="false"/>
          <w:i w:val="false"/>
          <w:i w:val="false"/>
          <w:iCs w:val="false"/>
          <w:color w:val="auto"/>
          <w:sz w:val="22"/>
          <w:szCs w:val="22"/>
        </w:rPr>
      </w:pPr>
      <w:r>
        <w:rPr>
          <w:rFonts w:eastAsia="NSimSun" w:cs="Arial" w:ascii="Arial" w:hAnsi="Arial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  <w:t>☐</w:t>
      </w:r>
      <w:r>
        <w:rPr>
          <w:rFonts w:ascii="ArialMT" w:hAnsi="ArialMT"/>
          <w:b w:val="false"/>
          <w:bCs w:val="false"/>
          <w:i w:val="false"/>
          <w:iCs w:val="false"/>
          <w:color w:val="auto"/>
          <w:sz w:val="22"/>
          <w:szCs w:val="22"/>
        </w:rPr>
        <w:t xml:space="preserve"> </w:t>
      </w:r>
      <w:r>
        <w:rPr>
          <w:rFonts w:ascii="ArialMT" w:hAnsi="ArialMT"/>
          <w:b w:val="false"/>
          <w:bCs w:val="false"/>
          <w:i w:val="false"/>
          <w:iCs w:val="false"/>
          <w:color w:val="auto"/>
          <w:sz w:val="22"/>
          <w:szCs w:val="22"/>
        </w:rPr>
        <w:t>Increment de la memòria a 32 GB de RAM</w:t>
      </w:r>
    </w:p>
    <w:p>
      <w:pPr>
        <w:pStyle w:val="Contingutdelataula"/>
        <w:bidi w:val="0"/>
        <w:spacing w:lineRule="auto" w:line="360" w:before="0" w:after="0"/>
        <w:ind w:hanging="0" w:left="709" w:right="0"/>
        <w:jc w:val="both"/>
        <w:rPr>
          <w:rFonts w:ascii="ArialMT" w:hAnsi="ArialMT"/>
          <w:b w:val="false"/>
          <w:bCs w:val="false"/>
          <w:i w:val="false"/>
          <w:i w:val="false"/>
          <w:iCs w:val="false"/>
          <w:color w:val="auto"/>
          <w:sz w:val="22"/>
          <w:szCs w:val="22"/>
        </w:rPr>
      </w:pPr>
      <w:r>
        <w:rPr>
          <w:rFonts w:eastAsia="NSimSun" w:cs="Arial" w:ascii="Arial" w:hAnsi="Arial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  <w:t xml:space="preserve">☐ </w:t>
      </w:r>
      <w:r>
        <w:rPr>
          <w:rFonts w:cs="Arial" w:ascii="ArialMT" w:hAnsi="ArialMT"/>
          <w:b w:val="false"/>
          <w:bCs w:val="false"/>
          <w:i w:val="false"/>
          <w:iCs w:val="false"/>
          <w:color w:val="auto"/>
          <w:sz w:val="22"/>
          <w:szCs w:val="22"/>
          <w:u w:val="none"/>
          <w:lang w:val="ca-ES"/>
        </w:rPr>
        <w:t>No s’oferta un increment de la memòria</w:t>
      </w:r>
    </w:p>
    <w:p>
      <w:pPr>
        <w:pStyle w:val="Contingutdelataula"/>
        <w:bidi w:val="0"/>
        <w:spacing w:lineRule="auto" w:line="360" w:before="0" w:after="0"/>
        <w:ind w:hanging="0" w:left="709" w:right="0"/>
        <w:jc w:val="both"/>
        <w:rPr>
          <w:rFonts w:ascii="ArialMT" w:hAnsi="ArialMT" w:cs="Arial"/>
          <w:b w:val="false"/>
          <w:bCs w:val="false"/>
          <w:i w:val="false"/>
          <w:i w:val="false"/>
          <w:iCs w:val="false"/>
          <w:color w:val="auto"/>
          <w:sz w:val="22"/>
          <w:szCs w:val="22"/>
          <w:u w:val="none"/>
          <w:lang w:val="ca-ES"/>
        </w:rPr>
      </w:pPr>
      <w:r>
        <w:rPr>
          <w:rFonts w:cs="Arial" w:ascii="ArialMT" w:hAnsi="ArialMT"/>
          <w:b w:val="false"/>
          <w:bCs w:val="false"/>
          <w:i w:val="false"/>
          <w:iCs w:val="false"/>
          <w:color w:val="auto"/>
          <w:sz w:val="22"/>
          <w:szCs w:val="22"/>
          <w:u w:val="none"/>
          <w:lang w:val="ca-ES"/>
        </w:rPr>
      </w:r>
    </w:p>
    <w:p>
      <w:pPr>
        <w:pStyle w:val="TOC1"/>
        <w:numPr>
          <w:ilvl w:val="0"/>
          <w:numId w:val="0"/>
        </w:numPr>
        <w:pBdr/>
        <w:spacing w:lineRule="auto" w:line="276" w:before="0" w:after="0"/>
        <w:ind w:hanging="0" w:left="0" w:right="0"/>
        <w:contextualSpacing w:val="false"/>
        <w:jc w:val="both"/>
        <w:rPr>
          <w:rFonts w:ascii="Arial" w:hAnsi="Arial" w:cs="Arial"/>
          <w:b w:val="false"/>
          <w:bCs w:val="false"/>
          <w:i w:val="false"/>
          <w:i w:val="false"/>
          <w:iCs w:val="false"/>
          <w:color w:val="auto"/>
          <w:sz w:val="22"/>
          <w:szCs w:val="22"/>
          <w:u w:val="single"/>
          <w:lang w:val="ca-ES"/>
        </w:rPr>
      </w:pPr>
      <w:r>
        <w:rPr>
          <w:rFonts w:cs="Arial"/>
          <w:b w:val="false"/>
          <w:bCs w:val="false"/>
          <w:i w:val="false"/>
          <w:iCs w:val="false"/>
          <w:color w:val="auto"/>
          <w:sz w:val="22"/>
          <w:szCs w:val="22"/>
          <w:u w:val="single"/>
          <w:lang w:val="ca-ES"/>
        </w:rPr>
        <w:t xml:space="preserve">B.2-  </w:t>
      </w:r>
      <w:r>
        <w:rPr>
          <w:rFonts w:cs="Arial"/>
          <w:b w:val="false"/>
          <w:bCs w:val="false"/>
          <w:i w:val="false"/>
          <w:iCs w:val="false"/>
          <w:color w:val="auto"/>
          <w:sz w:val="22"/>
          <w:szCs w:val="22"/>
          <w:u w:val="single"/>
          <w:lang w:val="ca-ES"/>
        </w:rPr>
        <w:t>Increment de disc a 512GB NVME Pcle</w:t>
      </w:r>
    </w:p>
    <w:p>
      <w:pPr>
        <w:pStyle w:val="TOC1"/>
        <w:numPr>
          <w:ilvl w:val="0"/>
          <w:numId w:val="0"/>
        </w:numPr>
        <w:pBdr/>
        <w:spacing w:lineRule="auto" w:line="276" w:before="0" w:after="0"/>
        <w:ind w:hanging="0" w:left="0" w:right="0"/>
        <w:contextualSpacing w:val="false"/>
        <w:jc w:val="both"/>
        <w:rPr>
          <w:rFonts w:ascii="Arial" w:hAnsi="Arial" w:cs="Arial"/>
          <w:b w:val="false"/>
          <w:bCs w:val="false"/>
          <w:i w:val="false"/>
          <w:i w:val="false"/>
          <w:iCs w:val="false"/>
          <w:color w:val="auto"/>
          <w:sz w:val="22"/>
          <w:szCs w:val="22"/>
          <w:u w:val="single"/>
          <w:lang w:val="ca-ES"/>
        </w:rPr>
      </w:pPr>
      <w:r>
        <w:rPr>
          <w:rFonts w:cs="Arial"/>
          <w:b w:val="false"/>
          <w:bCs w:val="false"/>
          <w:i w:val="false"/>
          <w:iCs w:val="false"/>
          <w:color w:val="auto"/>
          <w:sz w:val="22"/>
          <w:szCs w:val="22"/>
          <w:u w:val="single"/>
          <w:lang w:val="ca-ES"/>
        </w:rPr>
      </w:r>
    </w:p>
    <w:p>
      <w:pPr>
        <w:pStyle w:val="Contingutdelataula"/>
        <w:bidi w:val="0"/>
        <w:spacing w:lineRule="auto" w:line="360" w:before="0" w:after="0"/>
        <w:ind w:hanging="0" w:left="709" w:right="0"/>
        <w:jc w:val="both"/>
        <w:rPr>
          <w:rFonts w:ascii="ArialMT" w:hAnsi="ArialMT"/>
          <w:b w:val="false"/>
          <w:bCs w:val="false"/>
          <w:i w:val="false"/>
          <w:i w:val="false"/>
          <w:iCs w:val="false"/>
          <w:color w:val="auto"/>
          <w:sz w:val="22"/>
          <w:szCs w:val="22"/>
        </w:rPr>
      </w:pPr>
      <w:r>
        <w:rPr>
          <w:rFonts w:eastAsia="NSimSun" w:cs="Arial" w:ascii="Arial" w:hAnsi="Arial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  <w:t>☐</w:t>
      </w:r>
      <w:r>
        <w:rPr>
          <w:rFonts w:ascii="ArialMT" w:hAnsi="ArialMT"/>
          <w:b w:val="false"/>
          <w:bCs w:val="false"/>
          <w:i w:val="false"/>
          <w:iCs w:val="false"/>
          <w:color w:val="auto"/>
          <w:sz w:val="22"/>
          <w:szCs w:val="22"/>
        </w:rPr>
        <w:t xml:space="preserve"> </w:t>
      </w:r>
      <w:r>
        <w:rPr>
          <w:rFonts w:ascii="ArialMT" w:hAnsi="ArialMT"/>
          <w:b w:val="false"/>
          <w:bCs w:val="false"/>
          <w:i w:val="false"/>
          <w:iCs w:val="false"/>
          <w:color w:val="auto"/>
          <w:sz w:val="22"/>
          <w:szCs w:val="22"/>
        </w:rPr>
        <w:t xml:space="preserve">Increment de </w:t>
      </w:r>
      <w:r>
        <w:rPr>
          <w:rFonts w:ascii="ArialMT" w:hAnsi="ArialMT"/>
          <w:b w:val="false"/>
          <w:bCs w:val="false"/>
          <w:i w:val="false"/>
          <w:iCs w:val="false"/>
          <w:color w:val="auto"/>
          <w:sz w:val="22"/>
          <w:szCs w:val="22"/>
        </w:rPr>
        <w:t>disc a 1024 GB</w:t>
      </w:r>
    </w:p>
    <w:p>
      <w:pPr>
        <w:pStyle w:val="Contingutdelataula"/>
        <w:bidi w:val="0"/>
        <w:spacing w:lineRule="auto" w:line="360" w:before="0" w:after="0"/>
        <w:ind w:hanging="0" w:left="709" w:right="0"/>
        <w:jc w:val="both"/>
        <w:rPr>
          <w:rFonts w:ascii="ArialMT" w:hAnsi="ArialMT"/>
          <w:b w:val="false"/>
          <w:bCs w:val="false"/>
          <w:i w:val="false"/>
          <w:i w:val="false"/>
          <w:iCs w:val="false"/>
          <w:color w:val="auto"/>
          <w:sz w:val="22"/>
          <w:szCs w:val="22"/>
        </w:rPr>
      </w:pPr>
      <w:r>
        <w:rPr>
          <w:rFonts w:eastAsia="NSimSun" w:cs="Arial" w:ascii="Arial" w:hAnsi="Arial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  <w:t xml:space="preserve">☐ </w:t>
      </w:r>
      <w:r>
        <w:rPr>
          <w:rFonts w:eastAsia="NSimSun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  <w:t>Increment de disc a 512 GB</w:t>
      </w:r>
    </w:p>
    <w:p>
      <w:pPr>
        <w:pStyle w:val="Contingutdelataula"/>
        <w:bidi w:val="0"/>
        <w:spacing w:lineRule="auto" w:line="360" w:before="0" w:after="0"/>
        <w:ind w:hanging="0" w:left="709" w:right="0"/>
        <w:jc w:val="both"/>
        <w:rPr>
          <w:rFonts w:ascii="ArialMT" w:hAnsi="ArialMT"/>
          <w:b w:val="false"/>
          <w:bCs w:val="false"/>
          <w:i w:val="false"/>
          <w:i w:val="false"/>
          <w:iCs w:val="false"/>
          <w:color w:val="auto"/>
          <w:sz w:val="22"/>
          <w:szCs w:val="22"/>
        </w:rPr>
      </w:pPr>
      <w:r>
        <w:rPr>
          <w:rFonts w:eastAsia="NSimSun" w:cs="Arial" w:ascii="Arial" w:hAnsi="Arial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  <w:t xml:space="preserve">☐ </w:t>
      </w:r>
      <w:r>
        <w:rPr>
          <w:rFonts w:eastAsia="NSimSun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  <w:t>No s’oferta un increment de disc</w:t>
      </w:r>
    </w:p>
    <w:p>
      <w:pPr>
        <w:pStyle w:val="Contingutdelataula"/>
        <w:bidi w:val="0"/>
        <w:spacing w:lineRule="auto" w:line="360" w:before="0" w:after="0"/>
        <w:ind w:hanging="0" w:left="709" w:right="0"/>
        <w:jc w:val="both"/>
        <w:rPr>
          <w:rFonts w:ascii="ArialMT" w:hAnsi="ArialMT" w:cs="Arial"/>
          <w:b w:val="false"/>
          <w:bCs w:val="false"/>
          <w:i w:val="false"/>
          <w:i w:val="false"/>
          <w:iCs w:val="false"/>
          <w:color w:val="auto"/>
          <w:sz w:val="22"/>
          <w:szCs w:val="22"/>
          <w:u w:val="none"/>
          <w:lang w:val="ca-ES"/>
        </w:rPr>
      </w:pPr>
      <w:r>
        <w:rPr>
          <w:rFonts w:cs="Arial" w:ascii="ArialMT" w:hAnsi="ArialMT"/>
          <w:b w:val="false"/>
          <w:bCs w:val="false"/>
          <w:i w:val="false"/>
          <w:iCs w:val="false"/>
          <w:color w:val="auto"/>
          <w:sz w:val="22"/>
          <w:szCs w:val="22"/>
          <w:u w:val="none"/>
          <w:lang w:val="ca-ES"/>
        </w:rPr>
      </w:r>
    </w:p>
    <w:p>
      <w:pPr>
        <w:pStyle w:val="Contingutdelataula"/>
        <w:bidi w:val="0"/>
        <w:spacing w:lineRule="auto" w:line="360" w:before="0" w:after="0"/>
        <w:ind w:hanging="0" w:left="0" w:right="0"/>
        <w:jc w:val="both"/>
        <w:rPr>
          <w:rFonts w:ascii="ArialMT" w:hAnsi="ArialMT" w:cs="Arial"/>
          <w:b w:val="false"/>
          <w:bCs w:val="false"/>
          <w:i w:val="false"/>
          <w:i w:val="false"/>
          <w:iCs w:val="false"/>
          <w:color w:val="auto"/>
          <w:sz w:val="22"/>
          <w:szCs w:val="22"/>
          <w:u w:val="none"/>
          <w:lang w:val="ca-ES"/>
        </w:rPr>
      </w:pPr>
      <w:r>
        <w:rPr>
          <w:rFonts w:cs="Arial" w:ascii="ArialMT" w:hAnsi="ArialMT"/>
          <w:b w:val="false"/>
          <w:bCs w:val="false"/>
          <w:i w:val="false"/>
          <w:iCs w:val="false"/>
          <w:color w:val="auto"/>
          <w:sz w:val="22"/>
          <w:szCs w:val="22"/>
          <w:u w:val="none"/>
          <w:lang w:val="ca-ES"/>
        </w:rPr>
      </w:r>
    </w:p>
    <w:p>
      <w:pPr>
        <w:pStyle w:val="TOC1"/>
        <w:numPr>
          <w:ilvl w:val="0"/>
          <w:numId w:val="0"/>
        </w:numPr>
        <w:pBdr/>
        <w:spacing w:lineRule="auto" w:line="276"/>
        <w:ind w:hanging="624" w:left="624"/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  <w:r>
        <w:rPr>
          <w:rFonts w:cs="Arial"/>
          <w:b/>
          <w:bCs/>
          <w:sz w:val="22"/>
          <w:szCs w:val="22"/>
          <w:lang w:val="ca-ES"/>
        </w:rPr>
      </w:r>
    </w:p>
    <w:p>
      <w:pPr>
        <w:pStyle w:val="TOC1"/>
        <w:numPr>
          <w:ilvl w:val="0"/>
          <w:numId w:val="0"/>
        </w:numPr>
        <w:pBdr/>
        <w:spacing w:lineRule="auto" w:line="276"/>
        <w:ind w:hanging="624" w:left="624"/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  <w:r>
        <w:rPr>
          <w:rFonts w:cs="Arial"/>
          <w:b/>
          <w:bCs/>
          <w:sz w:val="22"/>
          <w:szCs w:val="22"/>
          <w:lang w:val="ca-ES"/>
        </w:rPr>
      </w:r>
    </w:p>
    <w:p>
      <w:pPr>
        <w:pStyle w:val="Subtitle"/>
        <w:widowControl/>
        <w:numPr>
          <w:ilvl w:val="0"/>
          <w:numId w:val="1"/>
        </w:numPr>
        <w:pBdr/>
        <w:bidi w:val="0"/>
        <w:spacing w:lineRule="auto" w:line="276" w:before="57" w:after="57"/>
        <w:ind w:hanging="0" w:left="0" w:right="0"/>
        <w:jc w:val="both"/>
        <w:rPr>
          <w:rFonts w:ascii="Arial" w:hAnsi="Arial"/>
          <w:sz w:val="20"/>
          <w:szCs w:val="20"/>
          <w:lang w:val="ca-ES"/>
        </w:rPr>
      </w:pPr>
      <w:r>
        <w:rPr>
          <w:rStyle w:val="Fuentedeprrafopredeter1"/>
          <w:rFonts w:eastAsia="Helv" w:cs="Helv"/>
          <w:b w:val="false"/>
          <w:bCs/>
          <w:i/>
          <w:iCs/>
          <w:caps w:val="false"/>
          <w:smallCaps w:val="false"/>
          <w:strike w:val="false"/>
          <w:dstrike w:val="false"/>
          <w:spacing w:val="0"/>
          <w:sz w:val="22"/>
          <w:szCs w:val="22"/>
          <w:u w:val="none"/>
          <w:shd w:fill="auto" w:val="clear"/>
          <w:lang w:val="ca-ES" w:eastAsia="es-ES"/>
        </w:rPr>
        <w:t>(Lloc, data i signatura del licitador)</w:t>
      </w:r>
      <w:r>
        <w:rPr>
          <w:rFonts w:eastAsia="Arial" w:cs="Arial"/>
          <w:b/>
          <w:bCs/>
          <w:i/>
          <w:iCs/>
          <w:sz w:val="22"/>
          <w:szCs w:val="22"/>
          <w:u w:val="none"/>
          <w:shd w:fill="auto" w:val="clear"/>
          <w:lang w:val="ca-ES"/>
        </w:rPr>
        <w:t>.</w:t>
      </w:r>
      <w:r>
        <w:rPr>
          <w:rFonts w:eastAsia="Arial" w:cs="Arial"/>
          <w:b w:val="false"/>
          <w:bCs w:val="false"/>
          <w:i/>
          <w:iCs/>
          <w:sz w:val="22"/>
          <w:szCs w:val="22"/>
          <w:u w:val="none"/>
          <w:shd w:fill="auto" w:val="clear"/>
          <w:lang w:val="ca-ES"/>
        </w:rPr>
        <w:t>»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624" w:top="3402" w:footer="720" w:bottom="1911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MT">
    <w:charset w:val="00"/>
    <w:family w:val="roman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3" name="Imat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t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4" name="Imat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t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s-ES" w:eastAsia="es-ES"/>
      </w:rPr>
    </w:pPr>
    <w:r>
      <w:rPr>
        <w:lang w:val="es-ES" w:eastAsia="es-ES"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2295525</wp:posOffset>
          </wp:positionH>
          <wp:positionV relativeFrom="paragraph">
            <wp:posOffset>635</wp:posOffset>
          </wp:positionV>
          <wp:extent cx="4003040" cy="1335405"/>
          <wp:effectExtent l="0" t="0" r="0" b="0"/>
          <wp:wrapNone/>
          <wp:docPr id="1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03040" cy="1335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s-ES" w:eastAsia="es-ES"/>
      </w:rPr>
    </w:pPr>
    <w:r>
      <w:rPr>
        <w:lang w:val="es-ES" w:eastAsia="es-ES"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2295525</wp:posOffset>
          </wp:positionH>
          <wp:positionV relativeFrom="paragraph">
            <wp:posOffset>635</wp:posOffset>
          </wp:positionV>
          <wp:extent cx="4003040" cy="1335405"/>
          <wp:effectExtent l="0" t="0" r="0" b="0"/>
          <wp:wrapNone/>
          <wp:docPr id="2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t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03040" cy="1335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340"/>
        </w:tabs>
        <w:ind w:left="340" w:hanging="170"/>
      </w:pPr>
      <w:rPr>
        <w:rFonts w:ascii="Symbol" w:hAnsi="Symbol" w:cs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510"/>
        </w:tabs>
        <w:ind w:left="510" w:hanging="170"/>
      </w:pPr>
      <w:rPr>
        <w:rFonts w:ascii="Symbol" w:hAnsi="Symbol" w:cs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680"/>
        </w:tabs>
        <w:ind w:left="680" w:hanging="170"/>
      </w:pPr>
      <w:rPr>
        <w:rFonts w:ascii="Symbol" w:hAnsi="Symbol" w:cs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850"/>
        </w:tabs>
        <w:ind w:left="850" w:hanging="170"/>
      </w:pPr>
      <w:rPr>
        <w:rFonts w:ascii="Symbol" w:hAnsi="Symbol" w:cs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1020"/>
        </w:tabs>
        <w:ind w:left="1020" w:hanging="170"/>
      </w:pPr>
      <w:rPr>
        <w:rFonts w:ascii="Symbol" w:hAnsi="Symbol" w:cs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1191"/>
        </w:tabs>
        <w:ind w:left="1191" w:hanging="170"/>
      </w:pPr>
      <w:rPr>
        <w:rFonts w:ascii="Symbol" w:hAnsi="Symbol" w:cs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1361"/>
        </w:tabs>
        <w:ind w:left="1361" w:hanging="170"/>
      </w:pPr>
      <w:rPr>
        <w:rFonts w:ascii="Symbol" w:hAnsi="Symbol" w:cs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1531"/>
        </w:tabs>
        <w:ind w:left="1531" w:hanging="170"/>
      </w:pPr>
      <w:rPr>
        <w:rFonts w:ascii="Symbol" w:hAnsi="Symbol" w:cs="Symbol" w:hint="default"/>
        <w:color w:val="auto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624" w:hanging="624"/>
      </w:pPr>
      <w:rPr>
        <w:color w:val="auto"/>
      </w:rPr>
    </w:lvl>
    <w:lvl w:ilvl="1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mirrorMargins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Arial Unicode MS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ca-E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2"/>
      </w:numPr>
      <w:jc w:val="center"/>
      <w:outlineLvl w:val="0"/>
    </w:pPr>
    <w:rPr>
      <w:u w:val="single"/>
      <w:lang w:val="ca-ES"/>
    </w:rPr>
  </w:style>
  <w:style w:type="character" w:styleId="Fuentedeprrafopredeter">
    <w:name w:val="Fuente de párrafo predeter."/>
    <w:qFormat/>
    <w:rPr/>
  </w:style>
  <w:style w:type="character" w:styleId="WW8Num2z0">
    <w:name w:val="WW8Num2z0"/>
    <w:qFormat/>
    <w:rPr>
      <w:rFonts w:ascii="Arial" w:hAnsi="Arial" w:cs="Arial"/>
      <w:b/>
      <w:bCs/>
      <w:i w:val="false"/>
      <w:iCs w:val="false"/>
      <w:color w:val="auto"/>
      <w:sz w:val="18"/>
      <w:szCs w:val="18"/>
      <w:lang w:val="ca-ES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EnlacedeInternet">
    <w:name w:val="Enlace de Internet"/>
    <w:qFormat/>
    <w:rPr>
      <w:color w:val="000080"/>
      <w:u w:val="single"/>
      <w:lang w:val="zxx" w:eastAsia="zxx" w:bidi="zxx"/>
    </w:rPr>
  </w:style>
  <w:style w:type="character" w:styleId="Fuentedeprrafopredeter1">
    <w:name w:val="Fuente de párrafo predeter.1"/>
    <w:qFormat/>
    <w:rPr/>
  </w:style>
  <w:style w:type="character" w:styleId="Smbolosdenumeracin">
    <w:name w:val="Símbolos de numeración"/>
    <w:qFormat/>
    <w:rPr>
      <w:color w:val="auto"/>
    </w:rPr>
  </w:style>
  <w:style w:type="character" w:styleId="Smbolsdenumeraci">
    <w:name w:val="Símbols de numeració"/>
    <w:qFormat/>
    <w:rPr>
      <w:color w:val="auto"/>
    </w:rPr>
  </w:style>
  <w:style w:type="character" w:styleId="Strong">
    <w:name w:val="Strong"/>
    <w:qFormat/>
    <w:rPr>
      <w:b/>
      <w:bCs/>
    </w:rPr>
  </w:style>
  <w:style w:type="character" w:styleId="Pics">
    <w:name w:val="Pics"/>
    <w:qFormat/>
    <w:rPr>
      <w:rFonts w:ascii="OpenSymbol" w:hAnsi="OpenSymbol" w:eastAsia="OpenSymbol" w:cs="OpenSymbol"/>
    </w:rPr>
  </w:style>
  <w:style w:type="paragraph" w:styleId="Encapalament">
    <w:name w:val="Encapçalamen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Arial"/>
    </w:rPr>
  </w:style>
  <w:style w:type="paragraph" w:styleId="Encapalamentuser">
    <w:name w:val="Encapçalament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exuser">
    <w:name w:val="Índex (user)"/>
    <w:basedOn w:val="Normal"/>
    <w:qFormat/>
    <w:pPr>
      <w:suppressLineNumbers/>
    </w:pPr>
    <w:rPr>
      <w:rFonts w:cs="Aria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/>
  </w:style>
  <w:style w:type="paragraph" w:styleId="Cabeceraypie">
    <w:name w:val="Cabecera y pie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paleraipeudepginauser">
    <w:name w:val="Capçalera i peu de pàgina (user)"/>
    <w:basedOn w:val="Normal"/>
    <w:qFormat/>
    <w:pPr/>
    <w:rPr/>
  </w:style>
  <w:style w:type="paragraph" w:styleId="Capaleraipeudepgina">
    <w:name w:val="Capçalera i peu de pàgina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Textoindependiente2">
    <w:name w:val="Texto independiente 2"/>
    <w:basedOn w:val="Normal"/>
    <w:qFormat/>
    <w:pPr>
      <w:jc w:val="both"/>
    </w:pPr>
    <w:rPr>
      <w:rFonts w:ascii="Arial" w:hAnsi="Arial" w:cs="Arial"/>
      <w:sz w:val="22"/>
      <w:lang w:val="ca-ES"/>
    </w:rPr>
  </w:style>
  <w:style w:type="paragraph" w:styleId="Title">
    <w:name w:val="Title"/>
    <w:basedOn w:val="Normal"/>
    <w:next w:val="Subtitle"/>
    <w:qFormat/>
    <w:pPr>
      <w:tabs>
        <w:tab w:val="clear" w:pos="720"/>
        <w:tab w:val="left" w:pos="576" w:leader="none"/>
        <w:tab w:val="left" w:pos="1296" w:leader="none"/>
        <w:tab w:val="left" w:pos="2016" w:leader="none"/>
        <w:tab w:val="left" w:pos="2736" w:leader="none"/>
        <w:tab w:val="left" w:pos="3456" w:leader="none"/>
        <w:tab w:val="left" w:pos="4176" w:leader="none"/>
      </w:tabs>
      <w:suppressAutoHyphens w:val="true"/>
      <w:jc w:val="center"/>
    </w:pPr>
    <w:rPr>
      <w:rFonts w:ascii="Arial" w:hAnsi="Arial" w:cs="Arial"/>
      <w:b/>
      <w:spacing w:val="-3"/>
      <w:sz w:val="24"/>
    </w:rPr>
  </w:style>
  <w:style w:type="paragraph" w:styleId="Subtitle">
    <w:name w:val="Subtitle"/>
    <w:basedOn w:val="Ttulo"/>
    <w:next w:val="BodyText"/>
    <w:qFormat/>
    <w:pPr>
      <w:jc w:val="center"/>
    </w:pPr>
    <w:rPr>
      <w:i/>
      <w:iCs/>
      <w:sz w:val="28"/>
      <w:szCs w:val="28"/>
    </w:rPr>
  </w:style>
  <w:style w:type="paragraph" w:styleId="Contenidodelatabla">
    <w:name w:val="Contenido de la tabla"/>
    <w:basedOn w:val="Normal"/>
    <w:qFormat/>
    <w:pPr>
      <w:suppressLineNumbers/>
      <w:bidi w:val="0"/>
    </w:pPr>
    <w:rPr>
      <w:rFonts w:ascii="Arial" w:hAnsi="Arial"/>
      <w:sz w:val="22"/>
    </w:rPr>
  </w:style>
  <w:style w:type="paragraph" w:styleId="TOC1">
    <w:name w:val="toc 1"/>
    <w:basedOn w:val="ndice"/>
    <w:pPr>
      <w:widowControl/>
      <w:numPr>
        <w:ilvl w:val="0"/>
        <w:numId w:val="3"/>
      </w:numPr>
      <w:tabs>
        <w:tab w:val="clear" w:pos="720"/>
        <w:tab w:val="right" w:pos="9638" w:leader="dot"/>
      </w:tabs>
      <w:bidi w:val="0"/>
      <w:spacing w:lineRule="exact" w:line="340" w:before="0" w:after="0"/>
      <w:ind w:hanging="624" w:left="624" w:right="0"/>
      <w:contextualSpacing/>
      <w:outlineLvl w:val="0"/>
    </w:pPr>
    <w:rPr>
      <w:rFonts w:ascii="Arial" w:hAnsi="Arial"/>
      <w:b w:val="false"/>
      <w:sz w:val="22"/>
    </w:rPr>
  </w:style>
  <w:style w:type="paragraph" w:styleId="LO-Normal1">
    <w:name w:val="LO-Normal1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0"/>
      <w:szCs w:val="24"/>
      <w:lang w:val="ca-ES" w:eastAsia="zh-CN" w:bidi="hi-IN"/>
    </w:rPr>
  </w:style>
  <w:style w:type="paragraph" w:styleId="Contingutdelmarcuser">
    <w:name w:val="Contingut del marc (user)"/>
    <w:basedOn w:val="Normal"/>
    <w:qFormat/>
    <w:pPr/>
    <w:rPr/>
  </w:style>
  <w:style w:type="paragraph" w:styleId="ListParagraph">
    <w:name w:val="List Paragraph"/>
    <w:basedOn w:val="Normal"/>
    <w:qFormat/>
    <w:pPr>
      <w:spacing w:before="0" w:after="160"/>
      <w:ind w:hanging="0" w:left="720" w:right="0"/>
      <w:contextualSpacing/>
    </w:pPr>
    <w:rPr/>
  </w:style>
  <w:style w:type="paragraph" w:styleId="Contingutdelmarc">
    <w:name w:val="Contingut del marc"/>
    <w:basedOn w:val="Normal"/>
    <w:qFormat/>
    <w:pPr/>
    <w:rPr/>
  </w:style>
  <w:style w:type="paragraph" w:styleId="Contingutdelataula">
    <w:name w:val="Contingut de la taula"/>
    <w:basedOn w:val="Normal"/>
    <w:qFormat/>
    <w:pPr>
      <w:suppressLineNumbers/>
      <w:bidi w:val="0"/>
    </w:pPr>
    <w:rPr>
      <w:rFonts w:ascii="Arial" w:hAnsi="Arial"/>
      <w:sz w:val="22"/>
    </w:rPr>
  </w:style>
  <w:style w:type="numbering" w:styleId="WW8Num2">
    <w:name w:val="WW8Num2"/>
    <w:qFormat/>
  </w:style>
  <w:style w:type="numbering" w:styleId="Vieta">
    <w:name w:val="Viñeta –"/>
    <w:qFormat/>
  </w:style>
  <w:style w:type="numbering" w:styleId="Pic">
    <w:name w:val="Pic –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Contractació</Template>
  <TotalTime>17</TotalTime>
  <Application>LibreOffice/24.8.7.2$Windows_X86_64 LibreOffice_project/e07d0a63a46349d29051da79b1fde8160bab2a89</Application>
  <AppVersion>15.0000</AppVersion>
  <Pages>1</Pages>
  <Words>192</Words>
  <Characters>1204</Characters>
  <CharactersWithSpaces>1387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2025-03-17T14:16:25Z</dcterms:created>
  <dc:creator/>
  <dc:description/>
  <dc:language>es-ES</dc:language>
  <cp:lastModifiedBy/>
  <dcterms:modified xsi:type="dcterms:W3CDTF">2025-09-24T09:53:14Z</dcterms:modified>
  <cp:revision>18</cp:revision>
  <dc:subject/>
  <dc:title>Carta Contractació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