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25SM0038P</RECORD_ID>
  <DESCR>PRÒTESIS DE MALUC</DESCR>
  <TOTALAMOUNT>209.867,01</TOTALAMOUNT>
  <BATCHES>
    <BATCH>
      <BATCHID>PC005</BATCHID>
      <DESCR>PRÒTESIS PRIMARIES DE MALUC</DESCR>
      <AMOUNT>209.867,01</AMOUNT>
      <MATERIALS>
        <MATERIAL>
          <MATNR>10562</MATNR>
          <MAKTX>Tap intramedul·lar per a pròtesi de maluc de 8, 10, 12,14 i 16mm de
diàmetre. estèril i unitari.</MAKTX>
          <QUANTITY>20</QUANTITY>
          <TECHTEXT> </TECHTEXT>
        </MATERIAL>
        <MATERIAL>
          <MATNR>11025</MATNR>
          <MAKTX>Nucli de polietilè altament entrellaçat i estabilitzat per raigs gamma.
- per a caps de 22, 28, 32, 36, 40 i 44mm.
- de 0° o de 10è de vora.
- compatible per a caps ceràmics i metàl·lics.
- ancoratge per ranures circulars.
- compatible per a còtils de 40 a 72mm.
- estèril i unitari.
Els sets d'instrumental han de tenir el seu contenidor d'esterilització
amb filtre permanent i la tapa de color verd.
</MAKTX>
          <QUANTITY>102</QUANTITY>
          <TECHTEXT> </TECHTEXT>
        </MATERIAL>
        <MATERIAL>
          <MATNR>11031</MATNR>
          <MAKTX>Tija de maluc autobloquejant recte de titani.
- per a caps femorals amb con v40, de 22, 26, 28, 32, 36 40 i 44mm.
- curvatura medial
- 12 talles de 132° d'angle de coll i 12 talles de 127° d'angle de coll.
- recobriment de hidroxiapatita en regió proximal i espatlla.
- disponibilitat d'adaptador per a caps de con 12/14.
- estèril i unitari.
Els sets d'instrumental han de tenir el seu contenidor d'esterilització
amb filtre permanent i la tapa de color verd.</MAKTX>
          <QUANTITY>94</QUANTITY>
          <TECHTEXT> </TECHTEXT>
        </MATERIAL>
        <MATERIAL>
          <MATNR>11033</MATNR>
          <MAKTX>Cap femoral cromo cobalt cono v40.
- tamanys de 28, 32, 36 i 40mm.
- estèril i unitari.
Els sets d'instrumental han de tenir el seu contenidor d'esterilització
amb filtre permanent i la tapa de color verd</MAKTX>
          <QUANTITY>1</QUANTITY>
          <TECHTEXT> </TECHTEXT>
        </MATERIAL>
        <MATERIAL>
          <MATNR>11034</MATNR>
          <MAKTX>Cap femoral ceràmic con v40.
- Tamanys de 28, 32, i 36mm.
- Estèril i unitari.
Els sets d'instrumental han de tenir el seu contenidor d'esterilització
amb filtre permanent i la tapa de color verd
</MAKTX>
          <QUANTITY>95</QUANTITY>
          <TECHTEXT> </TECHTEXT>
        </MATERIAL>
        <MATERIAL>
          <MATNR>11035</MATNR>
          <MAKTX>Còtil femoral porós de titani.
- compatible per a insercions de polietilè, ceràmics, doble mobilitat i
constret.
- mesures de 42 a 66mm de diàmetre en passos de 2mm
- estèril i unitari.
Els sets d'instrumental han de tenir el seu contenidor d'esterilització
amb filtre permanent i la tapa de color verd</MAKTX>
          <QUANTITY>92</QUANTITY>
          <TECHTEXT> </TECHTEXT>
        </MATERIAL>
        <MATERIAL>
          <MATNR>11037</MATNR>
          <MAKTX>Cargol hexagonal de titani de 6.5mm de diàmetre de 15 a 60mm de longitud
en passos de 5mm. Estèril i unitari.</MAKTX>
          <QUANTITY>36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FA5-1FE0-85BA-B4F191E8206A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