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B6BF" w14:textId="77777777" w:rsidR="00F42B04" w:rsidRDefault="00F42B04" w:rsidP="00F42B04">
      <w:pPr>
        <w:pStyle w:val="Ttulo2"/>
      </w:pPr>
      <w:bookmarkStart w:id="0" w:name="_Toc204942523"/>
      <w:bookmarkStart w:id="1" w:name="_GoBack"/>
      <w:r>
        <w:t>ANNEX 8. CRITERIS D’ADJUDICACIÓ AUTOMÀTICS (SOBRE C)</w:t>
      </w:r>
      <w:bookmarkEnd w:id="0"/>
      <w:bookmarkEnd w:id="1"/>
    </w:p>
    <w:p w14:paraId="56098F48" w14:textId="77777777" w:rsidR="00F42B04" w:rsidRPr="003C644D" w:rsidRDefault="00F42B04" w:rsidP="00F42B04">
      <w:pPr>
        <w:pStyle w:val="Textoindependiente"/>
        <w:tabs>
          <w:tab w:val="left" w:pos="-567"/>
        </w:tabs>
        <w:spacing w:after="0" w:line="240" w:lineRule="auto"/>
        <w:ind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47CAAB73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 w:rsidRPr="0022211F">
        <w:rPr>
          <w:rFonts w:ascii="Arial" w:hAnsi="Arial" w:cs="Arial"/>
          <w:sz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de l’Acord marc de</w:t>
      </w:r>
      <w:r>
        <w:rPr>
          <w:rFonts w:ascii="Arial" w:hAnsi="Arial" w:cs="Arial"/>
          <w:sz w:val="22"/>
        </w:rPr>
        <w:t xml:space="preserve">ls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serveis del centre de creació d’arts escèniques, El Canal</w:t>
      </w:r>
      <w:r w:rsidRPr="0022211F">
        <w:rPr>
          <w:rFonts w:ascii="Arial" w:hAnsi="Arial" w:cs="Arial"/>
          <w:sz w:val="22"/>
        </w:rPr>
        <w:t xml:space="preserve">, exp.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</w:t>
      </w:r>
      <w:r w:rsidRPr="0022211F">
        <w:rPr>
          <w:rFonts w:ascii="Arial" w:hAnsi="Arial" w:cs="Arial"/>
          <w:sz w:val="22"/>
        </w:rPr>
        <w:t xml:space="preserve">,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concretament el/s lot/s,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s-ES" w:bidi="ar-SA"/>
        </w:rPr>
        <w:t xml:space="preserve"> </w:t>
      </w:r>
      <w:r w:rsidRPr="002352D5">
        <w:rPr>
          <w:rFonts w:ascii="Arial" w:hAnsi="Arial"/>
          <w:color w:val="000000"/>
          <w:sz w:val="22"/>
          <w:szCs w:val="22"/>
        </w:rPr>
        <w:t>es compromet ...........................................(en nom propi/ en nom i representació de l’empresa) a executar</w:t>
      </w:r>
      <w:r>
        <w:rPr>
          <w:rFonts w:ascii="Arial" w:hAnsi="Arial"/>
          <w:color w:val="000000"/>
          <w:sz w:val="22"/>
          <w:szCs w:val="22"/>
        </w:rPr>
        <w:t xml:space="preserve">-lo amb estricta subjecció als plecs de prescripcions tècniques particulars i de clàusules administratives particulars, pel següent preu i condicions: </w:t>
      </w:r>
    </w:p>
    <w:p w14:paraId="45204301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01B74A3E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6FA7EDEF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H.2.1 Oferta econòmica respecte del preu unitari per hora de servei: </w:t>
      </w:r>
    </w:p>
    <w:p w14:paraId="185FD99F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302C739E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El preu unitari per hora de servei que s’ofereix és el següent:</w:t>
      </w:r>
    </w:p>
    <w:p w14:paraId="345C397C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51160FA8" w14:textId="77777777" w:rsidR="00F42B04" w:rsidRPr="0008792D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i/>
          <w:color w:val="000000"/>
          <w:sz w:val="22"/>
          <w:szCs w:val="22"/>
          <w:u w:val="single"/>
        </w:rPr>
      </w:pPr>
      <w:r w:rsidRPr="0008792D">
        <w:rPr>
          <w:rFonts w:ascii="Arial" w:hAnsi="Arial"/>
          <w:i/>
          <w:color w:val="000000"/>
          <w:sz w:val="22"/>
          <w:szCs w:val="22"/>
        </w:rPr>
        <w:t>(</w:t>
      </w:r>
      <w:r w:rsidRPr="00D77413">
        <w:rPr>
          <w:rFonts w:ascii="Arial" w:hAnsi="Arial"/>
          <w:b/>
          <w:i/>
          <w:color w:val="000000"/>
          <w:sz w:val="22"/>
          <w:szCs w:val="22"/>
          <w:u w:val="single"/>
        </w:rPr>
        <w:t>Únicament cal omplir els apartats dels lots en els quals es presenta oferta</w:t>
      </w:r>
      <w:r w:rsidRPr="0008792D">
        <w:rPr>
          <w:rFonts w:ascii="Arial" w:hAnsi="Arial"/>
          <w:i/>
          <w:color w:val="000000"/>
          <w:sz w:val="22"/>
          <w:szCs w:val="22"/>
          <w:u w:val="single"/>
        </w:rPr>
        <w:t>)</w:t>
      </w:r>
    </w:p>
    <w:p w14:paraId="5663700E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tbl>
      <w:tblPr>
        <w:tblStyle w:val="Tablaconcuadrcula"/>
        <w:tblW w:w="9847" w:type="dxa"/>
        <w:tblInd w:w="-417" w:type="dxa"/>
        <w:tblLook w:val="04A0" w:firstRow="1" w:lastRow="0" w:firstColumn="1" w:lastColumn="0" w:noHBand="0" w:noVBand="1"/>
      </w:tblPr>
      <w:tblGrid>
        <w:gridCol w:w="3282"/>
        <w:gridCol w:w="3282"/>
        <w:gridCol w:w="3283"/>
      </w:tblGrid>
      <w:tr w:rsidR="00F42B04" w14:paraId="5CA5517E" w14:textId="77777777" w:rsidTr="002B34ED">
        <w:trPr>
          <w:trHeight w:val="337"/>
        </w:trPr>
        <w:tc>
          <w:tcPr>
            <w:tcW w:w="3282" w:type="dxa"/>
          </w:tcPr>
          <w:p w14:paraId="3FCEA2A0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</w:t>
            </w:r>
          </w:p>
        </w:tc>
        <w:tc>
          <w:tcPr>
            <w:tcW w:w="3282" w:type="dxa"/>
          </w:tcPr>
          <w:p w14:paraId="7541B049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PREU UNITARI IVA EXCLÒS QUE S’OFEREIX*</w:t>
            </w:r>
          </w:p>
        </w:tc>
        <w:tc>
          <w:tcPr>
            <w:tcW w:w="3283" w:type="dxa"/>
          </w:tcPr>
          <w:p w14:paraId="7414CA64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PERCENTATGE D’IVA A APLICAR</w:t>
            </w:r>
          </w:p>
        </w:tc>
      </w:tr>
      <w:tr w:rsidR="00F42B04" w14:paraId="235921BB" w14:textId="77777777" w:rsidTr="002B34ED">
        <w:trPr>
          <w:trHeight w:val="316"/>
        </w:trPr>
        <w:tc>
          <w:tcPr>
            <w:tcW w:w="3282" w:type="dxa"/>
          </w:tcPr>
          <w:p w14:paraId="4D342FA8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1. SERVEI DE SUPORT A LA DISTRIBUCIÓ</w:t>
            </w:r>
          </w:p>
        </w:tc>
        <w:tc>
          <w:tcPr>
            <w:tcW w:w="3282" w:type="dxa"/>
          </w:tcPr>
          <w:p w14:paraId="6615148C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51C23ADD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4B01740E" w14:textId="77777777" w:rsidTr="002B34ED">
        <w:trPr>
          <w:trHeight w:val="337"/>
        </w:trPr>
        <w:tc>
          <w:tcPr>
            <w:tcW w:w="3282" w:type="dxa"/>
          </w:tcPr>
          <w:p w14:paraId="2D6FB690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2. SERVEIS DE CONTINGUTS DIGITALS</w:t>
            </w:r>
          </w:p>
        </w:tc>
        <w:tc>
          <w:tcPr>
            <w:tcW w:w="3282" w:type="dxa"/>
          </w:tcPr>
          <w:p w14:paraId="31BB6B8F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7E1A1E18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2F9C8546" w14:textId="77777777" w:rsidTr="002B34ED">
        <w:trPr>
          <w:trHeight w:val="337"/>
        </w:trPr>
        <w:tc>
          <w:tcPr>
            <w:tcW w:w="3282" w:type="dxa"/>
          </w:tcPr>
          <w:p w14:paraId="11CE2850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3. SERVEIS DE DISSENY GRÀFIC</w:t>
            </w:r>
          </w:p>
        </w:tc>
        <w:tc>
          <w:tcPr>
            <w:tcW w:w="3282" w:type="dxa"/>
          </w:tcPr>
          <w:p w14:paraId="2CED35C4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23347C97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5A9FE802" w14:textId="77777777" w:rsidTr="002B34ED">
        <w:trPr>
          <w:trHeight w:val="316"/>
        </w:trPr>
        <w:tc>
          <w:tcPr>
            <w:tcW w:w="3282" w:type="dxa"/>
          </w:tcPr>
          <w:p w14:paraId="22B18ECC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4. SERVEIS DE MEDIACIÓ CULTURAL</w:t>
            </w:r>
          </w:p>
        </w:tc>
        <w:tc>
          <w:tcPr>
            <w:tcW w:w="3282" w:type="dxa"/>
          </w:tcPr>
          <w:p w14:paraId="10BFDCB6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2B82F93A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041E9C37" w14:textId="77777777" w:rsidTr="002B34ED">
        <w:trPr>
          <w:trHeight w:val="337"/>
        </w:trPr>
        <w:tc>
          <w:tcPr>
            <w:tcW w:w="3282" w:type="dxa"/>
          </w:tcPr>
          <w:p w14:paraId="43946892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5. SERVEIS DE PRODUCCIÓ ARTÍSTICA</w:t>
            </w:r>
          </w:p>
        </w:tc>
        <w:tc>
          <w:tcPr>
            <w:tcW w:w="3282" w:type="dxa"/>
          </w:tcPr>
          <w:p w14:paraId="2F7C8CB2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582E5278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3FD5F474" w14:textId="77777777" w:rsidTr="002B34ED">
        <w:trPr>
          <w:trHeight w:val="316"/>
        </w:trPr>
        <w:tc>
          <w:tcPr>
            <w:tcW w:w="3282" w:type="dxa"/>
          </w:tcPr>
          <w:p w14:paraId="255B9C8F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6. SERVEIS DE PRODUCCIÓ TÈCNICA</w:t>
            </w:r>
          </w:p>
        </w:tc>
        <w:tc>
          <w:tcPr>
            <w:tcW w:w="3282" w:type="dxa"/>
          </w:tcPr>
          <w:p w14:paraId="4691E4BA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6600980C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22CF17EE" w14:textId="77777777" w:rsidTr="002B34ED">
        <w:trPr>
          <w:trHeight w:val="337"/>
        </w:trPr>
        <w:tc>
          <w:tcPr>
            <w:tcW w:w="3282" w:type="dxa"/>
          </w:tcPr>
          <w:p w14:paraId="0E0FD5CB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7. SERVEIS DE PROGRAMACIÓ I ACTIVITATS DE DIFUSIÓ CULTURAL</w:t>
            </w:r>
          </w:p>
        </w:tc>
        <w:tc>
          <w:tcPr>
            <w:tcW w:w="3282" w:type="dxa"/>
          </w:tcPr>
          <w:p w14:paraId="10898372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068476D2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378DE432" w14:textId="77777777" w:rsidTr="002B34ED">
        <w:trPr>
          <w:trHeight w:val="316"/>
        </w:trPr>
        <w:tc>
          <w:tcPr>
            <w:tcW w:w="3282" w:type="dxa"/>
          </w:tcPr>
          <w:p w14:paraId="7DD5BD6E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8. SERVEIS DE PERSONAL DE SALA</w:t>
            </w:r>
          </w:p>
        </w:tc>
        <w:tc>
          <w:tcPr>
            <w:tcW w:w="3282" w:type="dxa"/>
          </w:tcPr>
          <w:p w14:paraId="0BD1191A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</w:tcPr>
          <w:p w14:paraId="6FBCC2E6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828B4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p w14:paraId="71BE79B9" w14:textId="77777777" w:rsidR="00F42B04" w:rsidRPr="008243E6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* </w:t>
      </w:r>
      <w:r w:rsidRPr="008243E6">
        <w:rPr>
          <w:rFonts w:ascii="Arial" w:hAnsi="Arial" w:cs="Arial"/>
          <w:i/>
          <w:color w:val="auto"/>
          <w:sz w:val="22"/>
          <w:szCs w:val="22"/>
        </w:rPr>
        <w:t>En absència d’indicació de l’import del preu unitari, s’entendrà que es correspon amb el preu unitari base de licitació.</w:t>
      </w:r>
      <w:r>
        <w:rPr>
          <w:rFonts w:ascii="Arial" w:hAnsi="Arial" w:cs="Arial"/>
          <w:i/>
          <w:color w:val="auto"/>
          <w:sz w:val="22"/>
          <w:szCs w:val="22"/>
        </w:rPr>
        <w:t xml:space="preserve"> Ara bé, si l’import ofert és superior al preu unitari base de licitació (preu unitari de sortida), l’oferta resultarà exclosa de la licitació. </w:t>
      </w:r>
    </w:p>
    <w:p w14:paraId="3350A379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379C16C6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7A227E25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  <w:r w:rsidRPr="000636C5">
        <w:rPr>
          <w:rFonts w:ascii="Arial" w:hAnsi="Arial"/>
          <w:b/>
          <w:color w:val="000000"/>
          <w:sz w:val="22"/>
          <w:szCs w:val="22"/>
        </w:rPr>
        <w:t>H.2.2 Proposta d’un sistema d’avaluació del servei realitzat:</w:t>
      </w:r>
    </w:p>
    <w:p w14:paraId="184E57F1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10906DD4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Per obtenir puntuació cal omplir la següent graella detallant els tres ítems sol·licitats:</w:t>
      </w:r>
    </w:p>
    <w:p w14:paraId="0FD2171D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09CD76C0" w14:textId="77777777" w:rsidR="00F42B04" w:rsidRPr="000636C5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 w:rsidRPr="0008792D">
        <w:rPr>
          <w:rFonts w:ascii="Arial" w:hAnsi="Arial"/>
          <w:i/>
          <w:color w:val="000000"/>
          <w:sz w:val="22"/>
          <w:szCs w:val="22"/>
        </w:rPr>
        <w:t>(</w:t>
      </w:r>
      <w:r w:rsidRPr="00D77413">
        <w:rPr>
          <w:rFonts w:ascii="Arial" w:hAnsi="Arial"/>
          <w:b/>
          <w:i/>
          <w:color w:val="000000"/>
          <w:sz w:val="22"/>
          <w:szCs w:val="22"/>
          <w:u w:val="single"/>
        </w:rPr>
        <w:t>Únicament cal omplir els apartats dels lots en els quals es presenta oferta</w:t>
      </w:r>
      <w:r w:rsidRPr="0008792D">
        <w:rPr>
          <w:rFonts w:ascii="Arial" w:hAnsi="Arial"/>
          <w:i/>
          <w:color w:val="000000"/>
          <w:sz w:val="22"/>
          <w:szCs w:val="22"/>
          <w:u w:val="single"/>
        </w:rPr>
        <w:t>)</w:t>
      </w:r>
    </w:p>
    <w:p w14:paraId="2A51549B" w14:textId="77777777" w:rsidR="00F42B04" w:rsidRPr="0008792D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0D278246" w14:textId="77777777" w:rsidR="00F42B04" w:rsidRPr="00651317" w:rsidRDefault="00F42B04" w:rsidP="00F42B04">
      <w:pPr>
        <w:pStyle w:val="Textoindependiente"/>
        <w:tabs>
          <w:tab w:val="left" w:pos="-567"/>
        </w:tabs>
        <w:spacing w:after="0" w:line="240" w:lineRule="auto"/>
        <w:ind w:left="-567" w:right="-568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tbl>
      <w:tblPr>
        <w:tblStyle w:val="Tablaconcuadrcula"/>
        <w:tblW w:w="11098" w:type="dxa"/>
        <w:tblInd w:w="-1154" w:type="dxa"/>
        <w:tblLook w:val="04A0" w:firstRow="1" w:lastRow="0" w:firstColumn="1" w:lastColumn="0" w:noHBand="0" w:noVBand="1"/>
      </w:tblPr>
      <w:tblGrid>
        <w:gridCol w:w="3044"/>
        <w:gridCol w:w="2386"/>
        <w:gridCol w:w="2688"/>
        <w:gridCol w:w="2980"/>
      </w:tblGrid>
      <w:tr w:rsidR="00F42B04" w14:paraId="19EF6795" w14:textId="77777777" w:rsidTr="002B34ED">
        <w:trPr>
          <w:trHeight w:val="341"/>
        </w:trPr>
        <w:tc>
          <w:tcPr>
            <w:tcW w:w="3044" w:type="dxa"/>
          </w:tcPr>
          <w:p w14:paraId="3FBD613D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</w:t>
            </w:r>
          </w:p>
        </w:tc>
        <w:tc>
          <w:tcPr>
            <w:tcW w:w="2386" w:type="dxa"/>
          </w:tcPr>
          <w:p w14:paraId="5F4848A2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DETALLAR L’</w:t>
            </w:r>
            <w:r w:rsidRPr="000636C5">
              <w:rPr>
                <w:rFonts w:ascii="Arial" w:hAnsi="Arial" w:cs="Arial"/>
                <w:b/>
                <w:sz w:val="22"/>
                <w:szCs w:val="22"/>
              </w:rPr>
              <w:t>OBJECTIU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</w:t>
            </w:r>
            <w:r w:rsidRPr="000636C5">
              <w:rPr>
                <w:rFonts w:ascii="Arial" w:hAnsi="Arial" w:cs="Arial"/>
                <w:b/>
                <w:sz w:val="22"/>
                <w:szCs w:val="22"/>
              </w:rPr>
              <w:t xml:space="preserve"> SISTEMA </w:t>
            </w:r>
            <w:r>
              <w:rPr>
                <w:rFonts w:ascii="Arial" w:hAnsi="Arial" w:cs="Arial"/>
                <w:b/>
                <w:sz w:val="22"/>
                <w:szCs w:val="22"/>
              </w:rPr>
              <w:t>D’</w:t>
            </w:r>
            <w:r w:rsidRPr="000636C5">
              <w:rPr>
                <w:rFonts w:ascii="Arial" w:hAnsi="Arial" w:cs="Arial"/>
                <w:b/>
                <w:sz w:val="22"/>
                <w:szCs w:val="22"/>
              </w:rPr>
              <w:t>AVALUACIÓ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688" w:type="dxa"/>
          </w:tcPr>
          <w:p w14:paraId="73176922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DETALLAR LA </w:t>
            </w:r>
            <w:r w:rsidRPr="000636C5">
              <w:rPr>
                <w:rFonts w:ascii="Arial" w:hAnsi="Arial" w:cs="Arial"/>
                <w:b/>
                <w:sz w:val="22"/>
                <w:szCs w:val="22"/>
              </w:rPr>
              <w:t>PERIODICITAT O MOMENT D’APLICACIÓ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 SISTEMA D’AVALUACIÓ*</w:t>
            </w:r>
          </w:p>
        </w:tc>
        <w:tc>
          <w:tcPr>
            <w:tcW w:w="2980" w:type="dxa"/>
          </w:tcPr>
          <w:p w14:paraId="642927F9" w14:textId="77777777" w:rsidR="00F42B04" w:rsidRPr="000636C5" w:rsidRDefault="00F42B04" w:rsidP="002B34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DETALLAR LES EINES, INSTRUMENTS I/O</w:t>
            </w:r>
            <w:r w:rsidRPr="000636C5">
              <w:rPr>
                <w:rFonts w:ascii="Arial" w:hAnsi="Arial" w:cs="Arial"/>
                <w:b/>
                <w:sz w:val="22"/>
                <w:szCs w:val="22"/>
              </w:rPr>
              <w:t xml:space="preserve"> METODOLOGIES QUE S’UTILIZARAN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F42B04" w14:paraId="69B18189" w14:textId="77777777" w:rsidTr="002B34ED">
        <w:trPr>
          <w:trHeight w:val="320"/>
        </w:trPr>
        <w:tc>
          <w:tcPr>
            <w:tcW w:w="3044" w:type="dxa"/>
          </w:tcPr>
          <w:p w14:paraId="106576BB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1. SERVEI DE SUPORT A LA DISTRIBUCIÓ</w:t>
            </w:r>
          </w:p>
        </w:tc>
        <w:tc>
          <w:tcPr>
            <w:tcW w:w="2386" w:type="dxa"/>
          </w:tcPr>
          <w:p w14:paraId="1F888EDF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4DDB78F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58D7CBC7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03D54083" w14:textId="77777777" w:rsidTr="002B34ED">
        <w:trPr>
          <w:trHeight w:val="341"/>
        </w:trPr>
        <w:tc>
          <w:tcPr>
            <w:tcW w:w="3044" w:type="dxa"/>
          </w:tcPr>
          <w:p w14:paraId="59C3425B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2. SERVEIS DE CONTINGUTS DIGITALS</w:t>
            </w:r>
          </w:p>
        </w:tc>
        <w:tc>
          <w:tcPr>
            <w:tcW w:w="2386" w:type="dxa"/>
          </w:tcPr>
          <w:p w14:paraId="32D571E1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17E8FE4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2F62FEC9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5248365C" w14:textId="77777777" w:rsidTr="002B34ED">
        <w:trPr>
          <w:trHeight w:val="341"/>
        </w:trPr>
        <w:tc>
          <w:tcPr>
            <w:tcW w:w="3044" w:type="dxa"/>
          </w:tcPr>
          <w:p w14:paraId="27188CC0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3. SERVEIS DE DISSENY GRÀFIC</w:t>
            </w:r>
          </w:p>
        </w:tc>
        <w:tc>
          <w:tcPr>
            <w:tcW w:w="2386" w:type="dxa"/>
          </w:tcPr>
          <w:p w14:paraId="73DC6D33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A563A5B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0909A694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44F80D84" w14:textId="77777777" w:rsidTr="002B34ED">
        <w:trPr>
          <w:trHeight w:val="320"/>
        </w:trPr>
        <w:tc>
          <w:tcPr>
            <w:tcW w:w="3044" w:type="dxa"/>
          </w:tcPr>
          <w:p w14:paraId="375A42E9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4. SERVEIS DE MEDIACIÓ CULTURAL</w:t>
            </w:r>
          </w:p>
        </w:tc>
        <w:tc>
          <w:tcPr>
            <w:tcW w:w="2386" w:type="dxa"/>
          </w:tcPr>
          <w:p w14:paraId="1CC5B62B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EA5B12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24B4BE5F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7A3AF6BD" w14:textId="77777777" w:rsidTr="002B34ED">
        <w:trPr>
          <w:trHeight w:val="341"/>
        </w:trPr>
        <w:tc>
          <w:tcPr>
            <w:tcW w:w="3044" w:type="dxa"/>
          </w:tcPr>
          <w:p w14:paraId="7B2B53F8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5. SERVEIS DE PRODUCCIÓ ARTÍSTICA</w:t>
            </w:r>
          </w:p>
        </w:tc>
        <w:tc>
          <w:tcPr>
            <w:tcW w:w="2386" w:type="dxa"/>
          </w:tcPr>
          <w:p w14:paraId="48415B30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E54114A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4A27F6FC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4E192F75" w14:textId="77777777" w:rsidTr="002B34ED">
        <w:trPr>
          <w:trHeight w:val="320"/>
        </w:trPr>
        <w:tc>
          <w:tcPr>
            <w:tcW w:w="3044" w:type="dxa"/>
          </w:tcPr>
          <w:p w14:paraId="43189EA8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6. SERVEIS DE PRODUCCIÓ TÈCNICA</w:t>
            </w:r>
          </w:p>
        </w:tc>
        <w:tc>
          <w:tcPr>
            <w:tcW w:w="2386" w:type="dxa"/>
          </w:tcPr>
          <w:p w14:paraId="228B5F63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7D70FF6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708C36A4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04CEB0F0" w14:textId="77777777" w:rsidTr="002B34ED">
        <w:trPr>
          <w:trHeight w:val="341"/>
        </w:trPr>
        <w:tc>
          <w:tcPr>
            <w:tcW w:w="3044" w:type="dxa"/>
          </w:tcPr>
          <w:p w14:paraId="373E7B57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7. SERVEIS DE PROGRAMACIÓ I ACTIVITATS DE DIFUSIÓ CULTURAL</w:t>
            </w:r>
          </w:p>
        </w:tc>
        <w:tc>
          <w:tcPr>
            <w:tcW w:w="2386" w:type="dxa"/>
          </w:tcPr>
          <w:p w14:paraId="730E784B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D29BE39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1573569E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B04" w14:paraId="11D686D6" w14:textId="77777777" w:rsidTr="002B34ED">
        <w:trPr>
          <w:trHeight w:val="320"/>
        </w:trPr>
        <w:tc>
          <w:tcPr>
            <w:tcW w:w="3044" w:type="dxa"/>
          </w:tcPr>
          <w:p w14:paraId="086689E2" w14:textId="77777777" w:rsidR="00F42B04" w:rsidRPr="000636C5" w:rsidRDefault="00F42B04" w:rsidP="002B34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36C5">
              <w:rPr>
                <w:rFonts w:ascii="Arial" w:hAnsi="Arial" w:cs="Arial"/>
                <w:b/>
                <w:sz w:val="22"/>
                <w:szCs w:val="22"/>
              </w:rPr>
              <w:t>LOT 8. SERVEIS DE PERSONAL DE SALA</w:t>
            </w:r>
          </w:p>
        </w:tc>
        <w:tc>
          <w:tcPr>
            <w:tcW w:w="2386" w:type="dxa"/>
          </w:tcPr>
          <w:p w14:paraId="60C45A66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7CCD6D7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0" w:type="dxa"/>
          </w:tcPr>
          <w:p w14:paraId="385AE380" w14:textId="77777777" w:rsidR="00F42B04" w:rsidRPr="000636C5" w:rsidRDefault="00F42B04" w:rsidP="002B34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FF7158" w14:textId="77777777" w:rsidR="00F42B04" w:rsidRDefault="00F42B04" w:rsidP="00F42B04">
      <w:pPr>
        <w:pStyle w:val="Textoindependiente"/>
        <w:tabs>
          <w:tab w:val="left" w:pos="-567"/>
        </w:tabs>
        <w:spacing w:after="0" w:line="240" w:lineRule="auto"/>
        <w:ind w:right="-568"/>
        <w:jc w:val="both"/>
        <w:rPr>
          <w:rFonts w:ascii="Arial" w:hAnsi="Arial"/>
          <w:b/>
          <w:color w:val="000000"/>
          <w:sz w:val="22"/>
          <w:szCs w:val="22"/>
        </w:rPr>
      </w:pPr>
    </w:p>
    <w:p w14:paraId="7BAC203F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*Si no s’omplen les tres caselles, s’entendrà que no s’ofereix aquest criteri de valoració i no es puntuarà.</w:t>
      </w:r>
    </w:p>
    <w:p w14:paraId="155E04A7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52E54692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40D128F4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331CF148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I perquè així consti, signo el present document </w:t>
      </w:r>
    </w:p>
    <w:p w14:paraId="78612C6C" w14:textId="77777777" w:rsidR="00F42B04" w:rsidRDefault="00F42B04" w:rsidP="00F42B04">
      <w:pPr>
        <w:tabs>
          <w:tab w:val="left" w:pos="-567"/>
        </w:tabs>
        <w:ind w:left="-567" w:right="-568"/>
        <w:jc w:val="both"/>
        <w:rPr>
          <w:rFonts w:ascii="Arial" w:hAnsi="Arial"/>
          <w:color w:val="000000"/>
          <w:sz w:val="22"/>
          <w:szCs w:val="22"/>
        </w:rPr>
      </w:pPr>
    </w:p>
    <w:p w14:paraId="42F22033" w14:textId="77777777" w:rsidR="00F42B04" w:rsidRPr="00F12CE7" w:rsidRDefault="00F42B04" w:rsidP="00F42B04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i/>
          <w:sz w:val="22"/>
          <w:szCs w:val="22"/>
          <w:lang w:eastAsia="es-ES" w:bidi="ar-SA"/>
        </w:rPr>
      </w:pPr>
    </w:p>
    <w:p w14:paraId="5DCA0CD5" w14:textId="77777777" w:rsidR="00F42B04" w:rsidRPr="00F12CE7" w:rsidRDefault="00F42B04" w:rsidP="00F42B04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i/>
          <w:sz w:val="22"/>
          <w:szCs w:val="22"/>
          <w:lang w:eastAsia="es-ES" w:bidi="ar-SA"/>
        </w:rPr>
      </w:pPr>
      <w:r w:rsidRPr="00F12CE7">
        <w:rPr>
          <w:rFonts w:ascii="Helvetica*" w:eastAsia="Times New Roman" w:hAnsi="Helvetica*" w:cs="Arial"/>
          <w:i/>
          <w:sz w:val="22"/>
          <w:szCs w:val="22"/>
          <w:lang w:eastAsia="es-ES" w:bidi="ar-SA"/>
        </w:rPr>
        <w:t>(Lloc, data i signatura electrònica)</w:t>
      </w:r>
    </w:p>
    <w:p w14:paraId="2B5B2C16" w14:textId="77777777" w:rsidR="00F42B04" w:rsidRDefault="00F42B04" w:rsidP="00F42B04">
      <w:pPr>
        <w:ind w:left="-567"/>
      </w:pPr>
    </w:p>
    <w:p w14:paraId="7B8C0995" w14:textId="404A0F18" w:rsidR="00082BA2" w:rsidRPr="00B50C8B" w:rsidRDefault="00082BA2" w:rsidP="00F42B04">
      <w:pPr>
        <w:rPr>
          <w:rFonts w:ascii="Arial" w:hAnsi="Arial" w:cs="Arial"/>
          <w:sz w:val="22"/>
        </w:rPr>
      </w:pPr>
    </w:p>
    <w:sectPr w:rsidR="00082BA2" w:rsidRPr="00B50C8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CDE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7A80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A10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01226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14F66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165F8"/>
    <w:multiLevelType w:val="hybridMultilevel"/>
    <w:tmpl w:val="5C8A7D2A"/>
    <w:lvl w:ilvl="0" w:tplc="F65E372A">
      <w:start w:val="31"/>
      <w:numFmt w:val="bullet"/>
      <w:lvlText w:val="-"/>
      <w:lvlJc w:val="left"/>
      <w:pPr>
        <w:ind w:left="294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C0D58C4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36A51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A3055"/>
    <w:multiLevelType w:val="hybridMultilevel"/>
    <w:tmpl w:val="C91486FA"/>
    <w:lvl w:ilvl="0" w:tplc="F65E372A">
      <w:start w:val="31"/>
      <w:numFmt w:val="bullet"/>
      <w:lvlText w:val="-"/>
      <w:lvlJc w:val="left"/>
      <w:pPr>
        <w:ind w:left="144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08122D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5E72ADA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163C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86D65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7360D"/>
    <w:multiLevelType w:val="hybridMultilevel"/>
    <w:tmpl w:val="79A8AB9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A21CA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1E61C0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232E5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C7CBD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B79AC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055E3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F7B42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40F91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60261"/>
    <w:multiLevelType w:val="multilevel"/>
    <w:tmpl w:val="4C0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804E7"/>
    <w:multiLevelType w:val="multilevel"/>
    <w:tmpl w:val="E7F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22"/>
  </w:num>
  <w:num w:numId="9">
    <w:abstractNumId w:val="20"/>
  </w:num>
  <w:num w:numId="10">
    <w:abstractNumId w:val="24"/>
  </w:num>
  <w:num w:numId="11">
    <w:abstractNumId w:val="25"/>
  </w:num>
  <w:num w:numId="12">
    <w:abstractNumId w:val="4"/>
  </w:num>
  <w:num w:numId="13">
    <w:abstractNumId w:val="17"/>
  </w:num>
  <w:num w:numId="14">
    <w:abstractNumId w:val="13"/>
  </w:num>
  <w:num w:numId="15">
    <w:abstractNumId w:val="8"/>
  </w:num>
  <w:num w:numId="16">
    <w:abstractNumId w:val="23"/>
  </w:num>
  <w:num w:numId="17">
    <w:abstractNumId w:val="1"/>
  </w:num>
  <w:num w:numId="18">
    <w:abstractNumId w:val="12"/>
  </w:num>
  <w:num w:numId="19">
    <w:abstractNumId w:val="5"/>
  </w:num>
  <w:num w:numId="20">
    <w:abstractNumId w:val="18"/>
  </w:num>
  <w:num w:numId="21">
    <w:abstractNumId w:val="3"/>
  </w:num>
  <w:num w:numId="22">
    <w:abstractNumId w:val="21"/>
  </w:num>
  <w:num w:numId="23">
    <w:abstractNumId w:val="10"/>
  </w:num>
  <w:num w:numId="24">
    <w:abstractNumId w:val="0"/>
  </w:num>
  <w:num w:numId="25">
    <w:abstractNumId w:val="14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3008E2"/>
    <w:rsid w:val="00454276"/>
    <w:rsid w:val="0053492C"/>
    <w:rsid w:val="0059489C"/>
    <w:rsid w:val="007F410C"/>
    <w:rsid w:val="008D2ADE"/>
    <w:rsid w:val="009D1FDE"/>
    <w:rsid w:val="00AA4F90"/>
    <w:rsid w:val="00B50C8B"/>
    <w:rsid w:val="00BA6BD6"/>
    <w:rsid w:val="00CB0047"/>
    <w:rsid w:val="00CE6213"/>
    <w:rsid w:val="00DA7CFB"/>
    <w:rsid w:val="00F42B04"/>
    <w:rsid w:val="00F6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  <w:style w:type="paragraph" w:styleId="NormalWeb">
    <w:name w:val="Normal (Web)"/>
    <w:basedOn w:val="Normal"/>
    <w:uiPriority w:val="99"/>
    <w:qFormat/>
    <w:rsid w:val="00F61254"/>
    <w:pPr>
      <w:spacing w:before="280" w:after="280"/>
    </w:pPr>
    <w:rPr>
      <w:rFonts w:ascii="Times New Roman" w:eastAsia="Times New Roman" w:hAnsi="Times New Roman" w:cs="Times New Roman"/>
      <w:lang w:eastAsia="ca-ES" w:bidi="ar-SA"/>
    </w:rPr>
  </w:style>
  <w:style w:type="character" w:styleId="Textoennegrita">
    <w:name w:val="Strong"/>
    <w:basedOn w:val="Fuentedeprrafopredeter"/>
    <w:uiPriority w:val="22"/>
    <w:qFormat/>
    <w:rsid w:val="00F61254"/>
    <w:rPr>
      <w:b/>
      <w:bCs/>
    </w:rPr>
  </w:style>
  <w:style w:type="character" w:styleId="nfasis">
    <w:name w:val="Emphasis"/>
    <w:basedOn w:val="Fuentedeprrafopredeter"/>
    <w:uiPriority w:val="20"/>
    <w:qFormat/>
    <w:rsid w:val="00F61254"/>
    <w:rPr>
      <w:i/>
      <w:iCs/>
    </w:rPr>
  </w:style>
  <w:style w:type="paragraph" w:styleId="Textoindependiente">
    <w:name w:val="Body Text"/>
    <w:basedOn w:val="Normal"/>
    <w:link w:val="TextoindependienteCar"/>
    <w:rsid w:val="00F42B04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F42B04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2025-09-02T11:02:00Z</dcterms:created>
  <dcterms:modified xsi:type="dcterms:W3CDTF">2025-09-02T11:02:00Z</dcterms:modified>
</cp:coreProperties>
</file>