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09" w:hanging="0"/>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El/La senyor/a (nom i cognoms), en representació de (raó social de l’empresa licitadora), NIF, amb domicili a efectes de notificacions i requeriments al carrer / a la plaça / a l’avinguda, codi postal, localitat, licitadora en l’adjudicació del contracte per a la prestació del servei de grua per a la retirada i trasllat de vehicles de la via pública i del dipòsit municipal de vehicles de la Llagosta</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amb el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al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7pt;height:13.85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7pt;height:13.85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7pt;height:13.85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7pt;height:13.85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7pt;height:13.85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7pt;height:13.85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7pt;height:13.85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7pt;height:13.85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7pt;height:13.85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7pt;height:13.85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7pt;height:13.85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7pt;height:13.85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7pt;height:13.85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7pt;height:13.85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25pt;height:13.85pt" type="#_x0000_t75"/>
          <w:control r:id="rId18" w:name="Casilla 1" w:shapeid="control_shape_14"/>
        </w:object>
      </w:r>
      <w:r>
        <w:rPr/>
        <w:object>
          <v:shape id="control_shape_15" o:allowincell="t" style="width:194.7pt;height:13.85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7pt;height:13.85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7pt;height:13.85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7pt;height:13.85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7pt;height:13.85pt" type="#_x0000_t75"/>
          <w:control r:id="rId23" w:name="Casilla 1" w:shapeid="control_shape_19"/>
        </w:object>
      </w:r>
    </w:p>
    <w:p>
      <w:pPr>
        <w:pStyle w:val="Normal"/>
        <w:spacing w:lineRule="auto" w:line="240" w:before="0" w:after="0"/>
        <w:jc w:val="both"/>
        <w:rPr>
          <w:rFonts w:ascii="Arial" w:hAnsi="Arial" w:eastAsia="Arial" w:cs="Arial"/>
          <w:b/>
          <w:b/>
          <w:bCs/>
          <w:sz w:val="20"/>
          <w:szCs w:val="20"/>
          <w:lang w:val="ca-ES" w:eastAsia="ca-ES"/>
        </w:rPr>
      </w:pPr>
      <w:r>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0"/>
        </w:numPr>
        <w:spacing w:lineRule="auto" w:line="240" w:before="0" w:after="0"/>
        <w:ind w:left="72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Nomenar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a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numPr>
          <w:ilvl w:val="0"/>
          <w:numId w:val="0"/>
        </w:numPr>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dur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perquè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què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l’Agència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perquè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és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una anàlisi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 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 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 ús d'una anàlisi de risc o avaluació d'impacte, llevat d'aprovació expressa del responsable del tractament, i en el cas de trobar-se adherit a un codi de conducta o mecanisme de certificació que demostri l'existència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és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qual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numPr>
          <w:ilvl w:val="0"/>
          <w:numId w:val="0"/>
        </w:numPr>
        <w:spacing w:lineRule="auto" w:line="276" w:before="0" w:after="0"/>
        <w:ind w:left="1440" w:hanging="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 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sectPr>
      <w:headerReference w:type="default" r:id="rId28"/>
      <w:footerReference w:type="default" r:id="rId29"/>
      <w:footnotePr>
        <w:numFmt w:val="decimal"/>
      </w:footnotePr>
      <w:type w:val="nextPage"/>
      <w:pgSz w:w="11906" w:h="16838"/>
      <w:pgMar w:left="1701" w:right="1701" w:gutter="0" w:header="708" w:top="1417" w:footer="1417" w:bottom="2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estern"/>
      <w:pBdr>
        <w:top w:val="single" w:sz="6" w:space="5" w:color="000000"/>
      </w:pBdr>
      <w:spacing w:before="0" w:after="119"/>
      <w:jc w:val="center"/>
      <w:rPr>
        <w:b/>
        <w:b/>
        <w:bCs/>
        <w:lang w:val="ca-ES"/>
      </w:rPr>
    </w:pPr>
    <w:r>
      <w:rPr>
        <w:b/>
        <w:bCs/>
        <w:lang w:val="ca-ES"/>
      </w:rPr>
      <w:t>Ajuntament de La Llagosta</w:t>
    </w:r>
  </w:p>
  <w:p>
    <w:pPr>
      <w:pStyle w:val="Western"/>
      <w:spacing w:before="0" w:after="0"/>
      <w:jc w:val="center"/>
      <w:rPr>
        <w:sz w:val="16"/>
        <w:szCs w:val="16"/>
        <w:lang w:val="ca-ES"/>
      </w:rPr>
    </w:pPr>
    <w:r>
      <w:rPr>
        <w:sz w:val="16"/>
        <w:szCs w:val="16"/>
        <w:lang w:val="ca-ES"/>
      </w:rPr>
      <w:t>Plaça Antoni Baqué, 1, La Llagosta. 08120 Barcelona. Tel. 935603911. Fax: 935741142</w:t>
    </w:r>
  </w:p>
  <w:p>
    <w:pPr>
      <w:pStyle w:val="Piedepgina"/>
      <w:jc w:val="right"/>
      <w:rPr>
        <w:rFonts w:ascii="Arial" w:hAnsi="Arial"/>
        <w:lang w:val="ca-ES"/>
      </w:rPr>
    </w:pPr>
    <w:r>
      <w:rPr>
        <w:rFonts w:ascii="Arial" w:hAnsi="Arial"/>
        <w:lang w:val="ca-ES"/>
      </w:rPr>
      <w:fldChar w:fldCharType="begin"/>
    </w:r>
    <w:r>
      <w:rPr>
        <w:rFonts w:ascii="Arial" w:hAnsi="Arial"/>
        <w:lang w:val="ca-ES"/>
      </w:rPr>
      <w:instrText> PAGE </w:instrText>
    </w:r>
    <w:r>
      <w:rPr>
        <w:rFonts w:ascii="Arial" w:hAnsi="Arial"/>
        <w:lang w:val="ca-ES"/>
      </w:rPr>
      <w:fldChar w:fldCharType="separate"/>
    </w:r>
    <w:r>
      <w:rPr>
        <w:rFonts w:ascii="Arial" w:hAnsi="Arial"/>
        <w:lang w:val="ca-ES"/>
      </w:rPr>
      <w:t>8</w:t>
    </w:r>
    <w:r>
      <w:rPr>
        <w:rFonts w:ascii="Arial" w:hAnsi="Arial"/>
        <w:lang w:val="ca-E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Arial" w:hAnsi="Arial"/>
          <w:sz w:val="18"/>
          <w:szCs w:val="18"/>
        </w:rPr>
      </w:pPr>
      <w:r>
        <w:rPr>
          <w:rStyle w:val="Caracteresdenotaalpie"/>
        </w:rPr>
        <w:footnoteRef/>
      </w:r>
      <w:r>
        <w:rPr>
          <w:rFonts w:ascii="Arial" w:hAnsi="Arial"/>
          <w:sz w:val="18"/>
          <w:szCs w:val="18"/>
        </w:rPr>
        <w:t xml:space="preserve"> </w:t>
      </w:r>
      <w:r>
        <w:rPr>
          <w:rFonts w:ascii="Arial" w:hAnsi="Arial"/>
          <w:sz w:val="18"/>
          <w:szCs w:val="18"/>
          <w:lang w:val="ca-ES" w:bidi="ar-SA"/>
        </w:rPr>
        <w:t>Per emplenar aquest apartat en cada contracte s’ha de tenir en compte el següent:</w:t>
      </w:r>
    </w:p>
    <w:p>
      <w:pPr>
        <w:pStyle w:val="ListParagraph"/>
        <w:ind w:left="1068" w:hanging="0"/>
        <w:rPr>
          <w:rFonts w:ascii="Arial" w:hAnsi="Arial"/>
          <w:sz w:val="18"/>
          <w:szCs w:val="18"/>
          <w:lang w:val="ca-ES" w:bidi="ar-SA"/>
        </w:rPr>
      </w:pPr>
      <w:r>
        <w:rPr>
          <w:rFonts w:ascii="Arial" w:hAnsi="Arial"/>
          <w:sz w:val="18"/>
          <w:szCs w:val="18"/>
          <w:lang w:val="ca-ES" w:bidi="ar-SA"/>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sz w:val="18"/>
          <w:szCs w:val="18"/>
          <w:lang w:val="ca-ES" w:bidi="ar-SA"/>
        </w:rPr>
      </w:pPr>
      <w:r>
        <w:rPr>
          <w:rFonts w:ascii="Arial" w:hAnsi="Arial"/>
          <w:sz w:val="18"/>
          <w:szCs w:val="18"/>
          <w:lang w:val="ca-ES" w:bidi="ar-SA"/>
        </w:rPr>
        <w:t>En</w:t>
      </w:r>
      <w:r>
        <w:rPr>
          <w:rFonts w:ascii="Arial" w:hAnsi="Arial"/>
          <w:b/>
          <w:bCs/>
          <w:sz w:val="18"/>
          <w:szCs w:val="18"/>
          <w:lang w:val="ca-ES" w:bidi="ar-SA"/>
        </w:rPr>
        <w:t xml:space="preserve"> “categories d’interessats”</w:t>
      </w:r>
      <w:r>
        <w:rPr>
          <w:rFonts w:ascii="Arial" w:hAnsi="Arial"/>
          <w:sz w:val="18"/>
          <w:szCs w:val="18"/>
          <w:lang w:val="ca-ES" w:bidi="ar-SA"/>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sz w:val="18"/>
          <w:szCs w:val="18"/>
          <w:lang w:val="ca-ES" w:bidi="ar-SA"/>
        </w:rPr>
      </w:pPr>
      <w:r>
        <w:rPr>
          <w:rFonts w:ascii="Arial" w:hAnsi="Arial"/>
          <w:sz w:val="18"/>
          <w:szCs w:val="18"/>
          <w:lang w:val="ca-ES" w:bidi="ar-SA"/>
        </w:rPr>
        <w:t xml:space="preserve">En “ </w:t>
      </w:r>
      <w:r>
        <w:rPr>
          <w:rFonts w:ascii="Arial" w:hAnsi="Arial"/>
          <w:b/>
          <w:bCs/>
          <w:sz w:val="18"/>
          <w:szCs w:val="18"/>
          <w:lang w:val="ca-ES" w:bidi="ar-SA"/>
        </w:rPr>
        <w:t>dades personals</w:t>
      </w:r>
      <w:r>
        <w:rPr>
          <w:rFonts w:ascii="Arial" w:hAnsi="Arial"/>
          <w:sz w:val="18"/>
          <w:szCs w:val="18"/>
          <w:lang w:val="ca-ES" w:bidi="ar-SA"/>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sz w:val="18"/>
          <w:szCs w:val="18"/>
          <w:lang w:val="ca-ES" w:bidi="ar-SA"/>
        </w:rPr>
      </w:pPr>
      <w:r>
        <w:rPr>
          <w:rFonts w:ascii="Arial" w:hAnsi="Arial"/>
          <w:sz w:val="18"/>
          <w:szCs w:val="18"/>
          <w:lang w:val="ca-ES" w:bidi="ar-SA"/>
        </w:rPr>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identificatives</w:t>
      </w:r>
      <w:r>
        <w:rPr>
          <w:rFonts w:ascii="Arial" w:hAnsi="Arial"/>
          <w:sz w:val="18"/>
          <w:szCs w:val="18"/>
          <w:lang w:val="ca-ES" w:bidi="ar-SA"/>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de característiques personals</w:t>
      </w:r>
      <w:r>
        <w:rPr>
          <w:rFonts w:ascii="Arial" w:hAnsi="Arial"/>
          <w:sz w:val="18"/>
          <w:szCs w:val="18"/>
          <w:lang w:val="ca-ES" w:bidi="ar-SA"/>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de circumstàncies socials</w:t>
      </w:r>
      <w:r>
        <w:rPr>
          <w:rFonts w:ascii="Arial" w:hAnsi="Arial"/>
          <w:sz w:val="18"/>
          <w:szCs w:val="18"/>
          <w:lang w:val="ca-ES" w:bidi="ar-SA"/>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acadèmiques-professionals:</w:t>
      </w:r>
      <w:r>
        <w:rPr>
          <w:rFonts w:ascii="Arial" w:hAnsi="Arial"/>
          <w:sz w:val="18"/>
          <w:szCs w:val="18"/>
          <w:lang w:val="ca-ES" w:bidi="ar-SA"/>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detallades d’ocupació:</w:t>
      </w:r>
      <w:r>
        <w:rPr>
          <w:rFonts w:ascii="Arial" w:hAnsi="Arial"/>
          <w:sz w:val="18"/>
          <w:szCs w:val="18"/>
          <w:lang w:val="ca-ES" w:bidi="ar-SA"/>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econòmiques, financeres i d’assegurances</w:t>
      </w:r>
      <w:r>
        <w:rPr>
          <w:rFonts w:ascii="Arial" w:hAnsi="Arial"/>
          <w:sz w:val="18"/>
          <w:szCs w:val="18"/>
          <w:lang w:val="ca-ES" w:bidi="ar-SA"/>
        </w:rPr>
        <w:t>: ingressos, rendes,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especialment protegides</w:t>
      </w:r>
      <w:r>
        <w:rPr>
          <w:rFonts w:ascii="Arial" w:hAnsi="Arial"/>
          <w:sz w:val="18"/>
          <w:szCs w:val="18"/>
          <w:lang w:val="ca-ES" w:bidi="ar-SA"/>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sz w:val="18"/>
          <w:szCs w:val="18"/>
          <w:lang w:val="ca-ES" w:bidi="ar-S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97660" cy="695325"/>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170" t="-1241" r="-496" b="-1241"/>
                  <a:stretch>
                    <a:fillRect/>
                  </a:stretch>
                </pic:blipFill>
                <pic:spPr bwMode="auto">
                  <a:xfrm>
                    <a:off x="0" y="0"/>
                    <a:ext cx="1597660" cy="69532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paragraph" w:styleId="Western">
    <w:name w:val="western"/>
    <w:basedOn w:val="Normal"/>
    <w:qFormat/>
    <w:pPr>
      <w:spacing w:lineRule="auto" w:line="240" w:before="280" w:after="119"/>
    </w:pPr>
    <w:rPr>
      <w:rFonts w:ascii="Arial" w:hAnsi="Arial" w:eastAsia="Times New Roman" w:cs="Arial"/>
      <w:color w:val="00000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LibreOffice/7.2.7.2$Windows_X86_64 LibreOffice_project/8d71d29d553c0f7dcbfa38fbfda25ee34cce99a2</Application>
  <AppVersion>15.0000</AppVersion>
  <Pages>8</Pages>
  <Words>3446</Words>
  <Characters>19205</Characters>
  <CharactersWithSpaces>22516</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cp:lastPrinted>2025-07-16T11:13:18Z</cp:lastPrinted>
  <dcterms:modified xsi:type="dcterms:W3CDTF">2025-08-29T12:32:04Z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