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2C1D" w14:textId="77777777" w:rsidR="000F4BA8" w:rsidRDefault="000F4BA8" w:rsidP="000F4BA8">
      <w:pPr>
        <w:pStyle w:val="Ttol2"/>
        <w:tabs>
          <w:tab w:val="left" w:pos="9356"/>
        </w:tabs>
        <w:spacing w:before="241"/>
        <w:ind w:right="996"/>
        <w:jc w:val="center"/>
        <w:rPr>
          <w:rFonts w:ascii="Arial" w:eastAsia="Arial MT" w:hAnsi="Arial" w:cs="Arial MT"/>
          <w:b/>
          <w:color w:val="auto"/>
          <w:sz w:val="22"/>
          <w:szCs w:val="22"/>
          <w:lang w:val="es-ES"/>
        </w:rPr>
      </w:pPr>
    </w:p>
    <w:p w14:paraId="5AF98B0C" w14:textId="24EADD2F" w:rsidR="000F4BA8" w:rsidRPr="000F4BA8" w:rsidRDefault="000F4BA8" w:rsidP="000F4BA8">
      <w:pPr>
        <w:pStyle w:val="Ttol2"/>
        <w:tabs>
          <w:tab w:val="left" w:pos="9356"/>
        </w:tabs>
        <w:spacing w:before="241"/>
        <w:ind w:right="996"/>
        <w:jc w:val="center"/>
        <w:rPr>
          <w:rFonts w:ascii="Arial" w:eastAsia="Arial MT" w:hAnsi="Arial" w:cs="Arial MT"/>
          <w:b/>
          <w:color w:val="auto"/>
          <w:sz w:val="22"/>
          <w:szCs w:val="22"/>
          <w:lang w:val="es-ES"/>
        </w:rPr>
      </w:pPr>
      <w:r w:rsidRPr="000F4BA8">
        <w:rPr>
          <w:rFonts w:ascii="Arial" w:eastAsia="Arial MT" w:hAnsi="Arial" w:cs="Arial MT"/>
          <w:b/>
          <w:color w:val="auto"/>
          <w:sz w:val="22"/>
          <w:szCs w:val="22"/>
          <w:lang w:val="es-ES"/>
        </w:rPr>
        <w:t>Criterios que dependen de un juicio de valor (42 %):</w:t>
      </w:r>
    </w:p>
    <w:p w14:paraId="2AAE6E3A" w14:textId="77777777" w:rsidR="000F4BA8" w:rsidRDefault="000F4BA8" w:rsidP="000F4BA8">
      <w:pPr>
        <w:tabs>
          <w:tab w:val="left" w:pos="9356"/>
        </w:tabs>
        <w:spacing w:before="241"/>
        <w:ind w:right="-1"/>
        <w:jc w:val="both"/>
        <w:rPr>
          <w:rFonts w:ascii="Arial" w:hAnsi="Arial"/>
          <w:b/>
          <w:u w:val="single"/>
          <w:lang w:val="es-ES"/>
        </w:rPr>
      </w:pPr>
    </w:p>
    <w:p w14:paraId="325826A0" w14:textId="298D3EC9" w:rsidR="000F4BA8" w:rsidRPr="00961F52" w:rsidRDefault="000F4BA8" w:rsidP="000F4BA8">
      <w:pPr>
        <w:tabs>
          <w:tab w:val="left" w:pos="9356"/>
        </w:tabs>
        <w:spacing w:before="241"/>
        <w:ind w:right="-1"/>
        <w:jc w:val="both"/>
        <w:rPr>
          <w:rFonts w:ascii="Arial" w:hAnsi="Arial"/>
          <w:b/>
          <w:lang w:val="es-ES"/>
        </w:rPr>
      </w:pPr>
      <w:r w:rsidRPr="00961F52">
        <w:rPr>
          <w:rFonts w:ascii="Arial" w:hAnsi="Arial"/>
          <w:b/>
          <w:u w:val="single"/>
          <w:lang w:val="es-ES"/>
        </w:rPr>
        <w:t>Criterio 1</w:t>
      </w:r>
      <w:r w:rsidRPr="00961F52">
        <w:rPr>
          <w:rFonts w:ascii="Arial" w:hAnsi="Arial"/>
          <w:b/>
          <w:lang w:val="es-ES"/>
        </w:rPr>
        <w:t xml:space="preserve">: Propuesta técnica asociada a casos de uso relevantes del proyecto de </w:t>
      </w:r>
      <w:r>
        <w:rPr>
          <w:rFonts w:ascii="Arial" w:hAnsi="Arial"/>
          <w:b/>
          <w:lang w:val="es-ES"/>
        </w:rPr>
        <w:t>i</w:t>
      </w:r>
      <w:r w:rsidRPr="00961F52">
        <w:rPr>
          <w:rFonts w:ascii="Arial" w:hAnsi="Arial"/>
          <w:b/>
          <w:lang w:val="es-ES"/>
        </w:rPr>
        <w:t>mplantación de la solución informática propuesta</w:t>
      </w:r>
      <w:r>
        <w:rPr>
          <w:rFonts w:ascii="Arial" w:hAnsi="Arial"/>
          <w:b/>
          <w:lang w:val="es-ES"/>
        </w:rPr>
        <w:t>……………</w:t>
      </w:r>
      <w:proofErr w:type="gramStart"/>
      <w:r>
        <w:rPr>
          <w:rFonts w:ascii="Arial" w:hAnsi="Arial"/>
          <w:b/>
          <w:lang w:val="es-ES"/>
        </w:rPr>
        <w:t>…….</w:t>
      </w:r>
      <w:proofErr w:type="gramEnd"/>
      <w:r>
        <w:rPr>
          <w:rFonts w:ascii="Arial" w:hAnsi="Arial"/>
          <w:b/>
          <w:lang w:val="es-ES"/>
        </w:rPr>
        <w:t>.</w:t>
      </w:r>
      <w:r w:rsidRPr="00961F52">
        <w:rPr>
          <w:rFonts w:ascii="Arial" w:hAnsi="Arial"/>
          <w:b/>
          <w:lang w:val="es-ES"/>
        </w:rPr>
        <w:t>hasta 42 puntos</w:t>
      </w:r>
    </w:p>
    <w:p w14:paraId="5FC744D6" w14:textId="57AFB411" w:rsidR="000F4BA8" w:rsidRPr="00961F52" w:rsidRDefault="000F4BA8" w:rsidP="000F4BA8">
      <w:pPr>
        <w:pStyle w:val="Textindependent"/>
        <w:tabs>
          <w:tab w:val="left" w:pos="9356"/>
        </w:tabs>
        <w:spacing w:before="238"/>
        <w:ind w:right="-1"/>
        <w:rPr>
          <w:lang w:val="es-ES"/>
        </w:rPr>
      </w:pPr>
      <w:r w:rsidRPr="00961F52">
        <w:rPr>
          <w:lang w:val="es-ES"/>
        </w:rPr>
        <w:t xml:space="preserve">La empresa licitadora </w:t>
      </w:r>
      <w:r>
        <w:rPr>
          <w:lang w:val="es-ES"/>
        </w:rPr>
        <w:t>tendrá que</w:t>
      </w:r>
      <w:r w:rsidRPr="00961F52">
        <w:rPr>
          <w:lang w:val="es-ES"/>
        </w:rPr>
        <w:t xml:space="preserve"> aportar una propuesta técnica en formato audiovisual </w:t>
      </w:r>
      <w:r w:rsidRPr="00961F52">
        <w:rPr>
          <w:spacing w:val="-2"/>
          <w:lang w:val="es-ES"/>
        </w:rPr>
        <w:t>(audio</w:t>
      </w:r>
      <w:r>
        <w:rPr>
          <w:spacing w:val="-2"/>
          <w:lang w:val="es-ES"/>
        </w:rPr>
        <w:t xml:space="preserve"> </w:t>
      </w:r>
      <w:r w:rsidRPr="00961F52">
        <w:rPr>
          <w:lang w:val="es-ES"/>
        </w:rPr>
        <w:t xml:space="preserve">y video) con las características </w:t>
      </w:r>
      <w:r w:rsidRPr="00961F52">
        <w:rPr>
          <w:spacing w:val="-2"/>
          <w:lang w:val="es-ES"/>
        </w:rPr>
        <w:t>siguientes:</w:t>
      </w:r>
    </w:p>
    <w:p w14:paraId="7AA8C172" w14:textId="77777777" w:rsidR="000F4BA8" w:rsidRPr="000F4BA8" w:rsidRDefault="000F4BA8" w:rsidP="000F4BA8">
      <w:pPr>
        <w:pStyle w:val="Ttol2"/>
        <w:tabs>
          <w:tab w:val="left" w:pos="9356"/>
        </w:tabs>
        <w:spacing w:before="239"/>
        <w:ind w:right="-1"/>
        <w:rPr>
          <w:rFonts w:ascii="Arial" w:eastAsia="Arial MT" w:hAnsi="Arial" w:cs="Arial MT"/>
          <w:b/>
          <w:color w:val="auto"/>
          <w:sz w:val="22"/>
          <w:szCs w:val="22"/>
          <w:lang w:val="es-ES"/>
        </w:rPr>
      </w:pPr>
      <w:r w:rsidRPr="000F4BA8">
        <w:rPr>
          <w:rFonts w:ascii="Arial" w:eastAsia="Arial MT" w:hAnsi="Arial" w:cs="Arial MT"/>
          <w:b/>
          <w:color w:val="auto"/>
          <w:sz w:val="22"/>
          <w:szCs w:val="22"/>
          <w:lang w:val="es-ES"/>
        </w:rPr>
        <w:t>Características:</w:t>
      </w:r>
    </w:p>
    <w:p w14:paraId="37122E59" w14:textId="77777777" w:rsidR="000F4BA8" w:rsidRPr="00961F52" w:rsidRDefault="000F4BA8" w:rsidP="000F4BA8">
      <w:pPr>
        <w:pStyle w:val="Pargrafdellista"/>
        <w:numPr>
          <w:ilvl w:val="0"/>
          <w:numId w:val="1"/>
        </w:numPr>
        <w:tabs>
          <w:tab w:val="left" w:pos="284"/>
          <w:tab w:val="left" w:pos="9356"/>
        </w:tabs>
        <w:spacing w:before="241" w:line="269" w:lineRule="exact"/>
        <w:ind w:left="0" w:right="-1" w:firstLine="0"/>
        <w:contextualSpacing w:val="0"/>
        <w:jc w:val="both"/>
        <w:rPr>
          <w:lang w:val="es-ES"/>
        </w:rPr>
      </w:pPr>
      <w:r w:rsidRPr="00961F52">
        <w:rPr>
          <w:spacing w:val="-2"/>
          <w:lang w:val="es-ES"/>
        </w:rPr>
        <w:t>Por a cada uno de los subcriteri</w:t>
      </w:r>
      <w:r>
        <w:rPr>
          <w:spacing w:val="-2"/>
          <w:lang w:val="es-ES"/>
        </w:rPr>
        <w:t>o</w:t>
      </w:r>
      <w:r w:rsidRPr="00961F52">
        <w:rPr>
          <w:spacing w:val="-2"/>
          <w:lang w:val="es-ES"/>
        </w:rPr>
        <w:t xml:space="preserve">s de los apartados 1 y 2 se </w:t>
      </w:r>
      <w:r>
        <w:rPr>
          <w:spacing w:val="-2"/>
          <w:lang w:val="es-ES"/>
        </w:rPr>
        <w:t>entregará</w:t>
      </w:r>
      <w:r w:rsidRPr="00961F52">
        <w:rPr>
          <w:spacing w:val="-2"/>
          <w:lang w:val="es-ES"/>
        </w:rPr>
        <w:t xml:space="preserve"> un documento audiovisual.</w:t>
      </w:r>
    </w:p>
    <w:p w14:paraId="4F88D097" w14:textId="77777777" w:rsidR="000F4BA8" w:rsidRPr="00961F52" w:rsidRDefault="000F4BA8" w:rsidP="000F4BA8">
      <w:pPr>
        <w:pStyle w:val="Pargrafdellista"/>
        <w:numPr>
          <w:ilvl w:val="0"/>
          <w:numId w:val="1"/>
        </w:numPr>
        <w:tabs>
          <w:tab w:val="left" w:pos="284"/>
          <w:tab w:val="left" w:pos="9356"/>
        </w:tabs>
        <w:spacing w:before="2" w:line="237" w:lineRule="auto"/>
        <w:ind w:left="0" w:right="-1" w:firstLine="0"/>
        <w:contextualSpacing w:val="0"/>
        <w:jc w:val="both"/>
        <w:rPr>
          <w:lang w:val="es-ES"/>
        </w:rPr>
      </w:pPr>
      <w:r w:rsidRPr="00961F52">
        <w:rPr>
          <w:lang w:val="es-ES"/>
        </w:rPr>
        <w:t xml:space="preserve">El formato estándar </w:t>
      </w:r>
      <w:r>
        <w:rPr>
          <w:lang w:val="es-ES"/>
        </w:rPr>
        <w:t>se podrá</w:t>
      </w:r>
      <w:r w:rsidRPr="00961F52">
        <w:rPr>
          <w:lang w:val="es-ES"/>
        </w:rPr>
        <w:t xml:space="preserve"> visualizar con un reproductor multimedia VLC de licenciamiento libre en que se mostrará de forma compasada las imágenes demostrativas de la funcionalidad requerida y el audio explicativo.</w:t>
      </w:r>
    </w:p>
    <w:p w14:paraId="4EB71CE7" w14:textId="77777777" w:rsidR="000F4BA8" w:rsidRPr="00961F52" w:rsidRDefault="000F4BA8" w:rsidP="000F4BA8">
      <w:pPr>
        <w:pStyle w:val="Pargrafdellista"/>
        <w:numPr>
          <w:ilvl w:val="0"/>
          <w:numId w:val="1"/>
        </w:numPr>
        <w:tabs>
          <w:tab w:val="left" w:pos="284"/>
          <w:tab w:val="left" w:pos="9356"/>
        </w:tabs>
        <w:spacing w:before="5" w:line="237" w:lineRule="auto"/>
        <w:ind w:left="0" w:right="-1" w:firstLine="0"/>
        <w:contextualSpacing w:val="0"/>
        <w:jc w:val="both"/>
        <w:rPr>
          <w:lang w:val="es-ES"/>
        </w:rPr>
      </w:pPr>
      <w:r w:rsidRPr="00961F52">
        <w:rPr>
          <w:lang w:val="es-ES"/>
        </w:rPr>
        <w:t>Los documentos audiovisuales que no tengan imágenes y audio no serán evaluados y tendrán una consideración de 0 puntos.</w:t>
      </w:r>
    </w:p>
    <w:p w14:paraId="61DCA0E8" w14:textId="77777777" w:rsidR="000F4BA8" w:rsidRPr="00961F52" w:rsidRDefault="000F4BA8" w:rsidP="000F4BA8">
      <w:pPr>
        <w:pStyle w:val="Pargrafdellista"/>
        <w:numPr>
          <w:ilvl w:val="0"/>
          <w:numId w:val="1"/>
        </w:numPr>
        <w:tabs>
          <w:tab w:val="left" w:pos="284"/>
          <w:tab w:val="left" w:pos="9356"/>
        </w:tabs>
        <w:spacing w:before="2" w:line="268" w:lineRule="exact"/>
        <w:ind w:left="0" w:right="-1" w:firstLine="0"/>
        <w:contextualSpacing w:val="0"/>
        <w:jc w:val="both"/>
        <w:rPr>
          <w:lang w:val="es-ES"/>
        </w:rPr>
      </w:pPr>
      <w:r w:rsidRPr="00961F52">
        <w:rPr>
          <w:lang w:val="es-ES"/>
        </w:rPr>
        <w:t xml:space="preserve">La resolución de la imagen será la suficiente para poder visualizar las </w:t>
      </w:r>
      <w:r w:rsidRPr="00961F52">
        <w:rPr>
          <w:spacing w:val="-2"/>
          <w:lang w:val="es-ES"/>
        </w:rPr>
        <w:t>funcionalidades</w:t>
      </w:r>
    </w:p>
    <w:p w14:paraId="6815E010" w14:textId="77777777" w:rsidR="000F4BA8" w:rsidRPr="00961F52" w:rsidRDefault="000F4BA8" w:rsidP="000F4BA8">
      <w:pPr>
        <w:pStyle w:val="Textindependent"/>
        <w:tabs>
          <w:tab w:val="left" w:pos="284"/>
          <w:tab w:val="left" w:pos="9356"/>
        </w:tabs>
        <w:spacing w:line="252" w:lineRule="exact"/>
        <w:ind w:right="-1"/>
        <w:jc w:val="both"/>
        <w:rPr>
          <w:lang w:val="es-ES"/>
        </w:rPr>
      </w:pPr>
      <w:r w:rsidRPr="00961F52">
        <w:rPr>
          <w:lang w:val="es-ES"/>
        </w:rPr>
        <w:t xml:space="preserve">requeridas objeto </w:t>
      </w:r>
      <w:r w:rsidRPr="00961F52">
        <w:rPr>
          <w:spacing w:val="-2"/>
          <w:lang w:val="es-ES"/>
        </w:rPr>
        <w:t>de evaluación.</w:t>
      </w:r>
    </w:p>
    <w:p w14:paraId="2A41A25A" w14:textId="77777777" w:rsidR="000F4BA8" w:rsidRPr="00961F52" w:rsidRDefault="000F4BA8" w:rsidP="000F4BA8">
      <w:pPr>
        <w:pStyle w:val="Pargrafdellista"/>
        <w:numPr>
          <w:ilvl w:val="0"/>
          <w:numId w:val="1"/>
        </w:numPr>
        <w:tabs>
          <w:tab w:val="left" w:pos="284"/>
          <w:tab w:val="left" w:pos="9356"/>
        </w:tabs>
        <w:spacing w:before="1"/>
        <w:ind w:left="0" w:right="-1" w:firstLine="0"/>
        <w:contextualSpacing w:val="0"/>
        <w:jc w:val="both"/>
        <w:rPr>
          <w:lang w:val="es-ES"/>
        </w:rPr>
      </w:pPr>
      <w:r w:rsidRPr="00961F52">
        <w:rPr>
          <w:lang w:val="es-ES"/>
        </w:rPr>
        <w:t>El tiempo de reproducción del documento audiovisual no</w:t>
      </w:r>
      <w:r>
        <w:rPr>
          <w:lang w:val="es-ES"/>
        </w:rPr>
        <w:t xml:space="preserve"> tiene que</w:t>
      </w:r>
      <w:r w:rsidRPr="00961F52">
        <w:rPr>
          <w:lang w:val="es-ES"/>
        </w:rPr>
        <w:t xml:space="preserve"> exceder de cinco minutos para mostrar de forma fehaciente las funcionalidades requeridas. Transcurrido el límite máximo no se tendrá en cuenta a efectos de valoración.</w:t>
      </w:r>
    </w:p>
    <w:p w14:paraId="32FE16AF" w14:textId="77777777" w:rsidR="000F4BA8" w:rsidRPr="000F4BA8" w:rsidRDefault="000F4BA8" w:rsidP="000F4BA8">
      <w:pPr>
        <w:pStyle w:val="Ttol2"/>
        <w:tabs>
          <w:tab w:val="left" w:pos="9356"/>
        </w:tabs>
        <w:spacing w:before="239"/>
        <w:ind w:right="1705"/>
        <w:rPr>
          <w:rFonts w:ascii="Arial" w:eastAsia="Arial MT" w:hAnsi="Arial" w:cs="Arial MT"/>
          <w:b/>
          <w:color w:val="auto"/>
          <w:sz w:val="22"/>
          <w:szCs w:val="22"/>
          <w:lang w:val="es-ES"/>
        </w:rPr>
      </w:pPr>
      <w:r w:rsidRPr="000F4BA8">
        <w:rPr>
          <w:rFonts w:ascii="Arial" w:eastAsia="Arial MT" w:hAnsi="Arial" w:cs="Arial MT"/>
          <w:b/>
          <w:color w:val="auto"/>
          <w:sz w:val="22"/>
          <w:szCs w:val="22"/>
          <w:lang w:val="es-ES"/>
        </w:rPr>
        <w:t>Funcionalidades:</w:t>
      </w:r>
    </w:p>
    <w:p w14:paraId="58B9160F" w14:textId="25620A41" w:rsidR="000F4BA8" w:rsidRPr="00961F52" w:rsidRDefault="000F4BA8" w:rsidP="000F4BA8">
      <w:pPr>
        <w:pStyle w:val="Pargrafdellista"/>
        <w:numPr>
          <w:ilvl w:val="1"/>
          <w:numId w:val="1"/>
        </w:numPr>
        <w:tabs>
          <w:tab w:val="left" w:pos="426"/>
          <w:tab w:val="left" w:leader="dot" w:pos="7806"/>
          <w:tab w:val="left" w:pos="9356"/>
        </w:tabs>
        <w:spacing w:before="241"/>
        <w:ind w:left="0" w:right="-1" w:firstLine="0"/>
        <w:contextualSpacing w:val="0"/>
        <w:jc w:val="both"/>
        <w:rPr>
          <w:lang w:val="es-ES"/>
        </w:rPr>
      </w:pPr>
      <w:r w:rsidRPr="00961F52">
        <w:rPr>
          <w:spacing w:val="-2"/>
          <w:lang w:val="es-ES"/>
        </w:rPr>
        <w:t>Funcionalidades asociadas a los servicios de vigilancia</w:t>
      </w:r>
      <w:r>
        <w:rPr>
          <w:spacing w:val="-2"/>
          <w:lang w:val="es-ES"/>
        </w:rPr>
        <w:t>…</w:t>
      </w:r>
      <w:r>
        <w:rPr>
          <w:lang w:val="es-ES"/>
        </w:rPr>
        <w:t>……</w:t>
      </w:r>
      <w:proofErr w:type="gramStart"/>
      <w:r>
        <w:rPr>
          <w:lang w:val="es-ES"/>
        </w:rPr>
        <w:t>…….</w:t>
      </w:r>
      <w:proofErr w:type="gramEnd"/>
      <w:r>
        <w:rPr>
          <w:lang w:val="es-ES"/>
        </w:rPr>
        <w:t>.</w:t>
      </w:r>
      <w:r w:rsidRPr="00961F52">
        <w:rPr>
          <w:lang w:val="es-ES"/>
        </w:rPr>
        <w:t xml:space="preserve">hasta 24 </w:t>
      </w:r>
      <w:r w:rsidRPr="00961F52">
        <w:rPr>
          <w:spacing w:val="-2"/>
          <w:lang w:val="es-ES"/>
        </w:rPr>
        <w:t>puntos</w:t>
      </w:r>
    </w:p>
    <w:p w14:paraId="66222052" w14:textId="4905E35D" w:rsidR="000F4BA8" w:rsidRPr="00961F52" w:rsidRDefault="000F4BA8" w:rsidP="000F4BA8">
      <w:pPr>
        <w:pStyle w:val="Textindependent"/>
        <w:tabs>
          <w:tab w:val="left" w:pos="426"/>
          <w:tab w:val="left" w:pos="9356"/>
        </w:tabs>
        <w:spacing w:before="198"/>
        <w:ind w:right="-1"/>
        <w:jc w:val="both"/>
        <w:rPr>
          <w:lang w:val="es-ES"/>
        </w:rPr>
      </w:pPr>
      <w:r w:rsidRPr="00961F52">
        <w:rPr>
          <w:lang w:val="es-ES"/>
        </w:rPr>
        <w:t xml:space="preserve">Se valorará la ergonomía, facilidad y agilidad en la operativa de cada una de </w:t>
      </w:r>
      <w:r w:rsidRPr="00961F52">
        <w:rPr>
          <w:spacing w:val="-5"/>
          <w:lang w:val="es-ES"/>
        </w:rPr>
        <w:t>las</w:t>
      </w:r>
      <w:r>
        <w:rPr>
          <w:spacing w:val="-5"/>
          <w:lang w:val="es-ES"/>
        </w:rPr>
        <w:t xml:space="preserve"> f</w:t>
      </w:r>
      <w:r w:rsidRPr="00961F52">
        <w:rPr>
          <w:lang w:val="es-ES"/>
        </w:rPr>
        <w:t xml:space="preserve">uncionalidades, entre 0 y 2 puntos por a cada </w:t>
      </w:r>
      <w:r w:rsidRPr="00961F52">
        <w:rPr>
          <w:spacing w:val="-2"/>
          <w:lang w:val="es-ES"/>
        </w:rPr>
        <w:t>subcriteri</w:t>
      </w:r>
      <w:r>
        <w:rPr>
          <w:spacing w:val="-2"/>
          <w:lang w:val="es-ES"/>
        </w:rPr>
        <w:t>o</w:t>
      </w:r>
    </w:p>
    <w:p w14:paraId="463ECF3E" w14:textId="77777777" w:rsidR="000F4BA8" w:rsidRPr="00961F52" w:rsidRDefault="000F4BA8" w:rsidP="000F4BA8">
      <w:pPr>
        <w:pStyle w:val="Textindependent"/>
        <w:tabs>
          <w:tab w:val="left" w:pos="426"/>
          <w:tab w:val="left" w:pos="2149"/>
          <w:tab w:val="left" w:pos="9356"/>
        </w:tabs>
        <w:spacing w:before="239" w:line="280" w:lineRule="auto"/>
        <w:ind w:right="-1"/>
        <w:jc w:val="both"/>
        <w:rPr>
          <w:lang w:val="es-ES"/>
        </w:rPr>
      </w:pPr>
      <w:r w:rsidRPr="00961F52">
        <w:rPr>
          <w:spacing w:val="-4"/>
          <w:lang w:val="es-ES"/>
        </w:rPr>
        <w:t>1.1</w:t>
      </w:r>
      <w:r w:rsidRPr="00961F52">
        <w:rPr>
          <w:lang w:val="es-ES"/>
        </w:rPr>
        <w:t>-</w:t>
      </w:r>
      <w:r w:rsidRPr="00961F52">
        <w:rPr>
          <w:lang w:val="es-ES"/>
        </w:rPr>
        <w:tab/>
        <w:t>Alta carpeta y subcarpeta asociada en un edificio: creación de una carpeta y una subcarpeta y adición de un formulario en formado MS Word.</w:t>
      </w:r>
    </w:p>
    <w:p w14:paraId="205A1B61" w14:textId="3BD9141B" w:rsidR="000F4BA8" w:rsidRDefault="000F4BA8" w:rsidP="000F4BA8">
      <w:pPr>
        <w:pStyle w:val="Textindependent"/>
        <w:tabs>
          <w:tab w:val="left" w:pos="426"/>
          <w:tab w:val="left" w:pos="2149"/>
          <w:tab w:val="left" w:pos="9356"/>
        </w:tabs>
        <w:spacing w:before="234" w:line="280" w:lineRule="auto"/>
        <w:ind w:right="-1"/>
        <w:jc w:val="both"/>
        <w:rPr>
          <w:lang w:val="es-ES"/>
        </w:rPr>
      </w:pPr>
      <w:r w:rsidRPr="00961F52">
        <w:rPr>
          <w:spacing w:val="-4"/>
          <w:lang w:val="es-ES"/>
        </w:rPr>
        <w:t>1.2</w:t>
      </w:r>
      <w:r w:rsidRPr="00961F52">
        <w:rPr>
          <w:lang w:val="es-ES"/>
        </w:rPr>
        <w:t>-</w:t>
      </w:r>
      <w:r w:rsidRPr="00961F52">
        <w:rPr>
          <w:lang w:val="es-ES"/>
        </w:rPr>
        <w:tab/>
        <w:t>Auditoría de cambios: comprobación del registro de cambios del documento con la fecha, hora y usuario.</w:t>
      </w:r>
    </w:p>
    <w:p w14:paraId="203C2E50" w14:textId="77777777" w:rsidR="000F4BA8" w:rsidRPr="00961F52" w:rsidRDefault="000F4BA8" w:rsidP="000F4BA8">
      <w:pPr>
        <w:pStyle w:val="Textindependent"/>
        <w:tabs>
          <w:tab w:val="left" w:pos="426"/>
          <w:tab w:val="left" w:pos="2149"/>
          <w:tab w:val="left" w:pos="9356"/>
        </w:tabs>
        <w:spacing w:line="281" w:lineRule="auto"/>
        <w:jc w:val="both"/>
        <w:rPr>
          <w:lang w:val="es-ES"/>
        </w:rPr>
      </w:pPr>
    </w:p>
    <w:p w14:paraId="7B1C4AE8" w14:textId="77777777" w:rsidR="000F4BA8" w:rsidRPr="00961F52" w:rsidRDefault="000F4BA8" w:rsidP="000F4BA8">
      <w:pPr>
        <w:pStyle w:val="Textindependent"/>
        <w:tabs>
          <w:tab w:val="left" w:pos="9356"/>
        </w:tabs>
        <w:spacing w:before="1" w:line="278" w:lineRule="auto"/>
        <w:ind w:right="-1"/>
        <w:jc w:val="both"/>
        <w:rPr>
          <w:lang w:val="es-ES"/>
        </w:rPr>
      </w:pPr>
      <w:r w:rsidRPr="00961F52">
        <w:rPr>
          <w:lang w:val="es-ES"/>
        </w:rPr>
        <w:t>1.3-  Alta de un servicio de vigilancia: se tendrá que crear un servicio de vigilancia con un horario determinado y la proyección anual de las horas, contemplando los calendarios de festividades correspondientes a la ciudad de Barcelona y se demostrará el control de la herramienta sobre los descansos obligatorios seg</w:t>
      </w:r>
      <w:r>
        <w:rPr>
          <w:lang w:val="es-ES"/>
        </w:rPr>
        <w:t>ún</w:t>
      </w:r>
      <w:r w:rsidRPr="00961F52">
        <w:rPr>
          <w:lang w:val="es-ES"/>
        </w:rPr>
        <w:t xml:space="preserve"> Convenio colectivo estatal de las empresas de seguridad- Código de convenio 99004615011982, de tal forma que no permita la introducción de horarios que incumplan este requerimiento.</w:t>
      </w:r>
    </w:p>
    <w:p w14:paraId="07729BB3" w14:textId="77777777" w:rsidR="000F4BA8" w:rsidRPr="00961F52" w:rsidRDefault="000F4BA8" w:rsidP="000F4BA8">
      <w:pPr>
        <w:pStyle w:val="Textindependent"/>
        <w:tabs>
          <w:tab w:val="left" w:pos="9356"/>
        </w:tabs>
        <w:spacing w:before="237" w:line="278" w:lineRule="auto"/>
        <w:ind w:right="-1"/>
        <w:jc w:val="both"/>
        <w:rPr>
          <w:lang w:val="es-ES"/>
        </w:rPr>
      </w:pPr>
      <w:r w:rsidRPr="00961F52">
        <w:rPr>
          <w:lang w:val="es-ES"/>
        </w:rPr>
        <w:t xml:space="preserve">1.4- Control de seguimiento de servicios y cuadrantes del personal operativo: se realizará un seguimiento de cuadrantes en base en las horas de entrada y salida del personal operativo, el control de la cantidad de horas realizadas sobre las horas programadas. Se mostrará que la aplicación genera avisos en caso de desvíos y se mostrará como se diferencian horas ordinarias respete horas extraordinarias. Se </w:t>
      </w:r>
      <w:r w:rsidRPr="00961F52">
        <w:rPr>
          <w:lang w:val="es-ES"/>
        </w:rPr>
        <w:lastRenderedPageBreak/>
        <w:t xml:space="preserve">simulará la baja de algún usuario con el perfil operativo y como la herramienta conserva su histórico de planificación y </w:t>
      </w:r>
      <w:r w:rsidRPr="00961F52">
        <w:rPr>
          <w:spacing w:val="-2"/>
          <w:lang w:val="es-ES"/>
        </w:rPr>
        <w:t>fichajes</w:t>
      </w:r>
    </w:p>
    <w:p w14:paraId="52CBC76A" w14:textId="77777777" w:rsidR="000F4BA8" w:rsidRPr="00961F52" w:rsidRDefault="000F4BA8" w:rsidP="000F4BA8">
      <w:pPr>
        <w:pStyle w:val="Textindependent"/>
        <w:tabs>
          <w:tab w:val="left" w:pos="9356"/>
        </w:tabs>
        <w:spacing w:before="238" w:line="278" w:lineRule="auto"/>
        <w:ind w:right="-1"/>
        <w:jc w:val="both"/>
        <w:rPr>
          <w:lang w:val="es-ES"/>
        </w:rPr>
      </w:pPr>
      <w:r w:rsidRPr="00961F52">
        <w:rPr>
          <w:lang w:val="es-ES"/>
        </w:rPr>
        <w:t>1.5</w:t>
      </w:r>
      <w:proofErr w:type="gramStart"/>
      <w:r w:rsidRPr="00961F52">
        <w:rPr>
          <w:lang w:val="es-ES"/>
        </w:rPr>
        <w:t>-  Propuesta</w:t>
      </w:r>
      <w:proofErr w:type="gramEnd"/>
      <w:r w:rsidRPr="00961F52">
        <w:rPr>
          <w:lang w:val="es-ES"/>
        </w:rPr>
        <w:t xml:space="preserve"> de un trabajador para incorporar a un servicio: se comprobará el proceso de como una empresa propone un nuevo trabajador a la prestación de un servicio y como la plataforma está habilitada para notificar las incorporaciones al administrador del GPS (gabinete de prevención y seguridad) para proceder a su validación o bloqueo. Se tendrá que realizar la exclusión de un trabajador para la realización de servicios en un edificio de la corporación. Mediante la introducción del nombre, DNI y/o TIP (número de tarjeta de identificación profesional) la aplicación ha de permitir el bloqueo.</w:t>
      </w:r>
    </w:p>
    <w:p w14:paraId="6EAE1FD9" w14:textId="77777777" w:rsidR="000F4BA8" w:rsidRPr="00961F52" w:rsidRDefault="000F4BA8" w:rsidP="000F4BA8">
      <w:pPr>
        <w:pStyle w:val="Textindependent"/>
        <w:tabs>
          <w:tab w:val="left" w:pos="9356"/>
        </w:tabs>
        <w:spacing w:before="235" w:line="278" w:lineRule="auto"/>
        <w:ind w:right="-1"/>
        <w:jc w:val="both"/>
        <w:rPr>
          <w:lang w:val="es-ES"/>
        </w:rPr>
      </w:pPr>
      <w:r w:rsidRPr="00961F52">
        <w:rPr>
          <w:lang w:val="es-ES"/>
        </w:rPr>
        <w:t>1.6</w:t>
      </w:r>
      <w:proofErr w:type="gramStart"/>
      <w:r w:rsidRPr="00961F52">
        <w:rPr>
          <w:lang w:val="es-ES"/>
        </w:rPr>
        <w:t>-  Información</w:t>
      </w:r>
      <w:proofErr w:type="gramEnd"/>
      <w:r w:rsidRPr="00961F52">
        <w:rPr>
          <w:lang w:val="es-ES"/>
        </w:rPr>
        <w:t xml:space="preserve"> de la jornada laboral a los trabajadores: se </w:t>
      </w:r>
      <w:r>
        <w:rPr>
          <w:lang w:val="es-ES"/>
        </w:rPr>
        <w:t>tendrá que</w:t>
      </w:r>
      <w:r w:rsidRPr="00961F52">
        <w:rPr>
          <w:lang w:val="es-ES"/>
        </w:rPr>
        <w:t xml:space="preserve"> demostrar el sistema de acceso y de consulta para los trabajadores y su planificación horaria, a la cual podrá acceder desde cualquier lugar. El trabajador solo podrá ver la suya planificación. La prueba se hará des de PC y desde móvil. Se comprobará el sistema de control de entrega de esta planificación del trabajo al propio trabajador y como se notifica al trabajador un cambio de horario o turno</w:t>
      </w:r>
    </w:p>
    <w:p w14:paraId="4C3D4913" w14:textId="3FC984E2" w:rsidR="000F4BA8" w:rsidRDefault="000F4BA8" w:rsidP="000F4BA8">
      <w:pPr>
        <w:pStyle w:val="Textindependent"/>
        <w:tabs>
          <w:tab w:val="left" w:pos="9356"/>
        </w:tabs>
        <w:spacing w:before="238" w:line="278" w:lineRule="auto"/>
        <w:ind w:right="-1"/>
        <w:jc w:val="both"/>
        <w:rPr>
          <w:lang w:val="es-ES"/>
        </w:rPr>
      </w:pPr>
      <w:r w:rsidRPr="00961F52">
        <w:rPr>
          <w:lang w:val="es-ES"/>
        </w:rPr>
        <w:t>1.7</w:t>
      </w:r>
      <w:proofErr w:type="gramStart"/>
      <w:r w:rsidRPr="00961F52">
        <w:rPr>
          <w:lang w:val="es-ES"/>
        </w:rPr>
        <w:t>-  Centro</w:t>
      </w:r>
      <w:proofErr w:type="gramEnd"/>
      <w:r w:rsidRPr="00961F52">
        <w:rPr>
          <w:lang w:val="es-ES"/>
        </w:rPr>
        <w:t xml:space="preserve"> de control de servicios: se tendrá que mostrar el sistema de marcaje desde un dispositivo móvil y el aviso que generará la aplicación en caso de no cubrir un servicio. La aplicación tendrá que contener una opción en la que un operador desde un centro de control pueda observar la progresión de la cobertura de los servicios en tiempo real y en la que se puedan observar el estado de todos los servicios desde una misma ventana.</w:t>
      </w:r>
    </w:p>
    <w:p w14:paraId="440576F2" w14:textId="77777777" w:rsidR="000F4BA8" w:rsidRPr="00961F52" w:rsidRDefault="000F4BA8" w:rsidP="000F4BA8">
      <w:pPr>
        <w:pStyle w:val="Textindependent"/>
        <w:tabs>
          <w:tab w:val="left" w:pos="9356"/>
        </w:tabs>
        <w:spacing w:line="278" w:lineRule="auto"/>
        <w:jc w:val="both"/>
        <w:rPr>
          <w:lang w:val="es-ES"/>
        </w:rPr>
      </w:pPr>
    </w:p>
    <w:p w14:paraId="66293A83" w14:textId="77777777" w:rsidR="000F4BA8" w:rsidRPr="00961F52" w:rsidRDefault="000F4BA8" w:rsidP="000F4BA8">
      <w:pPr>
        <w:pStyle w:val="Textindependent"/>
        <w:tabs>
          <w:tab w:val="left" w:pos="9356"/>
        </w:tabs>
        <w:spacing w:before="1" w:line="280" w:lineRule="auto"/>
        <w:ind w:right="-1"/>
        <w:jc w:val="both"/>
        <w:rPr>
          <w:lang w:val="es-ES"/>
        </w:rPr>
      </w:pPr>
      <w:r w:rsidRPr="00961F52">
        <w:rPr>
          <w:lang w:val="es-ES"/>
        </w:rPr>
        <w:t>1.8</w:t>
      </w:r>
      <w:proofErr w:type="gramStart"/>
      <w:r w:rsidRPr="00961F52">
        <w:rPr>
          <w:lang w:val="es-ES"/>
        </w:rPr>
        <w:t>-  Programación</w:t>
      </w:r>
      <w:proofErr w:type="gramEnd"/>
      <w:r w:rsidRPr="00961F52">
        <w:rPr>
          <w:lang w:val="es-ES"/>
        </w:rPr>
        <w:t xml:space="preserve"> de rondas: se mostrará como la herramienta permite la programación de las rondas de forma intuitiva por un edificio, asociando </w:t>
      </w:r>
      <w:r>
        <w:rPr>
          <w:lang w:val="es-ES"/>
        </w:rPr>
        <w:t>etiquetes</w:t>
      </w:r>
      <w:r w:rsidRPr="00961F52">
        <w:rPr>
          <w:lang w:val="es-ES"/>
        </w:rPr>
        <w:t xml:space="preserve"> NFC a lugares concretos que se tengan que revisar</w:t>
      </w:r>
    </w:p>
    <w:p w14:paraId="56B6A0E9" w14:textId="77777777" w:rsidR="000F4BA8" w:rsidRPr="00961F52" w:rsidRDefault="000F4BA8" w:rsidP="000F4BA8">
      <w:pPr>
        <w:pStyle w:val="Textindependent"/>
        <w:tabs>
          <w:tab w:val="left" w:pos="9356"/>
        </w:tabs>
        <w:spacing w:before="230" w:line="278" w:lineRule="auto"/>
        <w:ind w:right="-1"/>
        <w:jc w:val="both"/>
        <w:rPr>
          <w:lang w:val="es-ES"/>
        </w:rPr>
      </w:pPr>
      <w:r w:rsidRPr="00961F52">
        <w:rPr>
          <w:lang w:val="es-ES"/>
        </w:rPr>
        <w:t xml:space="preserve">1.9- Iniciar ronda y visualización </w:t>
      </w:r>
      <w:proofErr w:type="gramStart"/>
      <w:r w:rsidRPr="00961F52">
        <w:rPr>
          <w:lang w:val="es-ES"/>
        </w:rPr>
        <w:t>geo-localización</w:t>
      </w:r>
      <w:proofErr w:type="gramEnd"/>
      <w:r w:rsidRPr="00961F52">
        <w:rPr>
          <w:lang w:val="es-ES"/>
        </w:rPr>
        <w:t xml:space="preserve">: iniciar ronda y visualización </w:t>
      </w:r>
      <w:proofErr w:type="gramStart"/>
      <w:r w:rsidRPr="00961F52">
        <w:rPr>
          <w:lang w:val="es-ES"/>
        </w:rPr>
        <w:t>geo-localización</w:t>
      </w:r>
      <w:proofErr w:type="gramEnd"/>
      <w:r w:rsidRPr="00961F52">
        <w:rPr>
          <w:lang w:val="es-ES"/>
        </w:rPr>
        <w:t xml:space="preserve">: se tendrá que mostrar como la APP mujer la posición por geo- posicionamiento del trabajador en cualquier momento y cuando se desplace por las instalaciones con el dispositivo móvil en cobertura. Se tendrá que mostrar como la APP de movilidad tiene que gestionar y comunicar las rondas que se determinen en el servicio, así como ejemplo de una tarea a realizar durante la realización de la ronda. La ronda consiste en el marcaje de varios puntos mediante el dispositivo móvil y la APP, mediante la lectura de puntos con código QR, NFC, etc. La comunicación se ha de poder efectuar con cobertura y sin cobertura (Donde y Off line), es decir cuando en el transcurso de la ronda el dispositivo móvil sobre el que trabaja la APP no tenga cobertura guardará lo registras y cuando vuelva a tener cobertura los </w:t>
      </w:r>
      <w:r w:rsidRPr="00961F52">
        <w:rPr>
          <w:spacing w:val="-2"/>
          <w:lang w:val="es-ES"/>
        </w:rPr>
        <w:t>descargará.</w:t>
      </w:r>
    </w:p>
    <w:p w14:paraId="3747E502" w14:textId="77777777" w:rsidR="000F4BA8" w:rsidRPr="00961F52" w:rsidRDefault="000F4BA8" w:rsidP="000F4BA8">
      <w:pPr>
        <w:pStyle w:val="Textindependent"/>
        <w:tabs>
          <w:tab w:val="left" w:pos="9356"/>
        </w:tabs>
        <w:spacing w:before="237" w:line="278" w:lineRule="auto"/>
        <w:ind w:right="-1"/>
        <w:jc w:val="both"/>
        <w:rPr>
          <w:lang w:val="es-ES"/>
        </w:rPr>
      </w:pPr>
      <w:r w:rsidRPr="00961F52">
        <w:rPr>
          <w:lang w:val="es-ES"/>
        </w:rPr>
        <w:t xml:space="preserve">1.10- Registro de incidencia </w:t>
      </w:r>
      <w:proofErr w:type="gramStart"/>
      <w:r w:rsidRPr="00961F52">
        <w:rPr>
          <w:lang w:val="es-ES"/>
        </w:rPr>
        <w:t>geo-localizada</w:t>
      </w:r>
      <w:proofErr w:type="gramEnd"/>
      <w:r w:rsidRPr="00961F52">
        <w:rPr>
          <w:lang w:val="es-ES"/>
        </w:rPr>
        <w:t xml:space="preserve">: se tendrá que mostrar que la APP de movilidad está integrada bajo una misma herramienta de gestión y control, </w:t>
      </w:r>
      <w:proofErr w:type="gramStart"/>
      <w:r>
        <w:rPr>
          <w:lang w:val="es-ES"/>
        </w:rPr>
        <w:t xml:space="preserve">es </w:t>
      </w:r>
      <w:r w:rsidRPr="00961F52">
        <w:rPr>
          <w:lang w:val="es-ES"/>
        </w:rPr>
        <w:t xml:space="preserve"> decir</w:t>
      </w:r>
      <w:proofErr w:type="gramEnd"/>
      <w:r w:rsidRPr="00961F52">
        <w:rPr>
          <w:lang w:val="es-ES"/>
        </w:rPr>
        <w:t xml:space="preserve"> que está conectada e interrelacionada con la aplicación, a fin de que las incidencias generadas desde el servicio sean tratadas y tramitadas desde los departamentos correspondientes. Por esto se </w:t>
      </w:r>
      <w:r>
        <w:rPr>
          <w:lang w:val="es-ES"/>
        </w:rPr>
        <w:t>tendrá que</w:t>
      </w:r>
      <w:r w:rsidRPr="00961F52">
        <w:rPr>
          <w:lang w:val="es-ES"/>
        </w:rPr>
        <w:t xml:space="preserve"> crear y transmitir una incidencia y </w:t>
      </w:r>
      <w:r>
        <w:rPr>
          <w:lang w:val="es-ES"/>
        </w:rPr>
        <w:t>su</w:t>
      </w:r>
      <w:r w:rsidRPr="00961F52">
        <w:rPr>
          <w:lang w:val="es-ES"/>
        </w:rPr>
        <w:t xml:space="preserve"> </w:t>
      </w:r>
      <w:proofErr w:type="gramStart"/>
      <w:r w:rsidRPr="00961F52">
        <w:rPr>
          <w:lang w:val="es-ES"/>
        </w:rPr>
        <w:t>geo-localización</w:t>
      </w:r>
      <w:proofErr w:type="gramEnd"/>
      <w:r w:rsidRPr="00961F52">
        <w:rPr>
          <w:lang w:val="es-ES"/>
        </w:rPr>
        <w:t xml:space="preserve"> en tiempo real mediante la APP y el dispositivo móvil y se enviará aviso a un número de teléfono predeterminado intermediando SMS y dirección de correo, </w:t>
      </w:r>
      <w:r w:rsidRPr="00961F52">
        <w:rPr>
          <w:lang w:val="es-ES"/>
        </w:rPr>
        <w:lastRenderedPageBreak/>
        <w:t>adjuntando fotos de la incidencia.</w:t>
      </w:r>
    </w:p>
    <w:p w14:paraId="39676378" w14:textId="17AD825F" w:rsidR="000F4BA8" w:rsidRPr="00961F52" w:rsidRDefault="000F4BA8" w:rsidP="000F4BA8">
      <w:pPr>
        <w:pStyle w:val="Textindependent"/>
        <w:tabs>
          <w:tab w:val="left" w:pos="2149"/>
          <w:tab w:val="left" w:pos="9356"/>
        </w:tabs>
        <w:spacing w:before="235"/>
        <w:ind w:right="-1"/>
        <w:jc w:val="both"/>
        <w:rPr>
          <w:lang w:val="es-ES"/>
        </w:rPr>
      </w:pPr>
      <w:r w:rsidRPr="00961F52">
        <w:rPr>
          <w:spacing w:val="-2"/>
          <w:lang w:val="es-ES"/>
        </w:rPr>
        <w:t>1.11</w:t>
      </w:r>
      <w:r w:rsidRPr="00961F52">
        <w:rPr>
          <w:lang w:val="es-ES"/>
        </w:rPr>
        <w:t>-</w:t>
      </w:r>
      <w:r>
        <w:rPr>
          <w:lang w:val="es-ES"/>
        </w:rPr>
        <w:t xml:space="preserve"> </w:t>
      </w:r>
      <w:r w:rsidRPr="00961F52">
        <w:rPr>
          <w:lang w:val="es-ES"/>
        </w:rPr>
        <w:t xml:space="preserve">Alta de una empresa proveedora: se </w:t>
      </w:r>
      <w:r>
        <w:rPr>
          <w:lang w:val="es-ES"/>
        </w:rPr>
        <w:t>tendrá que</w:t>
      </w:r>
      <w:r w:rsidRPr="00961F52">
        <w:rPr>
          <w:lang w:val="es-ES"/>
        </w:rPr>
        <w:t xml:space="preserve"> dar de alta a la </w:t>
      </w:r>
      <w:r w:rsidRPr="00961F52">
        <w:rPr>
          <w:spacing w:val="-2"/>
          <w:lang w:val="es-ES"/>
        </w:rPr>
        <w:t>plataforma</w:t>
      </w:r>
      <w:r>
        <w:rPr>
          <w:spacing w:val="-2"/>
          <w:lang w:val="es-ES"/>
        </w:rPr>
        <w:t xml:space="preserve"> </w:t>
      </w:r>
      <w:r w:rsidRPr="00961F52">
        <w:rPr>
          <w:lang w:val="es-ES"/>
        </w:rPr>
        <w:t xml:space="preserve">una empresa, un contrato y un servicio en un periodo </w:t>
      </w:r>
      <w:r w:rsidRPr="00961F52">
        <w:rPr>
          <w:spacing w:val="-2"/>
          <w:lang w:val="es-ES"/>
        </w:rPr>
        <w:t>concreto</w:t>
      </w:r>
    </w:p>
    <w:p w14:paraId="4E5FC371" w14:textId="77777777" w:rsidR="000F4BA8" w:rsidRPr="00961F52" w:rsidRDefault="000F4BA8" w:rsidP="000F4BA8">
      <w:pPr>
        <w:pStyle w:val="Textindependent"/>
        <w:tabs>
          <w:tab w:val="left" w:pos="9356"/>
        </w:tabs>
        <w:spacing w:before="24"/>
        <w:ind w:right="-1"/>
        <w:jc w:val="both"/>
        <w:rPr>
          <w:lang w:val="es-ES"/>
        </w:rPr>
      </w:pPr>
    </w:p>
    <w:p w14:paraId="4AD99F84" w14:textId="77777777" w:rsidR="000F4BA8" w:rsidRPr="00961F52" w:rsidRDefault="000F4BA8" w:rsidP="000F4BA8">
      <w:pPr>
        <w:pStyle w:val="Textindependent"/>
        <w:tabs>
          <w:tab w:val="left" w:pos="9356"/>
        </w:tabs>
        <w:spacing w:line="278" w:lineRule="auto"/>
        <w:ind w:right="-1"/>
        <w:jc w:val="both"/>
        <w:rPr>
          <w:lang w:val="es-ES"/>
        </w:rPr>
      </w:pPr>
      <w:r w:rsidRPr="00961F52">
        <w:rPr>
          <w:lang w:val="es-ES"/>
        </w:rPr>
        <w:t>1.12- Cambio de empresa y acceso al histórico: Se simulará el cambio de empresa contratista de servicios de vigilancia con la consecuente subrogación del personal, se mostrará como el módulo permite acceder al histórico con los datos del personal asociadas a los datos de cada contratista</w:t>
      </w:r>
    </w:p>
    <w:p w14:paraId="19C96026" w14:textId="4BED6400" w:rsidR="000F4BA8" w:rsidRPr="00961F52" w:rsidRDefault="000F4BA8" w:rsidP="000F4BA8">
      <w:pPr>
        <w:pStyle w:val="Pargrafdellista"/>
        <w:numPr>
          <w:ilvl w:val="1"/>
          <w:numId w:val="1"/>
        </w:numPr>
        <w:tabs>
          <w:tab w:val="left" w:pos="284"/>
          <w:tab w:val="left" w:leader="dot" w:pos="7807"/>
          <w:tab w:val="left" w:pos="9356"/>
        </w:tabs>
        <w:spacing w:before="240"/>
        <w:ind w:left="0" w:right="-1" w:firstLine="0"/>
        <w:contextualSpacing w:val="0"/>
        <w:rPr>
          <w:lang w:val="es-ES"/>
        </w:rPr>
      </w:pPr>
      <w:r w:rsidRPr="00961F52">
        <w:rPr>
          <w:spacing w:val="-2"/>
          <w:lang w:val="es-ES"/>
        </w:rPr>
        <w:t>Funcionalidades asociadas a los servicios de mantenimiento</w:t>
      </w:r>
      <w:proofErr w:type="gramStart"/>
      <w:r>
        <w:rPr>
          <w:lang w:val="es-ES"/>
        </w:rPr>
        <w:t>…….</w:t>
      </w:r>
      <w:proofErr w:type="gramEnd"/>
      <w:r>
        <w:rPr>
          <w:lang w:val="es-ES"/>
        </w:rPr>
        <w:t>.…</w:t>
      </w:r>
      <w:r w:rsidRPr="00961F52">
        <w:rPr>
          <w:lang w:val="es-ES"/>
        </w:rPr>
        <w:t xml:space="preserve">hasta 18 </w:t>
      </w:r>
      <w:r w:rsidRPr="00961F52">
        <w:rPr>
          <w:spacing w:val="-2"/>
          <w:lang w:val="es-ES"/>
        </w:rPr>
        <w:t>puntos</w:t>
      </w:r>
    </w:p>
    <w:p w14:paraId="39C5EA0A" w14:textId="794D48B2" w:rsidR="000F4BA8" w:rsidRPr="00961F52" w:rsidRDefault="000F4BA8" w:rsidP="000F4BA8">
      <w:pPr>
        <w:pStyle w:val="Textindependent"/>
        <w:tabs>
          <w:tab w:val="left" w:pos="9356"/>
        </w:tabs>
        <w:spacing w:before="199" w:line="252" w:lineRule="exact"/>
        <w:ind w:right="-1"/>
        <w:jc w:val="both"/>
        <w:rPr>
          <w:lang w:val="es-ES"/>
        </w:rPr>
      </w:pPr>
      <w:r w:rsidRPr="00961F52">
        <w:rPr>
          <w:lang w:val="es-ES"/>
        </w:rPr>
        <w:t xml:space="preserve">Se valorará la ergonomía, facilidad y agilidad en la operativa de cada una de </w:t>
      </w:r>
      <w:r w:rsidRPr="00961F52">
        <w:rPr>
          <w:spacing w:val="-5"/>
          <w:lang w:val="es-ES"/>
        </w:rPr>
        <w:t>las</w:t>
      </w:r>
      <w:r>
        <w:rPr>
          <w:spacing w:val="-5"/>
          <w:lang w:val="es-ES"/>
        </w:rPr>
        <w:t xml:space="preserve"> </w:t>
      </w:r>
      <w:r w:rsidRPr="00961F52">
        <w:rPr>
          <w:lang w:val="es-ES"/>
        </w:rPr>
        <w:t>funcionalidades, entre 0 y 2 puntos por a cada subcriteri</w:t>
      </w:r>
      <w:r>
        <w:rPr>
          <w:lang w:val="es-ES"/>
        </w:rPr>
        <w:t>o.</w:t>
      </w:r>
    </w:p>
    <w:p w14:paraId="78B05EFE" w14:textId="77777777" w:rsidR="000F4BA8" w:rsidRPr="00961F52" w:rsidRDefault="000F4BA8" w:rsidP="000F4BA8">
      <w:pPr>
        <w:pStyle w:val="Textindependent"/>
        <w:tabs>
          <w:tab w:val="left" w:pos="9356"/>
        </w:tabs>
        <w:spacing w:before="241" w:line="278" w:lineRule="auto"/>
        <w:ind w:right="-1"/>
        <w:jc w:val="both"/>
        <w:rPr>
          <w:lang w:val="es-ES"/>
        </w:rPr>
      </w:pPr>
      <w:r w:rsidRPr="00961F52">
        <w:rPr>
          <w:lang w:val="es-ES"/>
        </w:rPr>
        <w:t>2.1</w:t>
      </w:r>
      <w:proofErr w:type="gramStart"/>
      <w:r w:rsidRPr="00961F52">
        <w:rPr>
          <w:lang w:val="es-ES"/>
        </w:rPr>
        <w:t>-  Alta</w:t>
      </w:r>
      <w:proofErr w:type="gramEnd"/>
      <w:r w:rsidRPr="00961F52">
        <w:rPr>
          <w:lang w:val="es-ES"/>
        </w:rPr>
        <w:t xml:space="preserve"> de un sistema de seguridad con </w:t>
      </w:r>
      <w:r>
        <w:rPr>
          <w:lang w:val="es-ES"/>
        </w:rPr>
        <w:t>sus</w:t>
      </w:r>
      <w:r w:rsidRPr="00961F52">
        <w:rPr>
          <w:lang w:val="es-ES"/>
        </w:rPr>
        <w:t xml:space="preserve"> elementos: se </w:t>
      </w:r>
      <w:r>
        <w:rPr>
          <w:lang w:val="es-ES"/>
        </w:rPr>
        <w:t>tendrá que</w:t>
      </w:r>
      <w:r w:rsidRPr="00961F52">
        <w:rPr>
          <w:lang w:val="es-ES"/>
        </w:rPr>
        <w:t xml:space="preserve"> dar de alta una dependencia de prueba con los datos de localización, nombre de</w:t>
      </w:r>
      <w:r>
        <w:rPr>
          <w:lang w:val="es-ES"/>
        </w:rPr>
        <w:t xml:space="preserve"> d</w:t>
      </w:r>
      <w:r w:rsidRPr="00961F52">
        <w:rPr>
          <w:lang w:val="es-ES"/>
        </w:rPr>
        <w:t xml:space="preserve">ependencia, planos, </w:t>
      </w:r>
      <w:proofErr w:type="gramStart"/>
      <w:r w:rsidRPr="00961F52">
        <w:rPr>
          <w:lang w:val="es-ES"/>
        </w:rPr>
        <w:t>etc..</w:t>
      </w:r>
      <w:proofErr w:type="gramEnd"/>
      <w:r w:rsidRPr="00961F52">
        <w:rPr>
          <w:lang w:val="es-ES"/>
        </w:rPr>
        <w:t xml:space="preserve"> Se </w:t>
      </w:r>
      <w:r>
        <w:rPr>
          <w:lang w:val="es-ES"/>
        </w:rPr>
        <w:t xml:space="preserve">tendrá que </w:t>
      </w:r>
      <w:r w:rsidRPr="00961F52">
        <w:rPr>
          <w:lang w:val="es-ES"/>
        </w:rPr>
        <w:t>dar de alta un sistema de intrusión y un sistema de videovigilancia. A cada sistema se tendrá que dar de alta dos tipos de elementos (ej. Central de intrusión, volumétrico, video registrador, cámara) Se tendrá que llenar la información de cada elemento. Marca, modelo, ubicación, etc.</w:t>
      </w:r>
    </w:p>
    <w:p w14:paraId="21391C8E" w14:textId="77777777" w:rsidR="000F4BA8" w:rsidRPr="00961F52" w:rsidRDefault="000F4BA8" w:rsidP="000F4BA8">
      <w:pPr>
        <w:pStyle w:val="Textindependent"/>
        <w:tabs>
          <w:tab w:val="left" w:pos="9356"/>
        </w:tabs>
        <w:spacing w:before="239" w:line="278" w:lineRule="auto"/>
        <w:ind w:right="-1"/>
        <w:jc w:val="both"/>
        <w:rPr>
          <w:lang w:val="es-ES"/>
        </w:rPr>
      </w:pPr>
      <w:r w:rsidRPr="00961F52">
        <w:rPr>
          <w:lang w:val="es-ES"/>
        </w:rPr>
        <w:t xml:space="preserve">2.2- Alta del servicio de mantenimiento de sistemas, especificando periodicidad revisiones y tareas de reparación y sustitución: sobre la instalación de prueba se tendrá que generar un contrato de mantenimiento y asignar los dos sistemas de seguridad. Sobre la instalación de prueba se </w:t>
      </w:r>
      <w:r>
        <w:rPr>
          <w:lang w:val="es-ES"/>
        </w:rPr>
        <w:t>tendrá que</w:t>
      </w:r>
      <w:r w:rsidRPr="00961F52">
        <w:rPr>
          <w:lang w:val="es-ES"/>
        </w:rPr>
        <w:t xml:space="preserve"> asignar tareas de mantenimiento de cada sistema de seguridad y tareas específicas por cada elemento. Se tendrá que introducir una gamma de revisiones por cada sistema de seguridad</w:t>
      </w:r>
    </w:p>
    <w:p w14:paraId="270924D1" w14:textId="77777777" w:rsidR="000F4BA8" w:rsidRPr="00961F52" w:rsidRDefault="000F4BA8" w:rsidP="000F4BA8">
      <w:pPr>
        <w:pStyle w:val="Textindependent"/>
        <w:tabs>
          <w:tab w:val="left" w:pos="9356"/>
        </w:tabs>
        <w:spacing w:before="236" w:line="280" w:lineRule="auto"/>
        <w:ind w:right="-1"/>
        <w:jc w:val="both"/>
        <w:rPr>
          <w:lang w:val="es-ES"/>
        </w:rPr>
      </w:pPr>
      <w:r w:rsidRPr="00961F52">
        <w:rPr>
          <w:lang w:val="es-ES"/>
        </w:rPr>
        <w:t>2.3- Alta de una empresa proveedora: se tendrá que dar de alta una empresa mantenedora y se le tendrá que asignar al técnico de mantenimiento y en el contrato de mantenimiento dado de alta.</w:t>
      </w:r>
    </w:p>
    <w:p w14:paraId="24D6265E" w14:textId="77777777" w:rsidR="000F4BA8" w:rsidRPr="00961F52" w:rsidRDefault="000F4BA8" w:rsidP="000F4BA8">
      <w:pPr>
        <w:pStyle w:val="Textindependent"/>
        <w:tabs>
          <w:tab w:val="left" w:pos="9356"/>
        </w:tabs>
        <w:spacing w:before="233" w:line="278" w:lineRule="auto"/>
        <w:ind w:right="-1"/>
        <w:jc w:val="both"/>
        <w:rPr>
          <w:lang w:val="es-ES"/>
        </w:rPr>
      </w:pPr>
      <w:r w:rsidRPr="00961F52">
        <w:rPr>
          <w:lang w:val="es-ES"/>
        </w:rPr>
        <w:t>2.4- Realización de un mantenimiento: se tendrá que simular un mantenimiento Se tendrá que mostrar la visión de este mantenimiento después de acabar con todas las observaciones realizadas por el técnico. Por la realización de esta prueba se tendrá que mostrar tanto desde la aplicación por ordenador como por la aplicación móvil</w:t>
      </w:r>
    </w:p>
    <w:p w14:paraId="468A9FB7" w14:textId="77777777" w:rsidR="000F4BA8" w:rsidRPr="00961F52" w:rsidRDefault="000F4BA8" w:rsidP="000F4BA8">
      <w:pPr>
        <w:pStyle w:val="Textindependent"/>
        <w:tabs>
          <w:tab w:val="left" w:pos="9356"/>
        </w:tabs>
        <w:spacing w:before="237" w:line="280" w:lineRule="auto"/>
        <w:ind w:right="-1"/>
        <w:jc w:val="both"/>
        <w:rPr>
          <w:lang w:val="es-ES"/>
        </w:rPr>
      </w:pPr>
      <w:r w:rsidRPr="00961F52">
        <w:rPr>
          <w:lang w:val="es-ES"/>
        </w:rPr>
        <w:t>2.5- Registro incidencia técnica: se tendrá que grabar una incidencia técnica sobre uno de los elementos dados de alta</w:t>
      </w:r>
    </w:p>
    <w:p w14:paraId="4F1E18D4" w14:textId="77777777" w:rsidR="000F4BA8" w:rsidRPr="00961F52" w:rsidRDefault="000F4BA8" w:rsidP="000F4BA8">
      <w:pPr>
        <w:pStyle w:val="Textindependent"/>
        <w:tabs>
          <w:tab w:val="left" w:pos="9356"/>
        </w:tabs>
        <w:spacing w:before="233" w:line="280" w:lineRule="auto"/>
        <w:ind w:right="-1"/>
        <w:jc w:val="both"/>
        <w:rPr>
          <w:lang w:val="es-ES"/>
        </w:rPr>
      </w:pPr>
      <w:r w:rsidRPr="00961F52">
        <w:rPr>
          <w:lang w:val="es-ES"/>
        </w:rPr>
        <w:t>2.6- Asignación personal operativo a la resolución de incidencias: se tendrá que mostrar la asignación de un técnico a la incidencia técnica por parte de la empresa mantenedora</w:t>
      </w:r>
    </w:p>
    <w:p w14:paraId="50AB65B1" w14:textId="77777777" w:rsidR="000F4BA8" w:rsidRPr="00961F52" w:rsidRDefault="000F4BA8" w:rsidP="000F4BA8">
      <w:pPr>
        <w:pStyle w:val="Textindependent"/>
        <w:tabs>
          <w:tab w:val="left" w:pos="9356"/>
        </w:tabs>
        <w:spacing w:before="233" w:line="278" w:lineRule="auto"/>
        <w:ind w:right="-1"/>
        <w:jc w:val="both"/>
        <w:rPr>
          <w:lang w:val="es-ES"/>
        </w:rPr>
      </w:pPr>
      <w:r w:rsidRPr="00961F52">
        <w:rPr>
          <w:lang w:val="es-ES"/>
        </w:rPr>
        <w:t>2.7- Reposición equipo e imputación de costes: se tendrá que simular una actuación correctiva que implique la sustitución de un elemento. Se tendrá que actualizar el inventario de la instalación con el elemento sustituido</w:t>
      </w:r>
    </w:p>
    <w:p w14:paraId="5A69079F" w14:textId="77777777" w:rsidR="000F4BA8" w:rsidRPr="00961F52" w:rsidRDefault="000F4BA8" w:rsidP="000F4BA8">
      <w:pPr>
        <w:pStyle w:val="Textindependent"/>
        <w:tabs>
          <w:tab w:val="left" w:pos="9356"/>
        </w:tabs>
        <w:spacing w:before="238" w:line="280" w:lineRule="auto"/>
        <w:ind w:right="-1"/>
        <w:jc w:val="both"/>
        <w:rPr>
          <w:lang w:val="es-ES"/>
        </w:rPr>
      </w:pPr>
      <w:r w:rsidRPr="00961F52">
        <w:rPr>
          <w:lang w:val="es-ES"/>
        </w:rPr>
        <w:t>2.8- Revisión de la reposición del equipo: el supervisor tendrá que visualizar el resultado de un mantenimiento y los costes imputados</w:t>
      </w:r>
    </w:p>
    <w:p w14:paraId="0A56542E" w14:textId="77777777" w:rsidR="000F4BA8" w:rsidRPr="00961F52" w:rsidRDefault="000F4BA8" w:rsidP="000F4BA8">
      <w:pPr>
        <w:pStyle w:val="Textindependent"/>
        <w:tabs>
          <w:tab w:val="left" w:pos="9356"/>
        </w:tabs>
        <w:spacing w:before="234" w:line="278" w:lineRule="auto"/>
        <w:ind w:right="-1"/>
        <w:jc w:val="both"/>
        <w:rPr>
          <w:lang w:val="es-ES"/>
        </w:rPr>
      </w:pPr>
      <w:r w:rsidRPr="00961F52">
        <w:rPr>
          <w:lang w:val="es-ES"/>
        </w:rPr>
        <w:lastRenderedPageBreak/>
        <w:t xml:space="preserve">2.9- Alta del perfil de técnico de mantenimiento indicando formación requerida: se tendrá que dar de alta un técnico mantenedor, </w:t>
      </w:r>
      <w:r>
        <w:rPr>
          <w:lang w:val="es-ES"/>
        </w:rPr>
        <w:t>re</w:t>
      </w:r>
      <w:r w:rsidRPr="00961F52">
        <w:rPr>
          <w:lang w:val="es-ES"/>
        </w:rPr>
        <w:t xml:space="preserve">llenar los datos de este técnico y colgar documentos de prueba que simulen </w:t>
      </w:r>
      <w:r>
        <w:rPr>
          <w:lang w:val="es-ES"/>
        </w:rPr>
        <w:t>su</w:t>
      </w:r>
      <w:r w:rsidRPr="00961F52">
        <w:rPr>
          <w:lang w:val="es-ES"/>
        </w:rPr>
        <w:t xml:space="preserve"> formación y los</w:t>
      </w:r>
      <w:r>
        <w:rPr>
          <w:lang w:val="es-ES"/>
        </w:rPr>
        <w:t xml:space="preserve"> c</w:t>
      </w:r>
      <w:r w:rsidRPr="00961F52">
        <w:rPr>
          <w:lang w:val="es-ES"/>
        </w:rPr>
        <w:t xml:space="preserve">ertificados diversos. Se </w:t>
      </w:r>
      <w:r>
        <w:rPr>
          <w:lang w:val="es-ES"/>
        </w:rPr>
        <w:t>tendrá que</w:t>
      </w:r>
      <w:r w:rsidRPr="00961F52">
        <w:rPr>
          <w:lang w:val="es-ES"/>
        </w:rPr>
        <w:t xml:space="preserve"> poder indicar la caducidad </w:t>
      </w:r>
      <w:r w:rsidRPr="00961F52">
        <w:rPr>
          <w:spacing w:val="-2"/>
          <w:lang w:val="es-ES"/>
        </w:rPr>
        <w:t>de estos</w:t>
      </w:r>
      <w:r>
        <w:rPr>
          <w:spacing w:val="-2"/>
          <w:lang w:val="es-ES"/>
        </w:rPr>
        <w:t xml:space="preserve"> </w:t>
      </w:r>
      <w:r w:rsidRPr="00961F52">
        <w:rPr>
          <w:spacing w:val="-2"/>
          <w:lang w:val="es-ES"/>
        </w:rPr>
        <w:t>documentos.</w:t>
      </w:r>
    </w:p>
    <w:p w14:paraId="2CE80E07" w14:textId="77777777" w:rsidR="000F4BA8" w:rsidRPr="00961F52" w:rsidRDefault="000F4BA8" w:rsidP="000F4BA8">
      <w:pPr>
        <w:pStyle w:val="Textindependent"/>
        <w:spacing w:before="24"/>
        <w:ind w:right="-1"/>
        <w:rPr>
          <w:lang w:val="es-ES"/>
        </w:rPr>
      </w:pPr>
    </w:p>
    <w:p w14:paraId="7BD6A454" w14:textId="77777777" w:rsidR="00F62634" w:rsidRDefault="00F62634" w:rsidP="000F4BA8">
      <w:pPr>
        <w:ind w:right="-1"/>
      </w:pPr>
    </w:p>
    <w:sectPr w:rsidR="00F626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23845"/>
    <w:multiLevelType w:val="hybridMultilevel"/>
    <w:tmpl w:val="E8DA8554"/>
    <w:lvl w:ilvl="0" w:tplc="46D6CF98">
      <w:numFmt w:val="bullet"/>
      <w:lvlText w:val=""/>
      <w:lvlJc w:val="left"/>
      <w:pPr>
        <w:ind w:left="993" w:hanging="360"/>
      </w:pPr>
      <w:rPr>
        <w:rFonts w:ascii="Symbol" w:eastAsia="Symbol" w:hAnsi="Symbol" w:cs="Symbol" w:hint="default"/>
        <w:b w:val="0"/>
        <w:bCs w:val="0"/>
        <w:i w:val="0"/>
        <w:iCs w:val="0"/>
        <w:spacing w:val="0"/>
        <w:w w:val="100"/>
        <w:sz w:val="22"/>
        <w:szCs w:val="22"/>
        <w:lang w:val="ca-ES" w:eastAsia="en-US" w:bidi="ar-SA"/>
      </w:rPr>
    </w:lvl>
    <w:lvl w:ilvl="1" w:tplc="B15E08D0">
      <w:start w:val="1"/>
      <w:numFmt w:val="decimal"/>
      <w:lvlText w:val="%2-"/>
      <w:lvlJc w:val="left"/>
      <w:pPr>
        <w:ind w:left="1430" w:hanging="360"/>
      </w:pPr>
      <w:rPr>
        <w:rFonts w:ascii="Arial MT" w:eastAsia="Arial MT" w:hAnsi="Arial MT" w:cs="Arial MT" w:hint="default"/>
        <w:b w:val="0"/>
        <w:bCs w:val="0"/>
        <w:i w:val="0"/>
        <w:iCs w:val="0"/>
        <w:spacing w:val="-1"/>
        <w:w w:val="100"/>
        <w:sz w:val="22"/>
        <w:szCs w:val="22"/>
        <w:lang w:val="ca-ES" w:eastAsia="en-US" w:bidi="ar-SA"/>
      </w:rPr>
    </w:lvl>
    <w:lvl w:ilvl="2" w:tplc="8BD4DCCA">
      <w:numFmt w:val="bullet"/>
      <w:lvlText w:val="•"/>
      <w:lvlJc w:val="left"/>
      <w:pPr>
        <w:ind w:left="2429" w:hanging="360"/>
      </w:pPr>
      <w:rPr>
        <w:rFonts w:hint="default"/>
        <w:lang w:val="ca-ES" w:eastAsia="en-US" w:bidi="ar-SA"/>
      </w:rPr>
    </w:lvl>
    <w:lvl w:ilvl="3" w:tplc="D5DCD6AC">
      <w:numFmt w:val="bullet"/>
      <w:lvlText w:val="•"/>
      <w:lvlJc w:val="left"/>
      <w:pPr>
        <w:ind w:left="3419" w:hanging="360"/>
      </w:pPr>
      <w:rPr>
        <w:rFonts w:hint="default"/>
        <w:lang w:val="ca-ES" w:eastAsia="en-US" w:bidi="ar-SA"/>
      </w:rPr>
    </w:lvl>
    <w:lvl w:ilvl="4" w:tplc="252ECDF4">
      <w:numFmt w:val="bullet"/>
      <w:lvlText w:val="•"/>
      <w:lvlJc w:val="left"/>
      <w:pPr>
        <w:ind w:left="4409" w:hanging="360"/>
      </w:pPr>
      <w:rPr>
        <w:rFonts w:hint="default"/>
        <w:lang w:val="ca-ES" w:eastAsia="en-US" w:bidi="ar-SA"/>
      </w:rPr>
    </w:lvl>
    <w:lvl w:ilvl="5" w:tplc="846A362A">
      <w:numFmt w:val="bullet"/>
      <w:lvlText w:val="•"/>
      <w:lvlJc w:val="left"/>
      <w:pPr>
        <w:ind w:left="5399" w:hanging="360"/>
      </w:pPr>
      <w:rPr>
        <w:rFonts w:hint="default"/>
        <w:lang w:val="ca-ES" w:eastAsia="en-US" w:bidi="ar-SA"/>
      </w:rPr>
    </w:lvl>
    <w:lvl w:ilvl="6" w:tplc="49E07988">
      <w:numFmt w:val="bullet"/>
      <w:lvlText w:val="•"/>
      <w:lvlJc w:val="left"/>
      <w:pPr>
        <w:ind w:left="6389" w:hanging="360"/>
      </w:pPr>
      <w:rPr>
        <w:rFonts w:hint="default"/>
        <w:lang w:val="ca-ES" w:eastAsia="en-US" w:bidi="ar-SA"/>
      </w:rPr>
    </w:lvl>
    <w:lvl w:ilvl="7" w:tplc="CE4E34B4">
      <w:numFmt w:val="bullet"/>
      <w:lvlText w:val="•"/>
      <w:lvlJc w:val="left"/>
      <w:pPr>
        <w:ind w:left="7378" w:hanging="360"/>
      </w:pPr>
      <w:rPr>
        <w:rFonts w:hint="default"/>
        <w:lang w:val="ca-ES" w:eastAsia="en-US" w:bidi="ar-SA"/>
      </w:rPr>
    </w:lvl>
    <w:lvl w:ilvl="8" w:tplc="3600166E">
      <w:numFmt w:val="bullet"/>
      <w:lvlText w:val="•"/>
      <w:lvlJc w:val="left"/>
      <w:pPr>
        <w:ind w:left="8368" w:hanging="360"/>
      </w:pPr>
      <w:rPr>
        <w:rFonts w:hint="default"/>
        <w:lang w:val="ca-ES" w:eastAsia="en-US" w:bidi="ar-SA"/>
      </w:rPr>
    </w:lvl>
  </w:abstractNum>
  <w:num w:numId="1" w16cid:durableId="189503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A8"/>
    <w:rsid w:val="000F4BA8"/>
    <w:rsid w:val="005F0DB4"/>
    <w:rsid w:val="00A95A97"/>
    <w:rsid w:val="00F626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C435"/>
  <w15:chartTrackingRefBased/>
  <w15:docId w15:val="{0872312C-02F0-4A48-B965-1A3886E8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A8"/>
    <w:pPr>
      <w:widowControl w:val="0"/>
      <w:autoSpaceDE w:val="0"/>
      <w:autoSpaceDN w:val="0"/>
      <w:spacing w:after="0" w:line="240" w:lineRule="auto"/>
    </w:pPr>
    <w:rPr>
      <w:rFonts w:ascii="Arial MT" w:eastAsia="Arial MT" w:hAnsi="Arial MT" w:cs="Arial MT"/>
      <w:kern w:val="0"/>
      <w14:ligatures w14:val="none"/>
    </w:rPr>
  </w:style>
  <w:style w:type="paragraph" w:styleId="Ttol1">
    <w:name w:val="heading 1"/>
    <w:basedOn w:val="Normal"/>
    <w:next w:val="Normal"/>
    <w:link w:val="Ttol1Car"/>
    <w:uiPriority w:val="9"/>
    <w:qFormat/>
    <w:rsid w:val="000F4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0F4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F4BA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F4BA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F4BA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F4BA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F4BA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F4BA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F4BA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F4BA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0F4BA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0F4BA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0F4BA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0F4BA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0F4BA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F4BA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F4BA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F4BA8"/>
    <w:rPr>
      <w:rFonts w:eastAsiaTheme="majorEastAsia" w:cstheme="majorBidi"/>
      <w:color w:val="272727" w:themeColor="text1" w:themeTint="D8"/>
    </w:rPr>
  </w:style>
  <w:style w:type="paragraph" w:styleId="Ttol">
    <w:name w:val="Title"/>
    <w:basedOn w:val="Normal"/>
    <w:next w:val="Normal"/>
    <w:link w:val="TtolCar"/>
    <w:uiPriority w:val="10"/>
    <w:qFormat/>
    <w:rsid w:val="000F4BA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F4BA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F4BA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F4B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4BA8"/>
    <w:pPr>
      <w:spacing w:before="160"/>
      <w:jc w:val="center"/>
    </w:pPr>
    <w:rPr>
      <w:i/>
      <w:iCs/>
      <w:color w:val="404040" w:themeColor="text1" w:themeTint="BF"/>
    </w:rPr>
  </w:style>
  <w:style w:type="character" w:customStyle="1" w:styleId="CitaCar">
    <w:name w:val="Cita Car"/>
    <w:basedOn w:val="Lletraperdefectedelpargraf"/>
    <w:link w:val="Cita"/>
    <w:uiPriority w:val="29"/>
    <w:rsid w:val="000F4BA8"/>
    <w:rPr>
      <w:i/>
      <w:iCs/>
      <w:color w:val="404040" w:themeColor="text1" w:themeTint="BF"/>
    </w:rPr>
  </w:style>
  <w:style w:type="paragraph" w:styleId="Pargrafdellista">
    <w:name w:val="List Paragraph"/>
    <w:basedOn w:val="Normal"/>
    <w:uiPriority w:val="1"/>
    <w:qFormat/>
    <w:rsid w:val="000F4BA8"/>
    <w:pPr>
      <w:ind w:left="720"/>
      <w:contextualSpacing/>
    </w:pPr>
  </w:style>
  <w:style w:type="character" w:styleId="mfasiintens">
    <w:name w:val="Intense Emphasis"/>
    <w:basedOn w:val="Lletraperdefectedelpargraf"/>
    <w:uiPriority w:val="21"/>
    <w:qFormat/>
    <w:rsid w:val="000F4BA8"/>
    <w:rPr>
      <w:i/>
      <w:iCs/>
      <w:color w:val="0F4761" w:themeColor="accent1" w:themeShade="BF"/>
    </w:rPr>
  </w:style>
  <w:style w:type="paragraph" w:styleId="Citaintensa">
    <w:name w:val="Intense Quote"/>
    <w:basedOn w:val="Normal"/>
    <w:next w:val="Normal"/>
    <w:link w:val="CitaintensaCar"/>
    <w:uiPriority w:val="30"/>
    <w:qFormat/>
    <w:rsid w:val="000F4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F4BA8"/>
    <w:rPr>
      <w:i/>
      <w:iCs/>
      <w:color w:val="0F4761" w:themeColor="accent1" w:themeShade="BF"/>
    </w:rPr>
  </w:style>
  <w:style w:type="character" w:styleId="Refernciaintensa">
    <w:name w:val="Intense Reference"/>
    <w:basedOn w:val="Lletraperdefectedelpargraf"/>
    <w:uiPriority w:val="32"/>
    <w:qFormat/>
    <w:rsid w:val="000F4BA8"/>
    <w:rPr>
      <w:b/>
      <w:bCs/>
      <w:smallCaps/>
      <w:color w:val="0F4761" w:themeColor="accent1" w:themeShade="BF"/>
      <w:spacing w:val="5"/>
    </w:rPr>
  </w:style>
  <w:style w:type="paragraph" w:styleId="Textindependent">
    <w:name w:val="Body Text"/>
    <w:basedOn w:val="Normal"/>
    <w:link w:val="TextindependentCar"/>
    <w:uiPriority w:val="1"/>
    <w:qFormat/>
    <w:rsid w:val="000F4BA8"/>
  </w:style>
  <w:style w:type="character" w:customStyle="1" w:styleId="TextindependentCar">
    <w:name w:val="Text independent Car"/>
    <w:basedOn w:val="Lletraperdefectedelpargraf"/>
    <w:link w:val="Textindependent"/>
    <w:uiPriority w:val="1"/>
    <w:rsid w:val="000F4BA8"/>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SUAREZ, MARIA</dc:creator>
  <cp:keywords/>
  <dc:description/>
  <cp:lastModifiedBy>SOTO SUAREZ, MARIA</cp:lastModifiedBy>
  <cp:revision>1</cp:revision>
  <dcterms:created xsi:type="dcterms:W3CDTF">2025-08-14T10:23:00Z</dcterms:created>
  <dcterms:modified xsi:type="dcterms:W3CDTF">2025-08-14T10:31:00Z</dcterms:modified>
</cp:coreProperties>
</file>