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B4E1" w14:textId="06CB8864" w:rsidR="00072C41" w:rsidRDefault="00072C41" w:rsidP="00F6590B"/>
    <w:p w14:paraId="7B069F71" w14:textId="77777777" w:rsidR="00F6590B" w:rsidRPr="00F6590B" w:rsidRDefault="00F6590B" w:rsidP="00F6590B">
      <w:pPr>
        <w:keepNext/>
        <w:contextualSpacing w:val="0"/>
        <w:jc w:val="center"/>
        <w:outlineLvl w:val="0"/>
        <w:rPr>
          <w:rFonts w:eastAsia="Times New Roman" w:cs="Arial"/>
          <w:lang w:eastAsia="es-ES"/>
        </w:rPr>
      </w:pPr>
      <w:bookmarkStart w:id="0" w:name="_Toc202441017"/>
      <w:r w:rsidRPr="00F6590B">
        <w:rPr>
          <w:rFonts w:eastAsia="Times New Roman" w:cs="Arial"/>
          <w:b/>
          <w:bCs/>
          <w:u w:val="single"/>
          <w:lang w:eastAsia="es-ES"/>
        </w:rPr>
        <w:t>Annex 3. Model de proposició avaluable criteris automàtics (Lot 1)</w:t>
      </w:r>
      <w:bookmarkEnd w:id="0"/>
    </w:p>
    <w:p w14:paraId="481FA344" w14:textId="77777777" w:rsidR="00F6590B" w:rsidRPr="00F6590B" w:rsidRDefault="00F6590B" w:rsidP="00F6590B">
      <w:pPr>
        <w:rPr>
          <w:lang w:eastAsia="es-ES"/>
        </w:rPr>
      </w:pPr>
    </w:p>
    <w:p w14:paraId="00C7533B" w14:textId="77777777" w:rsidR="00F6590B" w:rsidRPr="00F6590B" w:rsidRDefault="00F6590B" w:rsidP="00F6590B">
      <w:pPr>
        <w:jc w:val="center"/>
        <w:rPr>
          <w:rFonts w:cs="Arial"/>
          <w:b/>
        </w:rPr>
      </w:pPr>
      <w:r w:rsidRPr="00F6590B">
        <w:rPr>
          <w:rFonts w:cs="Arial"/>
          <w:b/>
        </w:rPr>
        <w:t>CONTRACTACIÓ DELS SERVEIS DE LABORATORI PER A LA REALITZACIÓ D’ANÀLISIS DE MOSTRES D’AIGUA RESIDUAL I SERVEI D'INSPECCIONS A ESTABLIMENTS INDUSTRIALS DE LA COMARCA D’OSONA</w:t>
      </w:r>
    </w:p>
    <w:p w14:paraId="79D0A4A5" w14:textId="77777777" w:rsidR="00F6590B" w:rsidRPr="00F6590B" w:rsidRDefault="00F6590B" w:rsidP="00F6590B">
      <w:pPr>
        <w:jc w:val="center"/>
        <w:rPr>
          <w:rFonts w:cs="Arial"/>
        </w:rPr>
      </w:pPr>
    </w:p>
    <w:p w14:paraId="54494035" w14:textId="77777777" w:rsidR="00F6590B" w:rsidRPr="00F6590B" w:rsidRDefault="00F6590B" w:rsidP="00F6590B">
      <w:pPr>
        <w:contextualSpacing w:val="0"/>
        <w:jc w:val="center"/>
        <w:rPr>
          <w:rFonts w:eastAsia="Times New Roman" w:cs="Arial"/>
          <w:lang w:eastAsia="es-ES"/>
        </w:rPr>
      </w:pPr>
      <w:r w:rsidRPr="00F6590B">
        <w:rPr>
          <w:rFonts w:eastAsia="Times New Roman" w:cs="Arial"/>
          <w:lang w:eastAsia="es-ES"/>
        </w:rPr>
        <w:t>Expedient núm.: 1403-000043-2025 (X2025000517)</w:t>
      </w:r>
    </w:p>
    <w:p w14:paraId="193116C9" w14:textId="77777777" w:rsidR="00F6590B" w:rsidRPr="00F6590B" w:rsidRDefault="00F6590B" w:rsidP="00F6590B">
      <w:pPr>
        <w:contextualSpacing w:val="0"/>
        <w:jc w:val="center"/>
        <w:rPr>
          <w:rFonts w:eastAsia="Times New Roman" w:cs="Arial"/>
          <w:lang w:eastAsia="es-ES"/>
        </w:rPr>
      </w:pPr>
    </w:p>
    <w:p w14:paraId="0B43D538" w14:textId="77777777" w:rsidR="00F6590B" w:rsidRPr="00F6590B" w:rsidRDefault="00F6590B" w:rsidP="00F6590B">
      <w:pPr>
        <w:contextualSpacing w:val="0"/>
        <w:jc w:val="center"/>
        <w:rPr>
          <w:rFonts w:eastAsia="Times New Roman" w:cs="Arial"/>
          <w:lang w:eastAsia="es-ES"/>
        </w:rPr>
      </w:pPr>
    </w:p>
    <w:p w14:paraId="445781A9" w14:textId="77777777" w:rsidR="00F6590B" w:rsidRPr="00F6590B" w:rsidRDefault="00F6590B" w:rsidP="00F6590B">
      <w:pPr>
        <w:rPr>
          <w:rFonts w:cs="Arial"/>
          <w:b/>
          <w:bCs/>
        </w:rPr>
      </w:pPr>
      <w:r w:rsidRPr="00F6590B">
        <w:rPr>
          <w:rFonts w:cs="Arial"/>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 de les condicions exigides de la </w:t>
      </w:r>
      <w:r w:rsidRPr="00F6590B">
        <w:rPr>
          <w:rFonts w:cs="Arial"/>
          <w:iCs/>
        </w:rPr>
        <w:t xml:space="preserve">contractació, </w:t>
      </w:r>
      <w:r w:rsidRPr="00F6590B">
        <w:rPr>
          <w:rFonts w:cs="Arial"/>
        </w:rPr>
        <w:t>del plec de clàusules admi</w:t>
      </w:r>
      <w:r w:rsidRPr="00F6590B">
        <w:rPr>
          <w:rFonts w:cs="Arial"/>
        </w:rPr>
        <w:softHyphen/>
        <w:t>nis</w:t>
      </w:r>
      <w:r w:rsidRPr="00F6590B">
        <w:rPr>
          <w:rFonts w:cs="Arial"/>
        </w:rPr>
        <w:softHyphen/>
        <w:t>tra</w:t>
      </w:r>
      <w:r w:rsidRPr="00F6590B">
        <w:rPr>
          <w:rFonts w:cs="Arial"/>
        </w:rPr>
        <w:softHyphen/>
        <w:t>ti</w:t>
      </w:r>
      <w:r w:rsidRPr="00F6590B">
        <w:rPr>
          <w:rFonts w:cs="Arial"/>
        </w:rPr>
        <w:softHyphen/>
        <w:t>ves generals, del plec de clàusules administratives particulars i del plec de prescripcions tècni</w:t>
      </w:r>
      <w:r w:rsidRPr="00F6590B">
        <w:rPr>
          <w:rFonts w:cs="Arial"/>
        </w:rPr>
        <w:softHyphen/>
        <w:t>ques particulars que re</w:t>
      </w:r>
      <w:r w:rsidRPr="00F6590B">
        <w:rPr>
          <w:rFonts w:cs="Arial"/>
        </w:rPr>
        <w:softHyphen/>
        <w:t>gei</w:t>
      </w:r>
      <w:r w:rsidRPr="00F6590B">
        <w:rPr>
          <w:rFonts w:cs="Arial"/>
        </w:rPr>
        <w:softHyphen/>
        <w:t>xen la contractació pel procediment obert, promoguda per Consell Comarcal d’Osona</w:t>
      </w:r>
      <w:r w:rsidRPr="00F6590B">
        <w:rPr>
          <w:rFonts w:cs="Arial"/>
          <w:iCs/>
        </w:rPr>
        <w:t>, de</w:t>
      </w:r>
      <w:r w:rsidRPr="00F6590B">
        <w:rPr>
          <w:rFonts w:cs="Arial"/>
        </w:rPr>
        <w:t xml:space="preserve">l servei  “Servei ..............” </w:t>
      </w:r>
      <w:r w:rsidRPr="00F6590B">
        <w:rPr>
          <w:rFonts w:cs="Arial"/>
          <w:iCs/>
        </w:rPr>
        <w:t>manifesto que accepto íntegrament aquests documents i que em comprometo a executar el contracte objecte de la present licitació amb estricta subjecció als requisits i condicions estipulades.</w:t>
      </w:r>
    </w:p>
    <w:p w14:paraId="6C1612B3" w14:textId="77777777" w:rsidR="00F6590B" w:rsidRPr="00F6590B" w:rsidRDefault="00F6590B" w:rsidP="00F6590B">
      <w:pPr>
        <w:rPr>
          <w:rFonts w:cs="Arial"/>
        </w:rPr>
      </w:pPr>
    </w:p>
    <w:p w14:paraId="25D842DB" w14:textId="77777777" w:rsidR="00F6590B" w:rsidRPr="00F6590B" w:rsidRDefault="00F6590B" w:rsidP="00F6590B">
      <w:pPr>
        <w:rPr>
          <w:rFonts w:cs="Arial"/>
          <w:u w:val="single"/>
        </w:rPr>
      </w:pPr>
      <w:r w:rsidRPr="00F6590B">
        <w:rPr>
          <w:rFonts w:cs="Arial"/>
        </w:rPr>
        <w:t xml:space="preserve">Que, en relació amb els criteris </w:t>
      </w:r>
      <w:r w:rsidRPr="00F6590B">
        <w:rPr>
          <w:rFonts w:cs="Arial"/>
          <w:u w:val="single"/>
        </w:rPr>
        <w:t>de judici de valor acompanyo la següent documentació que incorporo en aquest sobre respecte al Lot:</w:t>
      </w:r>
    </w:p>
    <w:p w14:paraId="74899FB3" w14:textId="77777777" w:rsidR="00F6590B" w:rsidRPr="00F6590B" w:rsidRDefault="00F6590B" w:rsidP="00F6590B">
      <w:pPr>
        <w:rPr>
          <w:rFonts w:cs="Arial"/>
          <w:u w:val="single"/>
        </w:rPr>
      </w:pPr>
    </w:p>
    <w:p w14:paraId="5EC0958E" w14:textId="77777777" w:rsidR="00F6590B" w:rsidRPr="00F6590B" w:rsidRDefault="00F6590B" w:rsidP="00F6590B">
      <w:pPr>
        <w:rPr>
          <w:rFonts w:cs="Arial"/>
        </w:rPr>
      </w:pPr>
    </w:p>
    <w:p w14:paraId="1D36486C" w14:textId="77777777" w:rsidR="00F6590B" w:rsidRPr="00F6590B" w:rsidRDefault="00F6590B" w:rsidP="00F6590B">
      <w:pPr>
        <w:jc w:val="center"/>
        <w:rPr>
          <w:rFonts w:cs="Arial"/>
          <w:b/>
          <w:bCs/>
          <w:lang w:eastAsia="es-ES"/>
        </w:rPr>
      </w:pPr>
      <w:r w:rsidRPr="00F6590B">
        <w:rPr>
          <w:rFonts w:cs="Arial"/>
          <w:b/>
          <w:bCs/>
        </w:rPr>
        <w:t>LOT 1 Servei de laboratori</w:t>
      </w:r>
    </w:p>
    <w:p w14:paraId="468516EC" w14:textId="77777777" w:rsidR="00F6590B" w:rsidRPr="00F6590B" w:rsidRDefault="00F6590B" w:rsidP="00F6590B">
      <w:pPr>
        <w:rPr>
          <w:rFonts w:cs="Arial"/>
        </w:rPr>
      </w:pPr>
    </w:p>
    <w:p w14:paraId="7ACD44B5" w14:textId="77777777" w:rsidR="00F6590B" w:rsidRPr="00F6590B" w:rsidRDefault="00F6590B" w:rsidP="00F6590B">
      <w:pPr>
        <w:ind w:firstLine="708"/>
        <w:rPr>
          <w:rFonts w:cs="Arial"/>
          <w:b/>
          <w:bCs/>
        </w:rPr>
      </w:pPr>
      <w:r w:rsidRPr="00F6590B">
        <w:rPr>
          <w:rFonts w:cs="Arial"/>
        </w:rPr>
        <w:t xml:space="preserve"> </w:t>
      </w:r>
      <w:r w:rsidRPr="00F6590B">
        <w:rPr>
          <w:rFonts w:cs="Arial"/>
          <w:b/>
          <w:bCs/>
        </w:rPr>
        <w:t>a)    Oferta econòmica.</w:t>
      </w:r>
    </w:p>
    <w:p w14:paraId="2FD1BFF4" w14:textId="77777777" w:rsidR="00F6590B" w:rsidRPr="00F6590B" w:rsidRDefault="00F6590B" w:rsidP="00F6590B">
      <w:pPr>
        <w:rPr>
          <w:rFonts w:cs="Arial"/>
        </w:rPr>
      </w:pPr>
    </w:p>
    <w:tbl>
      <w:tblPr>
        <w:tblW w:w="9210" w:type="dxa"/>
        <w:jc w:val="center"/>
        <w:tblLayout w:type="fixed"/>
        <w:tblCellMar>
          <w:left w:w="70" w:type="dxa"/>
          <w:right w:w="70" w:type="dxa"/>
        </w:tblCellMar>
        <w:tblLook w:val="04A0" w:firstRow="1" w:lastRow="0" w:firstColumn="1" w:lastColumn="0" w:noHBand="0" w:noVBand="1"/>
      </w:tblPr>
      <w:tblGrid>
        <w:gridCol w:w="1913"/>
        <w:gridCol w:w="1552"/>
        <w:gridCol w:w="838"/>
        <w:gridCol w:w="1546"/>
        <w:gridCol w:w="1591"/>
        <w:gridCol w:w="1770"/>
      </w:tblGrid>
      <w:tr w:rsidR="00F6590B" w:rsidRPr="00F6590B" w14:paraId="7135213E" w14:textId="77777777" w:rsidTr="00E84487">
        <w:trPr>
          <w:trHeight w:val="615"/>
          <w:jc w:val="center"/>
        </w:trPr>
        <w:tc>
          <w:tcPr>
            <w:tcW w:w="9210" w:type="dxa"/>
            <w:gridSpan w:val="6"/>
            <w:tcBorders>
              <w:top w:val="single" w:sz="4" w:space="0" w:color="auto"/>
              <w:left w:val="single" w:sz="4" w:space="0" w:color="auto"/>
              <w:bottom w:val="single" w:sz="4" w:space="0" w:color="auto"/>
              <w:right w:val="single" w:sz="4" w:space="0" w:color="auto"/>
            </w:tcBorders>
            <w:shd w:val="clear" w:color="auto" w:fill="E7E6E6"/>
          </w:tcPr>
          <w:p w14:paraId="1CBDB235" w14:textId="77777777" w:rsidR="00F6590B" w:rsidRPr="00F6590B" w:rsidRDefault="00F6590B" w:rsidP="00F6590B">
            <w:pPr>
              <w:rPr>
                <w:rFonts w:cs="Arial"/>
                <w:b/>
                <w:bCs/>
              </w:rPr>
            </w:pPr>
          </w:p>
          <w:p w14:paraId="346A686E" w14:textId="77777777" w:rsidR="00F6590B" w:rsidRPr="00F6590B" w:rsidRDefault="00F6590B" w:rsidP="00F6590B">
            <w:pPr>
              <w:rPr>
                <w:rFonts w:cs="Arial"/>
                <w:b/>
                <w:bCs/>
              </w:rPr>
            </w:pPr>
            <w:r w:rsidRPr="00F6590B">
              <w:rPr>
                <w:rFonts w:cs="Arial"/>
                <w:b/>
                <w:bCs/>
              </w:rPr>
              <w:t>Oferta per preus del servei de laboratori</w:t>
            </w:r>
          </w:p>
        </w:tc>
      </w:tr>
      <w:tr w:rsidR="00F6590B" w:rsidRPr="00F6590B" w14:paraId="3C78E7C1" w14:textId="77777777" w:rsidTr="00E84487">
        <w:trPr>
          <w:trHeight w:val="300"/>
          <w:jc w:val="center"/>
        </w:trPr>
        <w:tc>
          <w:tcPr>
            <w:tcW w:w="191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E494D33" w14:textId="77777777" w:rsidR="00F6590B" w:rsidRPr="00F6590B" w:rsidRDefault="00F6590B" w:rsidP="00F6590B">
            <w:pPr>
              <w:rPr>
                <w:rFonts w:cs="Arial"/>
              </w:rPr>
            </w:pPr>
            <w:r w:rsidRPr="00F6590B">
              <w:rPr>
                <w:rFonts w:cs="Arial"/>
                <w:b/>
                <w:bCs/>
              </w:rPr>
              <w:t xml:space="preserve">Tipus d’analítica </w:t>
            </w:r>
          </w:p>
        </w:tc>
        <w:tc>
          <w:tcPr>
            <w:tcW w:w="1552" w:type="dxa"/>
            <w:tcBorders>
              <w:top w:val="single" w:sz="4" w:space="0" w:color="auto"/>
              <w:left w:val="single" w:sz="4" w:space="0" w:color="auto"/>
              <w:bottom w:val="single" w:sz="4" w:space="0" w:color="auto"/>
              <w:right w:val="single" w:sz="4" w:space="0" w:color="auto"/>
            </w:tcBorders>
            <w:shd w:val="clear" w:color="auto" w:fill="E7E6E6"/>
            <w:hideMark/>
          </w:tcPr>
          <w:p w14:paraId="7D2352CC" w14:textId="77777777" w:rsidR="00F6590B" w:rsidRPr="00F6590B" w:rsidRDefault="00F6590B" w:rsidP="00F6590B">
            <w:pPr>
              <w:rPr>
                <w:rFonts w:cs="Arial"/>
                <w:b/>
                <w:bCs/>
              </w:rPr>
            </w:pPr>
            <w:r w:rsidRPr="00F6590B">
              <w:rPr>
                <w:rFonts w:cs="Arial"/>
                <w:b/>
                <w:bCs/>
              </w:rPr>
              <w:t xml:space="preserve">Preu  </w:t>
            </w:r>
          </w:p>
          <w:p w14:paraId="4F2C61EE" w14:textId="77777777" w:rsidR="00F6590B" w:rsidRPr="00F6590B" w:rsidRDefault="00F6590B" w:rsidP="00F6590B">
            <w:pPr>
              <w:rPr>
                <w:rFonts w:cs="Arial"/>
                <w:b/>
                <w:bCs/>
              </w:rPr>
            </w:pPr>
            <w:r w:rsidRPr="00F6590B">
              <w:rPr>
                <w:rFonts w:cs="Arial"/>
                <w:b/>
                <w:bCs/>
              </w:rPr>
              <w:t>unitari màxim total</w:t>
            </w:r>
          </w:p>
        </w:tc>
        <w:tc>
          <w:tcPr>
            <w:tcW w:w="838" w:type="dxa"/>
            <w:tcBorders>
              <w:top w:val="single" w:sz="4" w:space="0" w:color="auto"/>
              <w:left w:val="single" w:sz="4" w:space="0" w:color="auto"/>
              <w:bottom w:val="single" w:sz="4" w:space="0" w:color="auto"/>
              <w:right w:val="single" w:sz="4" w:space="0" w:color="auto"/>
            </w:tcBorders>
            <w:shd w:val="clear" w:color="auto" w:fill="E7E6E6"/>
            <w:hideMark/>
          </w:tcPr>
          <w:p w14:paraId="74B5D12F" w14:textId="77777777" w:rsidR="00F6590B" w:rsidRPr="00F6590B" w:rsidRDefault="00F6590B" w:rsidP="00F6590B">
            <w:pPr>
              <w:rPr>
                <w:rFonts w:cs="Arial"/>
                <w:b/>
                <w:bCs/>
              </w:rPr>
            </w:pPr>
            <w:r w:rsidRPr="00F6590B">
              <w:rPr>
                <w:rFonts w:cs="Arial"/>
                <w:b/>
                <w:bCs/>
              </w:rPr>
              <w:t xml:space="preserve">Núm. màxim anual* </w:t>
            </w:r>
          </w:p>
        </w:tc>
        <w:tc>
          <w:tcPr>
            <w:tcW w:w="1546" w:type="dxa"/>
            <w:tcBorders>
              <w:top w:val="single" w:sz="4" w:space="0" w:color="auto"/>
              <w:left w:val="single" w:sz="4" w:space="0" w:color="auto"/>
              <w:bottom w:val="single" w:sz="4" w:space="0" w:color="auto"/>
              <w:right w:val="single" w:sz="4" w:space="0" w:color="auto"/>
            </w:tcBorders>
            <w:shd w:val="clear" w:color="auto" w:fill="E7E6E6"/>
            <w:hideMark/>
          </w:tcPr>
          <w:p w14:paraId="7E26DD39" w14:textId="77777777" w:rsidR="00F6590B" w:rsidRPr="00F6590B" w:rsidRDefault="00F6590B" w:rsidP="00F6590B">
            <w:pPr>
              <w:rPr>
                <w:rFonts w:cs="Arial"/>
                <w:b/>
                <w:bCs/>
              </w:rPr>
            </w:pPr>
            <w:r w:rsidRPr="00F6590B">
              <w:rPr>
                <w:rFonts w:cs="Arial"/>
                <w:b/>
                <w:bCs/>
              </w:rPr>
              <w:t>Import oferta (sense IVA)</w:t>
            </w:r>
          </w:p>
        </w:tc>
        <w:tc>
          <w:tcPr>
            <w:tcW w:w="1591" w:type="dxa"/>
            <w:tcBorders>
              <w:top w:val="single" w:sz="4" w:space="0" w:color="auto"/>
              <w:left w:val="single" w:sz="4" w:space="0" w:color="auto"/>
              <w:bottom w:val="single" w:sz="4" w:space="0" w:color="auto"/>
              <w:right w:val="single" w:sz="4" w:space="0" w:color="auto"/>
            </w:tcBorders>
            <w:shd w:val="clear" w:color="auto" w:fill="E7E6E6"/>
          </w:tcPr>
          <w:p w14:paraId="3401DC4D" w14:textId="77777777" w:rsidR="00F6590B" w:rsidRPr="00F6590B" w:rsidRDefault="00F6590B" w:rsidP="00F6590B">
            <w:pPr>
              <w:rPr>
                <w:rFonts w:cs="Arial"/>
                <w:b/>
                <w:bCs/>
              </w:rPr>
            </w:pPr>
          </w:p>
          <w:p w14:paraId="466D54E8" w14:textId="77777777" w:rsidR="00F6590B" w:rsidRPr="00F6590B" w:rsidRDefault="00F6590B" w:rsidP="00F6590B">
            <w:pPr>
              <w:rPr>
                <w:rFonts w:cs="Arial"/>
                <w:b/>
                <w:bCs/>
              </w:rPr>
            </w:pPr>
            <w:r w:rsidRPr="00F6590B">
              <w:rPr>
                <w:rFonts w:cs="Arial"/>
                <w:b/>
                <w:bCs/>
              </w:rPr>
              <w:t xml:space="preserve">21% IVA </w:t>
            </w:r>
          </w:p>
        </w:tc>
        <w:tc>
          <w:tcPr>
            <w:tcW w:w="17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5F2770" w14:textId="77777777" w:rsidR="00F6590B" w:rsidRPr="00F6590B" w:rsidRDefault="00F6590B" w:rsidP="00F6590B">
            <w:pPr>
              <w:rPr>
                <w:rFonts w:cs="Arial"/>
                <w:b/>
                <w:bCs/>
              </w:rPr>
            </w:pPr>
            <w:r w:rsidRPr="00F6590B">
              <w:rPr>
                <w:rFonts w:cs="Arial"/>
                <w:b/>
                <w:bCs/>
              </w:rPr>
              <w:t>Import oferta (IVA inclòs)</w:t>
            </w:r>
          </w:p>
        </w:tc>
      </w:tr>
      <w:tr w:rsidR="00F6590B" w:rsidRPr="00F6590B" w14:paraId="775722E9" w14:textId="77777777" w:rsidTr="00E84487">
        <w:trPr>
          <w:trHeight w:val="300"/>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055F9888" w14:textId="77777777" w:rsidR="00F6590B" w:rsidRPr="00F6590B" w:rsidRDefault="00F6590B" w:rsidP="00F6590B">
            <w:pPr>
              <w:rPr>
                <w:rFonts w:cs="Arial"/>
              </w:rPr>
            </w:pPr>
            <w:r w:rsidRPr="00F6590B">
              <w:rPr>
                <w:rFonts w:cs="Arial"/>
              </w:rPr>
              <w:t>Analítica bàsica</w:t>
            </w:r>
          </w:p>
        </w:tc>
        <w:tc>
          <w:tcPr>
            <w:tcW w:w="1552" w:type="dxa"/>
            <w:tcBorders>
              <w:top w:val="single" w:sz="4" w:space="0" w:color="auto"/>
              <w:left w:val="single" w:sz="4" w:space="0" w:color="auto"/>
              <w:bottom w:val="single" w:sz="4" w:space="0" w:color="auto"/>
              <w:right w:val="single" w:sz="4" w:space="0" w:color="auto"/>
            </w:tcBorders>
            <w:vAlign w:val="center"/>
            <w:hideMark/>
          </w:tcPr>
          <w:p w14:paraId="3F6B3C79" w14:textId="77777777" w:rsidR="00F6590B" w:rsidRPr="00F6590B" w:rsidRDefault="00F6590B" w:rsidP="00F6590B">
            <w:pPr>
              <w:rPr>
                <w:rFonts w:cs="Arial"/>
              </w:rPr>
            </w:pPr>
            <w:r w:rsidRPr="00F6590B">
              <w:rPr>
                <w:rFonts w:cs="Arial"/>
              </w:rPr>
              <w:t xml:space="preserve">262 € </w:t>
            </w:r>
          </w:p>
          <w:p w14:paraId="0FFBC819" w14:textId="77777777" w:rsidR="00F6590B" w:rsidRPr="00F6590B" w:rsidRDefault="00F6590B" w:rsidP="00F6590B">
            <w:pPr>
              <w:rPr>
                <w:rFonts w:cs="Arial"/>
              </w:rPr>
            </w:pPr>
            <w:r w:rsidRPr="00F6590B">
              <w:rPr>
                <w:rFonts w:cs="Arial"/>
              </w:rPr>
              <w:t>(sense IVA)</w:t>
            </w:r>
          </w:p>
        </w:tc>
        <w:tc>
          <w:tcPr>
            <w:tcW w:w="838" w:type="dxa"/>
            <w:tcBorders>
              <w:top w:val="single" w:sz="4" w:space="0" w:color="auto"/>
              <w:left w:val="single" w:sz="4" w:space="0" w:color="auto"/>
              <w:bottom w:val="single" w:sz="4" w:space="0" w:color="auto"/>
              <w:right w:val="single" w:sz="4" w:space="0" w:color="auto"/>
            </w:tcBorders>
            <w:hideMark/>
          </w:tcPr>
          <w:p w14:paraId="49382E44" w14:textId="77777777" w:rsidR="00F6590B" w:rsidRPr="00F6590B" w:rsidRDefault="00F6590B" w:rsidP="00F6590B">
            <w:pPr>
              <w:rPr>
                <w:rFonts w:cs="Arial"/>
              </w:rPr>
            </w:pPr>
            <w:r w:rsidRPr="00F6590B">
              <w:rPr>
                <w:rFonts w:cs="Arial"/>
              </w:rPr>
              <w:t>446</w:t>
            </w:r>
          </w:p>
        </w:tc>
        <w:tc>
          <w:tcPr>
            <w:tcW w:w="1546" w:type="dxa"/>
            <w:tcBorders>
              <w:top w:val="single" w:sz="4" w:space="0" w:color="auto"/>
              <w:left w:val="single" w:sz="4" w:space="0" w:color="auto"/>
              <w:bottom w:val="single" w:sz="4" w:space="0" w:color="auto"/>
              <w:right w:val="single" w:sz="4" w:space="0" w:color="auto"/>
            </w:tcBorders>
            <w:vAlign w:val="center"/>
          </w:tcPr>
          <w:p w14:paraId="0B53AF9D" w14:textId="77777777" w:rsidR="00F6590B" w:rsidRPr="00F6590B" w:rsidRDefault="00F6590B" w:rsidP="00F6590B">
            <w:pPr>
              <w:rPr>
                <w:rFonts w:cs="Arial"/>
              </w:rPr>
            </w:pPr>
          </w:p>
          <w:p w14:paraId="2484C366" w14:textId="77777777" w:rsidR="00F6590B" w:rsidRPr="00F6590B" w:rsidRDefault="00F6590B" w:rsidP="00F6590B">
            <w:pPr>
              <w:rPr>
                <w:rFonts w:cs="Arial"/>
              </w:rPr>
            </w:pPr>
            <w:r w:rsidRPr="00F6590B">
              <w:rPr>
                <w:rFonts w:cs="Arial"/>
              </w:rPr>
              <w:t>.....................€</w:t>
            </w:r>
          </w:p>
        </w:tc>
        <w:tc>
          <w:tcPr>
            <w:tcW w:w="1591" w:type="dxa"/>
            <w:tcBorders>
              <w:top w:val="single" w:sz="4" w:space="0" w:color="auto"/>
              <w:left w:val="single" w:sz="4" w:space="0" w:color="auto"/>
              <w:bottom w:val="single" w:sz="4" w:space="0" w:color="auto"/>
              <w:right w:val="single" w:sz="4" w:space="0" w:color="auto"/>
            </w:tcBorders>
            <w:vAlign w:val="center"/>
          </w:tcPr>
          <w:p w14:paraId="1448DDB9" w14:textId="77777777" w:rsidR="00F6590B" w:rsidRPr="00F6590B" w:rsidRDefault="00F6590B" w:rsidP="00F6590B">
            <w:pPr>
              <w:rPr>
                <w:rFonts w:cs="Arial"/>
              </w:rPr>
            </w:pPr>
          </w:p>
          <w:p w14:paraId="4A6EC87D" w14:textId="77777777" w:rsidR="00F6590B" w:rsidRPr="00F6590B" w:rsidRDefault="00F6590B" w:rsidP="00F6590B">
            <w:pPr>
              <w:rPr>
                <w:rFonts w:cs="Arial"/>
              </w:rPr>
            </w:pPr>
            <w:r w:rsidRPr="00F6590B">
              <w:rPr>
                <w:rFonts w:cs="Arial"/>
              </w:rPr>
              <w:t>.....................€</w:t>
            </w:r>
          </w:p>
        </w:tc>
        <w:tc>
          <w:tcPr>
            <w:tcW w:w="1770" w:type="dxa"/>
            <w:tcBorders>
              <w:top w:val="single" w:sz="4" w:space="0" w:color="auto"/>
              <w:left w:val="single" w:sz="4" w:space="0" w:color="auto"/>
              <w:bottom w:val="single" w:sz="4" w:space="0" w:color="auto"/>
              <w:right w:val="single" w:sz="4" w:space="0" w:color="auto"/>
            </w:tcBorders>
            <w:vAlign w:val="center"/>
          </w:tcPr>
          <w:p w14:paraId="170E4BCA" w14:textId="77777777" w:rsidR="00F6590B" w:rsidRPr="00F6590B" w:rsidRDefault="00F6590B" w:rsidP="00F6590B">
            <w:pPr>
              <w:rPr>
                <w:rFonts w:cs="Arial"/>
              </w:rPr>
            </w:pPr>
          </w:p>
          <w:p w14:paraId="1A7E38D6" w14:textId="77777777" w:rsidR="00F6590B" w:rsidRPr="00F6590B" w:rsidRDefault="00F6590B" w:rsidP="00F6590B">
            <w:pPr>
              <w:rPr>
                <w:rFonts w:cs="Arial"/>
              </w:rPr>
            </w:pPr>
            <w:r w:rsidRPr="00F6590B">
              <w:rPr>
                <w:rFonts w:cs="Arial"/>
              </w:rPr>
              <w:t>.....................€</w:t>
            </w:r>
          </w:p>
        </w:tc>
      </w:tr>
      <w:tr w:rsidR="00F6590B" w:rsidRPr="00F6590B" w14:paraId="48F1FC51" w14:textId="77777777" w:rsidTr="00E84487">
        <w:trPr>
          <w:trHeight w:val="300"/>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64E3352F" w14:textId="77777777" w:rsidR="00F6590B" w:rsidRPr="00F6590B" w:rsidRDefault="00F6590B" w:rsidP="00F6590B">
            <w:pPr>
              <w:rPr>
                <w:rFonts w:cs="Arial"/>
              </w:rPr>
            </w:pPr>
            <w:r w:rsidRPr="00F6590B">
              <w:rPr>
                <w:rFonts w:cs="Arial"/>
              </w:rPr>
              <w:t>Paràmetres addicionals 1</w:t>
            </w:r>
          </w:p>
        </w:tc>
        <w:tc>
          <w:tcPr>
            <w:tcW w:w="1552" w:type="dxa"/>
            <w:tcBorders>
              <w:top w:val="single" w:sz="4" w:space="0" w:color="auto"/>
              <w:left w:val="single" w:sz="4" w:space="0" w:color="auto"/>
              <w:bottom w:val="single" w:sz="4" w:space="0" w:color="auto"/>
              <w:right w:val="single" w:sz="4" w:space="0" w:color="auto"/>
            </w:tcBorders>
            <w:vAlign w:val="center"/>
            <w:hideMark/>
          </w:tcPr>
          <w:p w14:paraId="7B7C45AE" w14:textId="77777777" w:rsidR="00F6590B" w:rsidRPr="00F6590B" w:rsidRDefault="00F6590B" w:rsidP="00F6590B">
            <w:pPr>
              <w:rPr>
                <w:rFonts w:cs="Arial"/>
              </w:rPr>
            </w:pPr>
            <w:r w:rsidRPr="00F6590B">
              <w:rPr>
                <w:rFonts w:cs="Arial"/>
              </w:rPr>
              <w:t>25€</w:t>
            </w:r>
          </w:p>
          <w:p w14:paraId="698A1CD8" w14:textId="77777777" w:rsidR="00F6590B" w:rsidRPr="00F6590B" w:rsidRDefault="00F6590B" w:rsidP="00F6590B">
            <w:pPr>
              <w:rPr>
                <w:rFonts w:cs="Arial"/>
              </w:rPr>
            </w:pPr>
            <w:r w:rsidRPr="00F6590B">
              <w:rPr>
                <w:rFonts w:cs="Arial"/>
              </w:rPr>
              <w:t>(sense IVA)</w:t>
            </w:r>
          </w:p>
        </w:tc>
        <w:tc>
          <w:tcPr>
            <w:tcW w:w="838" w:type="dxa"/>
            <w:tcBorders>
              <w:top w:val="single" w:sz="4" w:space="0" w:color="auto"/>
              <w:left w:val="single" w:sz="4" w:space="0" w:color="auto"/>
              <w:bottom w:val="single" w:sz="4" w:space="0" w:color="auto"/>
              <w:right w:val="single" w:sz="4" w:space="0" w:color="auto"/>
            </w:tcBorders>
            <w:vAlign w:val="center"/>
            <w:hideMark/>
          </w:tcPr>
          <w:p w14:paraId="72817563" w14:textId="77777777" w:rsidR="00F6590B" w:rsidRPr="00F6590B" w:rsidRDefault="00F6590B" w:rsidP="00F6590B">
            <w:pPr>
              <w:rPr>
                <w:rFonts w:cs="Arial"/>
              </w:rPr>
            </w:pPr>
            <w:r w:rsidRPr="00F6590B">
              <w:rPr>
                <w:rFonts w:cs="Arial"/>
              </w:rPr>
              <w:t>682</w:t>
            </w:r>
          </w:p>
        </w:tc>
        <w:tc>
          <w:tcPr>
            <w:tcW w:w="1546" w:type="dxa"/>
            <w:tcBorders>
              <w:top w:val="single" w:sz="4" w:space="0" w:color="auto"/>
              <w:left w:val="single" w:sz="4" w:space="0" w:color="auto"/>
              <w:bottom w:val="single" w:sz="4" w:space="0" w:color="auto"/>
              <w:right w:val="single" w:sz="4" w:space="0" w:color="auto"/>
            </w:tcBorders>
            <w:vAlign w:val="center"/>
          </w:tcPr>
          <w:p w14:paraId="6B815EE2" w14:textId="77777777" w:rsidR="00F6590B" w:rsidRPr="00F6590B" w:rsidRDefault="00F6590B" w:rsidP="00F6590B">
            <w:pPr>
              <w:rPr>
                <w:rFonts w:cs="Arial"/>
              </w:rPr>
            </w:pPr>
          </w:p>
          <w:p w14:paraId="5D21F11F" w14:textId="77777777" w:rsidR="00F6590B" w:rsidRPr="00F6590B" w:rsidRDefault="00F6590B" w:rsidP="00F6590B">
            <w:pPr>
              <w:rPr>
                <w:rFonts w:cs="Arial"/>
              </w:rPr>
            </w:pPr>
            <w:r w:rsidRPr="00F6590B">
              <w:rPr>
                <w:rFonts w:cs="Arial"/>
              </w:rPr>
              <w:t>.....................€</w:t>
            </w:r>
          </w:p>
        </w:tc>
        <w:tc>
          <w:tcPr>
            <w:tcW w:w="1591" w:type="dxa"/>
            <w:tcBorders>
              <w:top w:val="single" w:sz="4" w:space="0" w:color="auto"/>
              <w:left w:val="single" w:sz="4" w:space="0" w:color="auto"/>
              <w:bottom w:val="single" w:sz="4" w:space="0" w:color="auto"/>
              <w:right w:val="single" w:sz="4" w:space="0" w:color="auto"/>
            </w:tcBorders>
            <w:vAlign w:val="center"/>
          </w:tcPr>
          <w:p w14:paraId="7A2C1730" w14:textId="77777777" w:rsidR="00F6590B" w:rsidRPr="00F6590B" w:rsidRDefault="00F6590B" w:rsidP="00F6590B">
            <w:pPr>
              <w:rPr>
                <w:rFonts w:cs="Arial"/>
              </w:rPr>
            </w:pPr>
          </w:p>
          <w:p w14:paraId="08827FFB" w14:textId="77777777" w:rsidR="00F6590B" w:rsidRPr="00F6590B" w:rsidRDefault="00F6590B" w:rsidP="00F6590B">
            <w:pPr>
              <w:rPr>
                <w:rFonts w:cs="Arial"/>
              </w:rPr>
            </w:pPr>
            <w:r w:rsidRPr="00F6590B">
              <w:rPr>
                <w:rFonts w:cs="Arial"/>
              </w:rPr>
              <w:t>.....................€</w:t>
            </w:r>
          </w:p>
        </w:tc>
        <w:tc>
          <w:tcPr>
            <w:tcW w:w="1770" w:type="dxa"/>
            <w:tcBorders>
              <w:top w:val="single" w:sz="4" w:space="0" w:color="auto"/>
              <w:left w:val="single" w:sz="4" w:space="0" w:color="auto"/>
              <w:bottom w:val="single" w:sz="4" w:space="0" w:color="auto"/>
              <w:right w:val="single" w:sz="4" w:space="0" w:color="auto"/>
            </w:tcBorders>
            <w:vAlign w:val="center"/>
          </w:tcPr>
          <w:p w14:paraId="11747742" w14:textId="77777777" w:rsidR="00F6590B" w:rsidRPr="00F6590B" w:rsidRDefault="00F6590B" w:rsidP="00F6590B">
            <w:pPr>
              <w:rPr>
                <w:rFonts w:cs="Arial"/>
              </w:rPr>
            </w:pPr>
          </w:p>
          <w:p w14:paraId="3C0FE5DC" w14:textId="77777777" w:rsidR="00F6590B" w:rsidRPr="00F6590B" w:rsidRDefault="00F6590B" w:rsidP="00F6590B">
            <w:pPr>
              <w:rPr>
                <w:rFonts w:cs="Arial"/>
              </w:rPr>
            </w:pPr>
            <w:r w:rsidRPr="00F6590B">
              <w:rPr>
                <w:rFonts w:cs="Arial"/>
              </w:rPr>
              <w:t>.....................€</w:t>
            </w:r>
          </w:p>
        </w:tc>
      </w:tr>
      <w:tr w:rsidR="00F6590B" w:rsidRPr="00F6590B" w14:paraId="5E0D9F4A" w14:textId="77777777" w:rsidTr="00E84487">
        <w:trPr>
          <w:trHeight w:val="300"/>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06698FA3" w14:textId="77777777" w:rsidR="00F6590B" w:rsidRPr="00F6590B" w:rsidRDefault="00F6590B" w:rsidP="00F6590B">
            <w:pPr>
              <w:rPr>
                <w:rFonts w:cs="Arial"/>
              </w:rPr>
            </w:pPr>
            <w:r w:rsidRPr="00F6590B">
              <w:rPr>
                <w:rFonts w:cs="Arial"/>
              </w:rPr>
              <w:t>Paràmetres addicionals 2</w:t>
            </w:r>
          </w:p>
        </w:tc>
        <w:tc>
          <w:tcPr>
            <w:tcW w:w="1552" w:type="dxa"/>
            <w:tcBorders>
              <w:top w:val="single" w:sz="4" w:space="0" w:color="auto"/>
              <w:left w:val="single" w:sz="4" w:space="0" w:color="auto"/>
              <w:bottom w:val="single" w:sz="4" w:space="0" w:color="auto"/>
              <w:right w:val="single" w:sz="4" w:space="0" w:color="auto"/>
            </w:tcBorders>
            <w:vAlign w:val="center"/>
            <w:hideMark/>
          </w:tcPr>
          <w:p w14:paraId="1AB81C63" w14:textId="77777777" w:rsidR="00F6590B" w:rsidRPr="00F6590B" w:rsidRDefault="00F6590B" w:rsidP="00F6590B">
            <w:pPr>
              <w:rPr>
                <w:rFonts w:cs="Arial"/>
              </w:rPr>
            </w:pPr>
            <w:r w:rsidRPr="00F6590B">
              <w:rPr>
                <w:rFonts w:cs="Arial"/>
              </w:rPr>
              <w:t xml:space="preserve">165€ </w:t>
            </w:r>
          </w:p>
          <w:p w14:paraId="2425AFF9" w14:textId="77777777" w:rsidR="00F6590B" w:rsidRPr="00F6590B" w:rsidRDefault="00F6590B" w:rsidP="00F6590B">
            <w:pPr>
              <w:rPr>
                <w:rFonts w:cs="Arial"/>
              </w:rPr>
            </w:pPr>
            <w:r w:rsidRPr="00F6590B">
              <w:rPr>
                <w:rFonts w:cs="Arial"/>
              </w:rPr>
              <w:t>(sense IVA)</w:t>
            </w:r>
          </w:p>
        </w:tc>
        <w:tc>
          <w:tcPr>
            <w:tcW w:w="838" w:type="dxa"/>
            <w:tcBorders>
              <w:top w:val="single" w:sz="4" w:space="0" w:color="auto"/>
              <w:left w:val="single" w:sz="4" w:space="0" w:color="auto"/>
              <w:bottom w:val="single" w:sz="4" w:space="0" w:color="auto"/>
              <w:right w:val="single" w:sz="4" w:space="0" w:color="auto"/>
            </w:tcBorders>
          </w:tcPr>
          <w:p w14:paraId="54DCAB2A" w14:textId="77777777" w:rsidR="00F6590B" w:rsidRPr="00F6590B" w:rsidRDefault="00F6590B" w:rsidP="00F6590B">
            <w:pPr>
              <w:rPr>
                <w:rFonts w:cs="Arial"/>
              </w:rPr>
            </w:pPr>
          </w:p>
          <w:p w14:paraId="309F3D94" w14:textId="77777777" w:rsidR="00F6590B" w:rsidRPr="00F6590B" w:rsidRDefault="00F6590B" w:rsidP="00F6590B">
            <w:pPr>
              <w:rPr>
                <w:rFonts w:cs="Arial"/>
              </w:rPr>
            </w:pPr>
            <w:r w:rsidRPr="00F6590B">
              <w:rPr>
                <w:rFonts w:cs="Arial"/>
              </w:rPr>
              <w:t>80</w:t>
            </w:r>
          </w:p>
          <w:p w14:paraId="680A3001" w14:textId="77777777" w:rsidR="00F6590B" w:rsidRPr="00F6590B" w:rsidRDefault="00F6590B" w:rsidP="00F6590B">
            <w:pPr>
              <w:rPr>
                <w:rFonts w:cs="Arial"/>
              </w:rPr>
            </w:pPr>
          </w:p>
        </w:tc>
        <w:tc>
          <w:tcPr>
            <w:tcW w:w="1546" w:type="dxa"/>
            <w:tcBorders>
              <w:top w:val="single" w:sz="4" w:space="0" w:color="auto"/>
              <w:left w:val="single" w:sz="4" w:space="0" w:color="auto"/>
              <w:bottom w:val="single" w:sz="4" w:space="0" w:color="auto"/>
              <w:right w:val="single" w:sz="4" w:space="0" w:color="auto"/>
            </w:tcBorders>
            <w:vAlign w:val="center"/>
            <w:hideMark/>
          </w:tcPr>
          <w:p w14:paraId="69E07D03" w14:textId="77777777" w:rsidR="00F6590B" w:rsidRPr="00F6590B" w:rsidRDefault="00F6590B" w:rsidP="00F6590B">
            <w:pPr>
              <w:rPr>
                <w:rFonts w:cs="Arial"/>
              </w:rPr>
            </w:pPr>
            <w:r w:rsidRPr="00F6590B">
              <w:rPr>
                <w:rFonts w:cs="Arial"/>
              </w:rPr>
              <w:t>.....................€</w:t>
            </w:r>
          </w:p>
        </w:tc>
        <w:tc>
          <w:tcPr>
            <w:tcW w:w="1591" w:type="dxa"/>
            <w:tcBorders>
              <w:top w:val="single" w:sz="4" w:space="0" w:color="auto"/>
              <w:left w:val="single" w:sz="4" w:space="0" w:color="auto"/>
              <w:bottom w:val="single" w:sz="4" w:space="0" w:color="auto"/>
              <w:right w:val="single" w:sz="4" w:space="0" w:color="auto"/>
            </w:tcBorders>
            <w:vAlign w:val="center"/>
            <w:hideMark/>
          </w:tcPr>
          <w:p w14:paraId="6428D672" w14:textId="77777777" w:rsidR="00F6590B" w:rsidRPr="00F6590B" w:rsidRDefault="00F6590B" w:rsidP="00F6590B">
            <w:pPr>
              <w:rPr>
                <w:rFonts w:cs="Arial"/>
              </w:rPr>
            </w:pPr>
            <w:r w:rsidRPr="00F6590B">
              <w:rPr>
                <w:rFonts w:cs="Arial"/>
              </w:rPr>
              <w:t>.....................€</w:t>
            </w:r>
          </w:p>
        </w:tc>
        <w:tc>
          <w:tcPr>
            <w:tcW w:w="1770" w:type="dxa"/>
            <w:tcBorders>
              <w:top w:val="single" w:sz="4" w:space="0" w:color="auto"/>
              <w:left w:val="single" w:sz="4" w:space="0" w:color="auto"/>
              <w:bottom w:val="single" w:sz="4" w:space="0" w:color="auto"/>
              <w:right w:val="single" w:sz="4" w:space="0" w:color="auto"/>
            </w:tcBorders>
            <w:vAlign w:val="center"/>
            <w:hideMark/>
          </w:tcPr>
          <w:p w14:paraId="0DB7C502" w14:textId="77777777" w:rsidR="00F6590B" w:rsidRPr="00F6590B" w:rsidRDefault="00F6590B" w:rsidP="00F6590B">
            <w:pPr>
              <w:rPr>
                <w:rFonts w:cs="Arial"/>
              </w:rPr>
            </w:pPr>
            <w:r w:rsidRPr="00F6590B">
              <w:rPr>
                <w:rFonts w:cs="Arial"/>
              </w:rPr>
              <w:t>.....................€</w:t>
            </w:r>
          </w:p>
        </w:tc>
      </w:tr>
      <w:tr w:rsidR="00F6590B" w:rsidRPr="00F6590B" w14:paraId="24E1AE56" w14:textId="77777777" w:rsidTr="00E84487">
        <w:trPr>
          <w:trHeight w:val="300"/>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4BA4B140" w14:textId="77777777" w:rsidR="00F6590B" w:rsidRPr="00F6590B" w:rsidRDefault="00F6590B" w:rsidP="00F6590B">
            <w:pPr>
              <w:rPr>
                <w:rFonts w:cs="Arial"/>
              </w:rPr>
            </w:pPr>
            <w:r w:rsidRPr="00F6590B">
              <w:rPr>
                <w:rFonts w:cs="Arial"/>
              </w:rPr>
              <w:t>Paràmetres addicionals 3</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830B626" w14:textId="77777777" w:rsidR="00F6590B" w:rsidRPr="00F6590B" w:rsidRDefault="00F6590B" w:rsidP="00F6590B">
            <w:pPr>
              <w:rPr>
                <w:rFonts w:cs="Arial"/>
              </w:rPr>
            </w:pPr>
            <w:r w:rsidRPr="00F6590B">
              <w:rPr>
                <w:rFonts w:cs="Arial"/>
              </w:rPr>
              <w:t>350€ (sense IVA)</w:t>
            </w:r>
          </w:p>
        </w:tc>
        <w:tc>
          <w:tcPr>
            <w:tcW w:w="838" w:type="dxa"/>
            <w:tcBorders>
              <w:top w:val="single" w:sz="4" w:space="0" w:color="auto"/>
              <w:left w:val="single" w:sz="4" w:space="0" w:color="auto"/>
              <w:bottom w:val="single" w:sz="4" w:space="0" w:color="auto"/>
              <w:right w:val="single" w:sz="4" w:space="0" w:color="auto"/>
            </w:tcBorders>
            <w:hideMark/>
          </w:tcPr>
          <w:p w14:paraId="4FC897BC" w14:textId="77777777" w:rsidR="00F6590B" w:rsidRPr="00F6590B" w:rsidRDefault="00F6590B" w:rsidP="00F6590B">
            <w:pPr>
              <w:rPr>
                <w:rFonts w:cs="Arial"/>
              </w:rPr>
            </w:pPr>
            <w:r w:rsidRPr="00F6590B">
              <w:rPr>
                <w:rFonts w:cs="Arial"/>
              </w:rPr>
              <w:t>56</w:t>
            </w:r>
          </w:p>
        </w:tc>
        <w:tc>
          <w:tcPr>
            <w:tcW w:w="1546" w:type="dxa"/>
            <w:tcBorders>
              <w:top w:val="single" w:sz="4" w:space="0" w:color="auto"/>
              <w:left w:val="single" w:sz="4" w:space="0" w:color="auto"/>
              <w:bottom w:val="single" w:sz="4" w:space="0" w:color="auto"/>
              <w:right w:val="single" w:sz="4" w:space="0" w:color="auto"/>
            </w:tcBorders>
            <w:vAlign w:val="center"/>
          </w:tcPr>
          <w:p w14:paraId="5D71EF85" w14:textId="77777777" w:rsidR="00F6590B" w:rsidRPr="00F6590B" w:rsidRDefault="00F6590B" w:rsidP="00F6590B">
            <w:pPr>
              <w:rPr>
                <w:rFonts w:cs="Arial"/>
              </w:rPr>
            </w:pPr>
          </w:p>
          <w:p w14:paraId="76FEB48E" w14:textId="77777777" w:rsidR="00F6590B" w:rsidRPr="00F6590B" w:rsidRDefault="00F6590B" w:rsidP="00F6590B">
            <w:pPr>
              <w:rPr>
                <w:rFonts w:cs="Arial"/>
              </w:rPr>
            </w:pPr>
            <w:r w:rsidRPr="00F6590B">
              <w:rPr>
                <w:rFonts w:cs="Arial"/>
              </w:rPr>
              <w:t>.....................€</w:t>
            </w:r>
          </w:p>
        </w:tc>
        <w:tc>
          <w:tcPr>
            <w:tcW w:w="1591" w:type="dxa"/>
            <w:tcBorders>
              <w:top w:val="single" w:sz="4" w:space="0" w:color="auto"/>
              <w:left w:val="single" w:sz="4" w:space="0" w:color="auto"/>
              <w:bottom w:val="single" w:sz="4" w:space="0" w:color="auto"/>
              <w:right w:val="single" w:sz="4" w:space="0" w:color="auto"/>
            </w:tcBorders>
            <w:vAlign w:val="center"/>
          </w:tcPr>
          <w:p w14:paraId="2461935D" w14:textId="77777777" w:rsidR="00F6590B" w:rsidRPr="00F6590B" w:rsidRDefault="00F6590B" w:rsidP="00F6590B">
            <w:pPr>
              <w:rPr>
                <w:rFonts w:cs="Arial"/>
              </w:rPr>
            </w:pPr>
          </w:p>
          <w:p w14:paraId="4E5F204A" w14:textId="77777777" w:rsidR="00F6590B" w:rsidRPr="00F6590B" w:rsidRDefault="00F6590B" w:rsidP="00F6590B">
            <w:pPr>
              <w:rPr>
                <w:rFonts w:cs="Arial"/>
              </w:rPr>
            </w:pPr>
            <w:r w:rsidRPr="00F6590B">
              <w:rPr>
                <w:rFonts w:cs="Arial"/>
              </w:rPr>
              <w:t>.....................€</w:t>
            </w:r>
          </w:p>
        </w:tc>
        <w:tc>
          <w:tcPr>
            <w:tcW w:w="1770" w:type="dxa"/>
            <w:tcBorders>
              <w:top w:val="single" w:sz="4" w:space="0" w:color="auto"/>
              <w:left w:val="single" w:sz="4" w:space="0" w:color="auto"/>
              <w:bottom w:val="single" w:sz="4" w:space="0" w:color="auto"/>
              <w:right w:val="single" w:sz="4" w:space="0" w:color="auto"/>
            </w:tcBorders>
            <w:vAlign w:val="center"/>
            <w:hideMark/>
          </w:tcPr>
          <w:p w14:paraId="326697FE" w14:textId="77777777" w:rsidR="00F6590B" w:rsidRPr="00F6590B" w:rsidRDefault="00F6590B" w:rsidP="00F6590B">
            <w:pPr>
              <w:rPr>
                <w:rFonts w:cs="Arial"/>
              </w:rPr>
            </w:pPr>
            <w:r w:rsidRPr="00F6590B">
              <w:rPr>
                <w:rFonts w:cs="Arial"/>
              </w:rPr>
              <w:t>.....................€</w:t>
            </w:r>
          </w:p>
        </w:tc>
      </w:tr>
      <w:tr w:rsidR="00F6590B" w:rsidRPr="00F6590B" w14:paraId="73BA522C" w14:textId="77777777" w:rsidTr="00E84487">
        <w:trPr>
          <w:trHeight w:val="300"/>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00E9E287" w14:textId="77777777" w:rsidR="00F6590B" w:rsidRPr="00F6590B" w:rsidRDefault="00F6590B" w:rsidP="00F6590B">
            <w:pPr>
              <w:rPr>
                <w:rFonts w:cs="Arial"/>
              </w:rPr>
            </w:pPr>
            <w:r w:rsidRPr="00F6590B">
              <w:rPr>
                <w:rFonts w:cs="Arial"/>
              </w:rPr>
              <w:t xml:space="preserve">Altres Paràmetres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27A3FAE2" w14:textId="77777777" w:rsidR="00F6590B" w:rsidRPr="00F6590B" w:rsidRDefault="00F6590B" w:rsidP="00F6590B">
            <w:pPr>
              <w:rPr>
                <w:rFonts w:cs="Arial"/>
              </w:rPr>
            </w:pPr>
            <w:r w:rsidRPr="00F6590B">
              <w:rPr>
                <w:rFonts w:cs="Arial"/>
              </w:rPr>
              <w:t>350€</w:t>
            </w:r>
          </w:p>
          <w:p w14:paraId="58DC7F87" w14:textId="77777777" w:rsidR="00F6590B" w:rsidRPr="00F6590B" w:rsidRDefault="00F6590B" w:rsidP="00F6590B">
            <w:pPr>
              <w:rPr>
                <w:rFonts w:cs="Arial"/>
              </w:rPr>
            </w:pPr>
            <w:r w:rsidRPr="00F6590B">
              <w:rPr>
                <w:rFonts w:cs="Arial"/>
              </w:rPr>
              <w:t>(sense IVA)</w:t>
            </w:r>
          </w:p>
        </w:tc>
        <w:tc>
          <w:tcPr>
            <w:tcW w:w="838" w:type="dxa"/>
            <w:tcBorders>
              <w:top w:val="single" w:sz="4" w:space="0" w:color="auto"/>
              <w:left w:val="single" w:sz="4" w:space="0" w:color="auto"/>
              <w:bottom w:val="single" w:sz="4" w:space="0" w:color="auto"/>
              <w:right w:val="single" w:sz="4" w:space="0" w:color="auto"/>
            </w:tcBorders>
            <w:hideMark/>
          </w:tcPr>
          <w:p w14:paraId="1E1531B4" w14:textId="77777777" w:rsidR="00F6590B" w:rsidRPr="00F6590B" w:rsidRDefault="00F6590B" w:rsidP="00F6590B">
            <w:pPr>
              <w:rPr>
                <w:rFonts w:cs="Arial"/>
              </w:rPr>
            </w:pPr>
            <w:r w:rsidRPr="00F6590B">
              <w:rPr>
                <w:rFonts w:cs="Arial"/>
              </w:rPr>
              <w:t>64</w:t>
            </w:r>
          </w:p>
        </w:tc>
        <w:tc>
          <w:tcPr>
            <w:tcW w:w="1546" w:type="dxa"/>
            <w:tcBorders>
              <w:top w:val="single" w:sz="4" w:space="0" w:color="auto"/>
              <w:left w:val="single" w:sz="4" w:space="0" w:color="auto"/>
              <w:bottom w:val="single" w:sz="4" w:space="0" w:color="auto"/>
              <w:right w:val="single" w:sz="4" w:space="0" w:color="auto"/>
            </w:tcBorders>
            <w:vAlign w:val="center"/>
          </w:tcPr>
          <w:p w14:paraId="2E20857B" w14:textId="77777777" w:rsidR="00F6590B" w:rsidRPr="00F6590B" w:rsidRDefault="00F6590B" w:rsidP="00F6590B">
            <w:pPr>
              <w:rPr>
                <w:rFonts w:cs="Arial"/>
              </w:rPr>
            </w:pPr>
          </w:p>
          <w:p w14:paraId="30AD9747" w14:textId="77777777" w:rsidR="00F6590B" w:rsidRPr="00F6590B" w:rsidRDefault="00F6590B" w:rsidP="00F6590B">
            <w:pPr>
              <w:rPr>
                <w:rFonts w:cs="Arial"/>
              </w:rPr>
            </w:pPr>
            <w:r w:rsidRPr="00F6590B">
              <w:rPr>
                <w:rFonts w:cs="Arial"/>
              </w:rPr>
              <w:t>.....................€</w:t>
            </w:r>
          </w:p>
        </w:tc>
        <w:tc>
          <w:tcPr>
            <w:tcW w:w="1591" w:type="dxa"/>
            <w:tcBorders>
              <w:top w:val="single" w:sz="4" w:space="0" w:color="auto"/>
              <w:left w:val="single" w:sz="4" w:space="0" w:color="auto"/>
              <w:bottom w:val="single" w:sz="4" w:space="0" w:color="auto"/>
              <w:right w:val="single" w:sz="4" w:space="0" w:color="auto"/>
            </w:tcBorders>
            <w:vAlign w:val="center"/>
          </w:tcPr>
          <w:p w14:paraId="0E913F3C" w14:textId="77777777" w:rsidR="00F6590B" w:rsidRPr="00F6590B" w:rsidRDefault="00F6590B" w:rsidP="00F6590B">
            <w:pPr>
              <w:rPr>
                <w:rFonts w:cs="Arial"/>
              </w:rPr>
            </w:pPr>
          </w:p>
          <w:p w14:paraId="75339C5D" w14:textId="77777777" w:rsidR="00F6590B" w:rsidRPr="00F6590B" w:rsidRDefault="00F6590B" w:rsidP="00F6590B">
            <w:pPr>
              <w:rPr>
                <w:rFonts w:cs="Arial"/>
              </w:rPr>
            </w:pPr>
            <w:r w:rsidRPr="00F6590B">
              <w:rPr>
                <w:rFonts w:cs="Arial"/>
              </w:rPr>
              <w:t>.....................€</w:t>
            </w:r>
          </w:p>
        </w:tc>
        <w:tc>
          <w:tcPr>
            <w:tcW w:w="1770" w:type="dxa"/>
            <w:tcBorders>
              <w:top w:val="single" w:sz="4" w:space="0" w:color="auto"/>
              <w:left w:val="single" w:sz="4" w:space="0" w:color="auto"/>
              <w:bottom w:val="single" w:sz="4" w:space="0" w:color="auto"/>
              <w:right w:val="single" w:sz="4" w:space="0" w:color="auto"/>
            </w:tcBorders>
            <w:vAlign w:val="center"/>
            <w:hideMark/>
          </w:tcPr>
          <w:p w14:paraId="58028522" w14:textId="77777777" w:rsidR="00F6590B" w:rsidRPr="00F6590B" w:rsidRDefault="00F6590B" w:rsidP="00F6590B">
            <w:pPr>
              <w:rPr>
                <w:rFonts w:cs="Arial"/>
              </w:rPr>
            </w:pPr>
            <w:r w:rsidRPr="00F6590B">
              <w:rPr>
                <w:rFonts w:cs="Arial"/>
              </w:rPr>
              <w:t>.....................€</w:t>
            </w:r>
          </w:p>
        </w:tc>
      </w:tr>
      <w:tr w:rsidR="00F6590B" w:rsidRPr="00F6590B" w14:paraId="7CF4CACD" w14:textId="77777777" w:rsidTr="00E84487">
        <w:trPr>
          <w:trHeight w:val="300"/>
          <w:jc w:val="center"/>
        </w:trPr>
        <w:tc>
          <w:tcPr>
            <w:tcW w:w="4303" w:type="dxa"/>
            <w:gridSpan w:val="3"/>
            <w:tcBorders>
              <w:top w:val="single" w:sz="4" w:space="0" w:color="auto"/>
              <w:left w:val="single" w:sz="4" w:space="0" w:color="auto"/>
              <w:bottom w:val="single" w:sz="4" w:space="0" w:color="auto"/>
              <w:right w:val="single" w:sz="4" w:space="0" w:color="auto"/>
            </w:tcBorders>
            <w:noWrap/>
            <w:vAlign w:val="center"/>
            <w:hideMark/>
          </w:tcPr>
          <w:p w14:paraId="4DEF669B" w14:textId="77777777" w:rsidR="00F6590B" w:rsidRPr="00F6590B" w:rsidRDefault="00F6590B" w:rsidP="00F6590B">
            <w:pPr>
              <w:rPr>
                <w:rFonts w:cs="Arial"/>
                <w:b/>
                <w:bCs/>
              </w:rPr>
            </w:pPr>
            <w:r w:rsidRPr="00F6590B">
              <w:rPr>
                <w:rFonts w:cs="Arial"/>
                <w:b/>
                <w:bCs/>
              </w:rPr>
              <w:t>TOTAL</w:t>
            </w:r>
          </w:p>
        </w:tc>
        <w:tc>
          <w:tcPr>
            <w:tcW w:w="1546" w:type="dxa"/>
            <w:tcBorders>
              <w:top w:val="single" w:sz="4" w:space="0" w:color="auto"/>
              <w:left w:val="single" w:sz="4" w:space="0" w:color="auto"/>
              <w:bottom w:val="single" w:sz="4" w:space="0" w:color="auto"/>
              <w:right w:val="single" w:sz="4" w:space="0" w:color="auto"/>
            </w:tcBorders>
            <w:vAlign w:val="center"/>
            <w:hideMark/>
          </w:tcPr>
          <w:p w14:paraId="744035A0" w14:textId="77777777" w:rsidR="00F6590B" w:rsidRPr="00F6590B" w:rsidRDefault="00F6590B" w:rsidP="00F6590B">
            <w:pPr>
              <w:rPr>
                <w:rFonts w:cs="Arial"/>
              </w:rPr>
            </w:pPr>
            <w:r w:rsidRPr="00F6590B">
              <w:rPr>
                <w:rFonts w:cs="Arial"/>
              </w:rPr>
              <w:t>.....................€</w:t>
            </w:r>
          </w:p>
        </w:tc>
        <w:tc>
          <w:tcPr>
            <w:tcW w:w="1591" w:type="dxa"/>
            <w:tcBorders>
              <w:top w:val="single" w:sz="4" w:space="0" w:color="auto"/>
              <w:left w:val="single" w:sz="4" w:space="0" w:color="auto"/>
              <w:bottom w:val="single" w:sz="4" w:space="0" w:color="auto"/>
              <w:right w:val="single" w:sz="4" w:space="0" w:color="auto"/>
            </w:tcBorders>
            <w:vAlign w:val="center"/>
            <w:hideMark/>
          </w:tcPr>
          <w:p w14:paraId="5E563BDA" w14:textId="77777777" w:rsidR="00F6590B" w:rsidRPr="00F6590B" w:rsidRDefault="00F6590B" w:rsidP="00F6590B">
            <w:pPr>
              <w:rPr>
                <w:rFonts w:cs="Arial"/>
              </w:rPr>
            </w:pPr>
            <w:r w:rsidRPr="00F6590B">
              <w:rPr>
                <w:rFonts w:cs="Arial"/>
              </w:rPr>
              <w:t>.....................€</w:t>
            </w:r>
          </w:p>
        </w:tc>
        <w:tc>
          <w:tcPr>
            <w:tcW w:w="1770" w:type="dxa"/>
            <w:tcBorders>
              <w:top w:val="single" w:sz="4" w:space="0" w:color="auto"/>
              <w:left w:val="single" w:sz="4" w:space="0" w:color="auto"/>
              <w:bottom w:val="single" w:sz="4" w:space="0" w:color="auto"/>
              <w:right w:val="single" w:sz="4" w:space="0" w:color="auto"/>
            </w:tcBorders>
            <w:vAlign w:val="center"/>
            <w:hideMark/>
          </w:tcPr>
          <w:p w14:paraId="2D42F66F" w14:textId="77777777" w:rsidR="00F6590B" w:rsidRPr="00F6590B" w:rsidRDefault="00F6590B" w:rsidP="00F6590B">
            <w:pPr>
              <w:rPr>
                <w:rFonts w:cs="Arial"/>
              </w:rPr>
            </w:pPr>
            <w:r w:rsidRPr="00F6590B">
              <w:rPr>
                <w:rFonts w:cs="Arial"/>
              </w:rPr>
              <w:t>.....................€</w:t>
            </w:r>
          </w:p>
        </w:tc>
      </w:tr>
      <w:tr w:rsidR="00F6590B" w:rsidRPr="00F6590B" w14:paraId="0EB8994D" w14:textId="77777777" w:rsidTr="00E84487">
        <w:trPr>
          <w:trHeight w:val="300"/>
          <w:jc w:val="center"/>
        </w:trPr>
        <w:tc>
          <w:tcPr>
            <w:tcW w:w="4303" w:type="dxa"/>
            <w:gridSpan w:val="3"/>
            <w:tcBorders>
              <w:top w:val="single" w:sz="4" w:space="0" w:color="auto"/>
              <w:left w:val="single" w:sz="4" w:space="0" w:color="auto"/>
              <w:bottom w:val="single" w:sz="4" w:space="0" w:color="auto"/>
              <w:right w:val="single" w:sz="4" w:space="0" w:color="auto"/>
            </w:tcBorders>
            <w:noWrap/>
            <w:vAlign w:val="center"/>
          </w:tcPr>
          <w:p w14:paraId="5F1775DD" w14:textId="77777777" w:rsidR="00F6590B" w:rsidRPr="00F6590B" w:rsidRDefault="00F6590B" w:rsidP="00F6590B">
            <w:pPr>
              <w:rPr>
                <w:rFonts w:cs="Arial"/>
                <w:b/>
                <w:bCs/>
              </w:rPr>
            </w:pPr>
          </w:p>
        </w:tc>
        <w:tc>
          <w:tcPr>
            <w:tcW w:w="1546" w:type="dxa"/>
            <w:tcBorders>
              <w:top w:val="single" w:sz="4" w:space="0" w:color="auto"/>
              <w:left w:val="single" w:sz="4" w:space="0" w:color="auto"/>
              <w:bottom w:val="single" w:sz="4" w:space="0" w:color="auto"/>
              <w:right w:val="single" w:sz="4" w:space="0" w:color="auto"/>
            </w:tcBorders>
            <w:vAlign w:val="center"/>
          </w:tcPr>
          <w:p w14:paraId="221190CE" w14:textId="77777777" w:rsidR="00F6590B" w:rsidRPr="00F6590B" w:rsidRDefault="00F6590B" w:rsidP="00F6590B">
            <w:pPr>
              <w:rPr>
                <w:rFonts w:cs="Arial"/>
              </w:rPr>
            </w:pPr>
          </w:p>
        </w:tc>
        <w:tc>
          <w:tcPr>
            <w:tcW w:w="1591" w:type="dxa"/>
            <w:tcBorders>
              <w:top w:val="single" w:sz="4" w:space="0" w:color="auto"/>
              <w:left w:val="single" w:sz="4" w:space="0" w:color="auto"/>
              <w:bottom w:val="single" w:sz="4" w:space="0" w:color="auto"/>
              <w:right w:val="single" w:sz="4" w:space="0" w:color="auto"/>
            </w:tcBorders>
            <w:vAlign w:val="center"/>
          </w:tcPr>
          <w:p w14:paraId="16ECE96F" w14:textId="77777777" w:rsidR="00F6590B" w:rsidRPr="00F6590B" w:rsidRDefault="00F6590B" w:rsidP="00F6590B">
            <w:pPr>
              <w:rPr>
                <w:rFonts w:cs="Arial"/>
              </w:rPr>
            </w:pPr>
          </w:p>
        </w:tc>
        <w:tc>
          <w:tcPr>
            <w:tcW w:w="1770" w:type="dxa"/>
            <w:tcBorders>
              <w:top w:val="single" w:sz="4" w:space="0" w:color="auto"/>
              <w:left w:val="single" w:sz="4" w:space="0" w:color="auto"/>
              <w:bottom w:val="single" w:sz="4" w:space="0" w:color="auto"/>
              <w:right w:val="single" w:sz="4" w:space="0" w:color="auto"/>
            </w:tcBorders>
            <w:vAlign w:val="center"/>
          </w:tcPr>
          <w:p w14:paraId="19C3FC73" w14:textId="77777777" w:rsidR="00F6590B" w:rsidRPr="00F6590B" w:rsidRDefault="00F6590B" w:rsidP="00F6590B">
            <w:pPr>
              <w:rPr>
                <w:rFonts w:cs="Arial"/>
              </w:rPr>
            </w:pPr>
          </w:p>
        </w:tc>
      </w:tr>
    </w:tbl>
    <w:p w14:paraId="56150971" w14:textId="77777777" w:rsidR="00F6590B" w:rsidRPr="00F6590B" w:rsidRDefault="00F6590B" w:rsidP="00F6590B">
      <w:pPr>
        <w:numPr>
          <w:ilvl w:val="0"/>
          <w:numId w:val="9"/>
        </w:numPr>
        <w:rPr>
          <w:rFonts w:cs="Arial"/>
        </w:rPr>
      </w:pPr>
      <w:r w:rsidRPr="00F6590B">
        <w:rPr>
          <w:b/>
          <w:bCs/>
        </w:rPr>
        <w:t>Sistema d’entrega dels butlletins analítics i transport de mostres</w:t>
      </w:r>
    </w:p>
    <w:p w14:paraId="00180E58" w14:textId="77777777" w:rsidR="00F6590B" w:rsidRPr="00F6590B" w:rsidRDefault="00F6590B" w:rsidP="00F6590B">
      <w:pPr>
        <w:ind w:left="1068"/>
        <w:rPr>
          <w:rFonts w:cs="Arial"/>
        </w:rPr>
      </w:pPr>
    </w:p>
    <w:p w14:paraId="35EAF4BA" w14:textId="77777777" w:rsidR="00F6590B" w:rsidRPr="00F6590B" w:rsidRDefault="00F6590B" w:rsidP="00F6590B">
      <w:pPr>
        <w:rPr>
          <w:lang w:eastAsia="es-ES"/>
        </w:rPr>
      </w:pPr>
      <w:r w:rsidRPr="00F6590B">
        <w:t>Justificació dels terminis d’entrega dels butlletins de resultats de l’anàlisi del laboratori i transport de les mostres</w:t>
      </w:r>
      <w:r w:rsidRPr="00F6590B">
        <w:rPr>
          <w:b/>
          <w:bCs/>
        </w:rPr>
        <w:t>:</w:t>
      </w:r>
    </w:p>
    <w:p w14:paraId="11BB443D" w14:textId="77777777" w:rsidR="00F6590B" w:rsidRPr="00F6590B" w:rsidRDefault="00F6590B" w:rsidP="00F6590B">
      <w:pPr>
        <w:ind w:left="720"/>
        <w:rPr>
          <w:lang w:eastAsia="es-ES"/>
        </w:rPr>
      </w:pPr>
    </w:p>
    <w:p w14:paraId="58358FE8" w14:textId="77777777" w:rsidR="00F6590B" w:rsidRPr="00F6590B" w:rsidRDefault="00F6590B" w:rsidP="00F6590B">
      <w:pPr>
        <w:numPr>
          <w:ilvl w:val="0"/>
          <w:numId w:val="8"/>
        </w:numPr>
      </w:pPr>
      <w:r w:rsidRPr="00F6590B">
        <w:rPr>
          <w:b/>
          <w:bCs/>
        </w:rPr>
        <w:t>Termini de lliurament del butlletí (amb un màxim de 9 punts):</w:t>
      </w:r>
      <w:r w:rsidRPr="00F6590B">
        <w:t xml:space="preserve"> aquest s’entén com el temps des de que el Consell Comarcal d’Osona avisa de la recollida de mostres a la EDAR de Vic fins al lliurement del butlletí dels resultats analítics. I es valorarà diferenciadament per grup de paràmetres i es farà de la forma següent:</w:t>
      </w:r>
    </w:p>
    <w:p w14:paraId="19DE9685" w14:textId="77777777" w:rsidR="00F6590B" w:rsidRPr="00F6590B" w:rsidRDefault="00F6590B" w:rsidP="00F6590B"/>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536"/>
        <w:gridCol w:w="838"/>
        <w:gridCol w:w="1310"/>
        <w:gridCol w:w="1310"/>
        <w:gridCol w:w="1310"/>
        <w:gridCol w:w="1285"/>
      </w:tblGrid>
      <w:tr w:rsidR="00F6590B" w:rsidRPr="00F6590B" w14:paraId="4AE34869" w14:textId="77777777" w:rsidTr="00E84487">
        <w:trPr>
          <w:jc w:val="right"/>
        </w:trPr>
        <w:tc>
          <w:tcPr>
            <w:tcW w:w="2408" w:type="dxa"/>
            <w:gridSpan w:val="2"/>
            <w:tcBorders>
              <w:top w:val="nil"/>
              <w:left w:val="nil"/>
            </w:tcBorders>
          </w:tcPr>
          <w:p w14:paraId="0B411AA0" w14:textId="77777777" w:rsidR="00F6590B" w:rsidRPr="00F6590B" w:rsidRDefault="00F6590B" w:rsidP="00F6590B">
            <w:pPr>
              <w:contextualSpacing w:val="0"/>
              <w:rPr>
                <w:rFonts w:eastAsia="Times New Roman" w:cs="Arial"/>
                <w:sz w:val="16"/>
                <w:szCs w:val="16"/>
                <w:lang w:eastAsia="ca-ES"/>
              </w:rPr>
            </w:pPr>
          </w:p>
        </w:tc>
        <w:tc>
          <w:tcPr>
            <w:tcW w:w="843" w:type="dxa"/>
          </w:tcPr>
          <w:p w14:paraId="5BA72957"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Anàlisi bàsica</w:t>
            </w:r>
          </w:p>
        </w:tc>
        <w:tc>
          <w:tcPr>
            <w:tcW w:w="1317" w:type="dxa"/>
          </w:tcPr>
          <w:p w14:paraId="36E9D7CE"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1</w:t>
            </w:r>
          </w:p>
        </w:tc>
        <w:tc>
          <w:tcPr>
            <w:tcW w:w="1317" w:type="dxa"/>
          </w:tcPr>
          <w:p w14:paraId="4408D493"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2</w:t>
            </w:r>
          </w:p>
        </w:tc>
        <w:tc>
          <w:tcPr>
            <w:tcW w:w="1317" w:type="dxa"/>
          </w:tcPr>
          <w:p w14:paraId="21CFE3F8"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3</w:t>
            </w:r>
          </w:p>
        </w:tc>
        <w:tc>
          <w:tcPr>
            <w:tcW w:w="1292" w:type="dxa"/>
          </w:tcPr>
          <w:p w14:paraId="3F696F65"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Altres paràmetres addicionals</w:t>
            </w:r>
          </w:p>
        </w:tc>
      </w:tr>
      <w:tr w:rsidR="00F6590B" w:rsidRPr="00F6590B" w14:paraId="409C08EB" w14:textId="77777777" w:rsidTr="00E84487">
        <w:trPr>
          <w:jc w:val="right"/>
        </w:trPr>
        <w:tc>
          <w:tcPr>
            <w:tcW w:w="851" w:type="dxa"/>
            <w:vMerge w:val="restart"/>
            <w:vAlign w:val="center"/>
          </w:tcPr>
          <w:p w14:paraId="0C5DD25E"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Termini de lliurement del butlletí</w:t>
            </w:r>
          </w:p>
        </w:tc>
        <w:tc>
          <w:tcPr>
            <w:tcW w:w="1557" w:type="dxa"/>
          </w:tcPr>
          <w:p w14:paraId="065C1B0C" w14:textId="77777777" w:rsidR="00F6590B" w:rsidRPr="00F6590B" w:rsidRDefault="00F6590B" w:rsidP="00F6590B">
            <w:pPr>
              <w:contextualSpacing w:val="0"/>
              <w:rPr>
                <w:rFonts w:eastAsia="Times New Roman" w:cs="Arial"/>
                <w:sz w:val="16"/>
                <w:szCs w:val="16"/>
                <w:lang w:eastAsia="ca-ES"/>
              </w:rPr>
            </w:pPr>
            <w:r w:rsidRPr="00F6590B">
              <w:rPr>
                <w:rFonts w:eastAsia="Times New Roman" w:cs="Arial"/>
                <w:sz w:val="16"/>
                <w:szCs w:val="16"/>
                <w:lang w:eastAsia="ca-ES"/>
              </w:rPr>
              <w:t>Inferior  a 15 dies</w:t>
            </w:r>
          </w:p>
          <w:p w14:paraId="168645FF" w14:textId="77777777" w:rsidR="00F6590B" w:rsidRPr="00F6590B" w:rsidRDefault="00F6590B" w:rsidP="00F6590B">
            <w:pPr>
              <w:contextualSpacing w:val="0"/>
              <w:rPr>
                <w:rFonts w:eastAsia="Times New Roman" w:cs="Arial"/>
                <w:sz w:val="16"/>
                <w:szCs w:val="16"/>
                <w:lang w:eastAsia="ca-ES"/>
              </w:rPr>
            </w:pPr>
          </w:p>
        </w:tc>
        <w:tc>
          <w:tcPr>
            <w:tcW w:w="843" w:type="dxa"/>
            <w:tcBorders>
              <w:bottom w:val="single" w:sz="4" w:space="0" w:color="auto"/>
            </w:tcBorders>
            <w:vAlign w:val="center"/>
          </w:tcPr>
          <w:p w14:paraId="383808AD"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tcBorders>
              <w:bottom w:val="single" w:sz="4" w:space="0" w:color="auto"/>
            </w:tcBorders>
            <w:vAlign w:val="center"/>
          </w:tcPr>
          <w:p w14:paraId="58B1A1CC"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3198FDDB"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317" w:type="dxa"/>
            <w:vAlign w:val="center"/>
          </w:tcPr>
          <w:p w14:paraId="554F7FDE"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292" w:type="dxa"/>
            <w:vAlign w:val="center"/>
          </w:tcPr>
          <w:p w14:paraId="65E94229"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r>
      <w:tr w:rsidR="00F6590B" w:rsidRPr="00F6590B" w14:paraId="56287CA7" w14:textId="77777777" w:rsidTr="00E84487">
        <w:trPr>
          <w:jc w:val="right"/>
        </w:trPr>
        <w:tc>
          <w:tcPr>
            <w:tcW w:w="851" w:type="dxa"/>
            <w:vMerge/>
          </w:tcPr>
          <w:p w14:paraId="3D0EFA09" w14:textId="77777777" w:rsidR="00F6590B" w:rsidRPr="00F6590B" w:rsidRDefault="00F6590B" w:rsidP="00F6590B">
            <w:pPr>
              <w:contextualSpacing w:val="0"/>
              <w:rPr>
                <w:rFonts w:eastAsia="Times New Roman" w:cs="Arial"/>
                <w:sz w:val="16"/>
                <w:szCs w:val="16"/>
                <w:lang w:eastAsia="ca-ES"/>
              </w:rPr>
            </w:pPr>
          </w:p>
        </w:tc>
        <w:tc>
          <w:tcPr>
            <w:tcW w:w="1557" w:type="dxa"/>
          </w:tcPr>
          <w:p w14:paraId="029AFCDF" w14:textId="77777777" w:rsidR="00F6590B" w:rsidRPr="00F6590B" w:rsidRDefault="00F6590B" w:rsidP="00F6590B">
            <w:pPr>
              <w:contextualSpacing w:val="0"/>
              <w:rPr>
                <w:rFonts w:eastAsia="Times New Roman" w:cs="Arial"/>
                <w:sz w:val="16"/>
                <w:szCs w:val="16"/>
                <w:lang w:eastAsia="ca-ES"/>
              </w:rPr>
            </w:pPr>
            <w:r w:rsidRPr="00F6590B">
              <w:rPr>
                <w:rFonts w:eastAsia="Times New Roman" w:cs="Arial"/>
                <w:sz w:val="16"/>
                <w:szCs w:val="16"/>
                <w:lang w:eastAsia="ca-ES"/>
              </w:rPr>
              <w:t>superior a 15 dies i inferior a 30 dies</w:t>
            </w:r>
          </w:p>
        </w:tc>
        <w:tc>
          <w:tcPr>
            <w:tcW w:w="2160" w:type="dxa"/>
            <w:gridSpan w:val="2"/>
            <w:vMerge w:val="restart"/>
            <w:shd w:val="thinDiagStripe" w:color="auto" w:fill="auto"/>
            <w:vAlign w:val="center"/>
          </w:tcPr>
          <w:p w14:paraId="0EE3A313" w14:textId="77777777" w:rsidR="00F6590B" w:rsidRPr="00F6590B" w:rsidRDefault="00F6590B" w:rsidP="00F6590B">
            <w:pPr>
              <w:contextualSpacing w:val="0"/>
              <w:jc w:val="center"/>
              <w:rPr>
                <w:rFonts w:eastAsia="Times New Roman" w:cs="Arial"/>
                <w:sz w:val="16"/>
                <w:szCs w:val="16"/>
                <w:lang w:eastAsia="ca-ES"/>
              </w:rPr>
            </w:pPr>
          </w:p>
        </w:tc>
        <w:tc>
          <w:tcPr>
            <w:tcW w:w="1317" w:type="dxa"/>
            <w:vAlign w:val="center"/>
          </w:tcPr>
          <w:p w14:paraId="4DF3BBE3"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2</w:t>
            </w:r>
          </w:p>
        </w:tc>
        <w:tc>
          <w:tcPr>
            <w:tcW w:w="1317" w:type="dxa"/>
            <w:vAlign w:val="center"/>
          </w:tcPr>
          <w:p w14:paraId="1A7BD5D9"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2</w:t>
            </w:r>
          </w:p>
        </w:tc>
        <w:tc>
          <w:tcPr>
            <w:tcW w:w="1292" w:type="dxa"/>
            <w:vAlign w:val="center"/>
          </w:tcPr>
          <w:p w14:paraId="1BC7AC44"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2</w:t>
            </w:r>
          </w:p>
        </w:tc>
      </w:tr>
      <w:tr w:rsidR="00F6590B" w:rsidRPr="00F6590B" w14:paraId="4138B1B3" w14:textId="77777777" w:rsidTr="00E84487">
        <w:trPr>
          <w:jc w:val="right"/>
        </w:trPr>
        <w:tc>
          <w:tcPr>
            <w:tcW w:w="851" w:type="dxa"/>
            <w:vMerge/>
          </w:tcPr>
          <w:p w14:paraId="6A42E53D" w14:textId="77777777" w:rsidR="00F6590B" w:rsidRPr="00F6590B" w:rsidRDefault="00F6590B" w:rsidP="00F6590B">
            <w:pPr>
              <w:contextualSpacing w:val="0"/>
              <w:rPr>
                <w:rFonts w:eastAsia="Times New Roman" w:cs="Arial"/>
                <w:sz w:val="16"/>
                <w:szCs w:val="16"/>
                <w:lang w:eastAsia="ca-ES"/>
              </w:rPr>
            </w:pPr>
          </w:p>
        </w:tc>
        <w:tc>
          <w:tcPr>
            <w:tcW w:w="1557" w:type="dxa"/>
          </w:tcPr>
          <w:p w14:paraId="23613572" w14:textId="77777777" w:rsidR="00F6590B" w:rsidRPr="00F6590B" w:rsidRDefault="00F6590B" w:rsidP="00F6590B">
            <w:pPr>
              <w:contextualSpacing w:val="0"/>
              <w:rPr>
                <w:rFonts w:eastAsia="Times New Roman" w:cs="Arial"/>
                <w:sz w:val="16"/>
                <w:szCs w:val="16"/>
                <w:lang w:eastAsia="ca-ES"/>
              </w:rPr>
            </w:pPr>
            <w:r w:rsidRPr="00F6590B">
              <w:rPr>
                <w:rFonts w:eastAsia="Times New Roman" w:cs="Arial"/>
                <w:sz w:val="16"/>
                <w:szCs w:val="16"/>
                <w:lang w:eastAsia="ca-ES"/>
              </w:rPr>
              <w:t>Superior a 30 dies</w:t>
            </w:r>
          </w:p>
        </w:tc>
        <w:tc>
          <w:tcPr>
            <w:tcW w:w="2160" w:type="dxa"/>
            <w:gridSpan w:val="2"/>
            <w:vMerge/>
            <w:shd w:val="thinDiagStripe" w:color="auto" w:fill="auto"/>
          </w:tcPr>
          <w:p w14:paraId="634C198C" w14:textId="77777777" w:rsidR="00F6590B" w:rsidRPr="00F6590B" w:rsidRDefault="00F6590B" w:rsidP="00F6590B">
            <w:pPr>
              <w:contextualSpacing w:val="0"/>
              <w:jc w:val="center"/>
              <w:rPr>
                <w:rFonts w:eastAsia="Times New Roman" w:cs="Arial"/>
                <w:sz w:val="16"/>
                <w:szCs w:val="16"/>
                <w:lang w:eastAsia="ca-ES"/>
              </w:rPr>
            </w:pPr>
          </w:p>
        </w:tc>
        <w:tc>
          <w:tcPr>
            <w:tcW w:w="1317" w:type="dxa"/>
            <w:vAlign w:val="center"/>
          </w:tcPr>
          <w:p w14:paraId="797D0678"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4C6E180A"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292" w:type="dxa"/>
            <w:vAlign w:val="center"/>
          </w:tcPr>
          <w:p w14:paraId="369D0795"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r>
    </w:tbl>
    <w:p w14:paraId="37060050" w14:textId="77777777" w:rsidR="00F6590B" w:rsidRPr="00F6590B" w:rsidRDefault="00F6590B" w:rsidP="00F6590B"/>
    <w:p w14:paraId="7C46C032" w14:textId="77777777" w:rsidR="00F6590B" w:rsidRPr="00F6590B" w:rsidRDefault="00F6590B" w:rsidP="00F6590B">
      <w:pPr>
        <w:ind w:left="708"/>
      </w:pPr>
      <w:r w:rsidRPr="00F6590B">
        <w:t>Els terminis d’entrega dels butlletins de resultats analítics superior a 15 dies per les analítiques bàsiques i pels paràmetres addicionals del grup 1 comportarà l’exclusió per incomplir amb el plec de clàusules tècniques particulars.</w:t>
      </w:r>
    </w:p>
    <w:p w14:paraId="414834C7" w14:textId="77777777" w:rsidR="00F6590B" w:rsidRPr="00F6590B" w:rsidRDefault="00F6590B" w:rsidP="00F6590B">
      <w:pPr>
        <w:ind w:left="708"/>
      </w:pPr>
    </w:p>
    <w:p w14:paraId="0A1D7E74" w14:textId="77777777" w:rsidR="00F6590B" w:rsidRPr="00F6590B" w:rsidRDefault="00F6590B" w:rsidP="00F6590B"/>
    <w:p w14:paraId="2888D88C" w14:textId="77777777" w:rsidR="00F6590B" w:rsidRPr="00F6590B" w:rsidRDefault="00F6590B" w:rsidP="00F6590B">
      <w:pPr>
        <w:numPr>
          <w:ilvl w:val="0"/>
          <w:numId w:val="8"/>
        </w:numPr>
      </w:pPr>
      <w:r w:rsidRPr="00F6590B">
        <w:rPr>
          <w:b/>
          <w:bCs/>
        </w:rPr>
        <w:t>Termini del trajecte fins a la EDAR de Vic (amb un màxim de 6 punts</w:t>
      </w:r>
      <w:r w:rsidRPr="00F6590B">
        <w:t>): aquest s’entén com el temps des de que el transport surt fins a la recollida de la mostra a la EDAR de Vic. S’haurà d’adjuntar amb una breu explicació del transport que es pretén utilitzar indicant com a mínim:</w:t>
      </w:r>
    </w:p>
    <w:p w14:paraId="24E83360" w14:textId="77777777" w:rsidR="00F6590B" w:rsidRPr="00F6590B" w:rsidRDefault="00F6590B" w:rsidP="00F6590B">
      <w:pPr>
        <w:numPr>
          <w:ilvl w:val="0"/>
          <w:numId w:val="7"/>
        </w:numPr>
      </w:pPr>
      <w:r w:rsidRPr="00F6590B">
        <w:t>Temps estimat del trajecte</w:t>
      </w:r>
    </w:p>
    <w:p w14:paraId="7B07AC68" w14:textId="77777777" w:rsidR="00F6590B" w:rsidRPr="00F6590B" w:rsidRDefault="00F6590B" w:rsidP="00F6590B">
      <w:pPr>
        <w:numPr>
          <w:ilvl w:val="0"/>
          <w:numId w:val="7"/>
        </w:numPr>
      </w:pPr>
      <w:r w:rsidRPr="00F6590B">
        <w:t>Si serà transport subcontractat o transport propi</w:t>
      </w:r>
    </w:p>
    <w:p w14:paraId="706E1D5F" w14:textId="77777777" w:rsidR="00F6590B" w:rsidRPr="00F6590B" w:rsidRDefault="00F6590B" w:rsidP="00F6590B">
      <w:pPr>
        <w:numPr>
          <w:ilvl w:val="0"/>
          <w:numId w:val="7"/>
        </w:numPr>
      </w:pPr>
      <w:r w:rsidRPr="00F6590B">
        <w:t>Tipus de vehicle emprat</w:t>
      </w:r>
    </w:p>
    <w:p w14:paraId="4B69AEA3" w14:textId="77777777" w:rsidR="00F6590B" w:rsidRPr="00F6590B" w:rsidRDefault="00F6590B" w:rsidP="00F6590B">
      <w:pPr>
        <w:numPr>
          <w:ilvl w:val="0"/>
          <w:numId w:val="7"/>
        </w:numPr>
      </w:pPr>
      <w:r w:rsidRPr="00F6590B">
        <w:t xml:space="preserve">Ubicació de sortida del vehicle </w:t>
      </w:r>
    </w:p>
    <w:p w14:paraId="305D7710" w14:textId="77777777" w:rsidR="00F6590B" w:rsidRPr="00F6590B" w:rsidRDefault="00F6590B" w:rsidP="00F6590B">
      <w:pPr>
        <w:numPr>
          <w:ilvl w:val="0"/>
          <w:numId w:val="7"/>
        </w:numPr>
      </w:pPr>
      <w:r w:rsidRPr="00F6590B">
        <w:t>Distància fins a la EDAR de Vic</w:t>
      </w:r>
    </w:p>
    <w:p w14:paraId="0CAD5E1B" w14:textId="77777777" w:rsidR="00F6590B" w:rsidRPr="00F6590B" w:rsidRDefault="00F6590B" w:rsidP="00F6590B">
      <w:pPr>
        <w:ind w:left="720"/>
      </w:pPr>
    </w:p>
    <w:p w14:paraId="71FFFB9C" w14:textId="77777777" w:rsidR="00F6590B" w:rsidRPr="00F6590B" w:rsidRDefault="00F6590B" w:rsidP="00F6590B">
      <w:pPr>
        <w:ind w:left="720"/>
      </w:pPr>
      <w:r w:rsidRPr="00F6590B">
        <w:t>Aquest apartat es valorarà amb 6 punts en cas d’aportar tota la informació que es demana i amb 0 punts si no s’aporta la informació requerida.</w:t>
      </w:r>
    </w:p>
    <w:p w14:paraId="04648CA8" w14:textId="77777777" w:rsidR="00F6590B" w:rsidRPr="00F6590B" w:rsidRDefault="00F6590B" w:rsidP="00F6590B"/>
    <w:p w14:paraId="2074BB9C" w14:textId="77777777" w:rsidR="00F6590B" w:rsidRPr="00F6590B" w:rsidRDefault="00F6590B" w:rsidP="00F6590B">
      <w:pPr>
        <w:numPr>
          <w:ilvl w:val="0"/>
          <w:numId w:val="8"/>
        </w:numPr>
      </w:pPr>
      <w:r w:rsidRPr="00F6590B">
        <w:rPr>
          <w:b/>
          <w:bCs/>
        </w:rPr>
        <w:t>Termini del trajecte fins al laboratori (amb un màxim de 15 punts):</w:t>
      </w:r>
      <w:r w:rsidRPr="00F6590B">
        <w:t xml:space="preserve"> aquest s’entén com el temps des de que la mostra surt de la EDAR de Vic fins que arriba al laboratori que ha de realitzar l’analítica. S’haurà d’adjuntar amb una breu explicació del transport que es pretén utilitzar per cada grup de paràmetres indicant com a mínim:</w:t>
      </w:r>
    </w:p>
    <w:p w14:paraId="394E1A73" w14:textId="77777777" w:rsidR="00F6590B" w:rsidRPr="00F6590B" w:rsidRDefault="00F6590B" w:rsidP="00F6590B">
      <w:pPr>
        <w:numPr>
          <w:ilvl w:val="0"/>
          <w:numId w:val="7"/>
        </w:numPr>
      </w:pPr>
      <w:r w:rsidRPr="00F6590B">
        <w:t>Temps estimat del trajecte per grup de paràmetres</w:t>
      </w:r>
    </w:p>
    <w:p w14:paraId="04599243" w14:textId="77777777" w:rsidR="00F6590B" w:rsidRPr="00F6590B" w:rsidRDefault="00F6590B" w:rsidP="00F6590B">
      <w:pPr>
        <w:numPr>
          <w:ilvl w:val="0"/>
          <w:numId w:val="7"/>
        </w:numPr>
      </w:pPr>
      <w:r w:rsidRPr="00F6590B">
        <w:t>Si serà transport subcontractat o transport propi per grup de paràmetres</w:t>
      </w:r>
    </w:p>
    <w:p w14:paraId="7B4CB7B4" w14:textId="77777777" w:rsidR="00F6590B" w:rsidRPr="00F6590B" w:rsidRDefault="00F6590B" w:rsidP="00F6590B">
      <w:pPr>
        <w:numPr>
          <w:ilvl w:val="0"/>
          <w:numId w:val="7"/>
        </w:numPr>
      </w:pPr>
      <w:r w:rsidRPr="00F6590B">
        <w:t>Tipus de vehicle emprat per grup de paràmetres</w:t>
      </w:r>
    </w:p>
    <w:p w14:paraId="49306A67" w14:textId="77777777" w:rsidR="00F6590B" w:rsidRPr="00F6590B" w:rsidRDefault="00F6590B" w:rsidP="00F6590B">
      <w:pPr>
        <w:numPr>
          <w:ilvl w:val="0"/>
          <w:numId w:val="7"/>
        </w:numPr>
      </w:pPr>
      <w:r w:rsidRPr="00F6590B">
        <w:t xml:space="preserve">Si hi ha laboratori </w:t>
      </w:r>
      <w:proofErr w:type="spellStart"/>
      <w:r w:rsidRPr="00F6590B">
        <w:t>intermig</w:t>
      </w:r>
      <w:proofErr w:type="spellEnd"/>
      <w:r w:rsidRPr="00F6590B">
        <w:t xml:space="preserve"> de destí de mostres, la seva ubicació, distància des de la EDAR de Vic, temps en què la mostra està al laboratori </w:t>
      </w:r>
      <w:proofErr w:type="spellStart"/>
      <w:r w:rsidRPr="00F6590B">
        <w:t>intermig</w:t>
      </w:r>
      <w:proofErr w:type="spellEnd"/>
    </w:p>
    <w:p w14:paraId="616ECE8D" w14:textId="77777777" w:rsidR="00F6590B" w:rsidRPr="00F6590B" w:rsidRDefault="00F6590B" w:rsidP="00F6590B">
      <w:pPr>
        <w:numPr>
          <w:ilvl w:val="0"/>
          <w:numId w:val="7"/>
        </w:numPr>
      </w:pPr>
      <w:r w:rsidRPr="00F6590B">
        <w:t xml:space="preserve">Ubicació del laboratori que realitza l’analítica </w:t>
      </w:r>
    </w:p>
    <w:p w14:paraId="72F6EEF5" w14:textId="77777777" w:rsidR="00F6590B" w:rsidRPr="00F6590B" w:rsidRDefault="00F6590B" w:rsidP="00F6590B">
      <w:pPr>
        <w:numPr>
          <w:ilvl w:val="0"/>
          <w:numId w:val="7"/>
        </w:numPr>
      </w:pPr>
      <w:r w:rsidRPr="00F6590B">
        <w:t xml:space="preserve">Distància del laboratori que realitza l’analítica fins a la EDAR de Vic o fins al laboratori </w:t>
      </w:r>
      <w:proofErr w:type="spellStart"/>
      <w:r w:rsidRPr="00F6590B">
        <w:t>intermig</w:t>
      </w:r>
      <w:proofErr w:type="spellEnd"/>
      <w:r w:rsidRPr="00F6590B">
        <w:t xml:space="preserve"> (si és el cas)</w:t>
      </w:r>
    </w:p>
    <w:p w14:paraId="063A10E3" w14:textId="77777777" w:rsidR="00F6590B" w:rsidRPr="00F6590B" w:rsidRDefault="00F6590B" w:rsidP="00F6590B">
      <w:pPr>
        <w:ind w:left="708"/>
      </w:pPr>
    </w:p>
    <w:p w14:paraId="7CA68CE2" w14:textId="77777777" w:rsidR="00F6590B" w:rsidRPr="00F6590B" w:rsidRDefault="00F6590B" w:rsidP="00F6590B">
      <w:pPr>
        <w:ind w:left="708"/>
      </w:pPr>
      <w:r w:rsidRPr="00F6590B">
        <w:t>En aquest cas es valorarà si s’aporta la informació per cada grup de paràmetres i es valorarà amb 0 punts si no s’aporta informació. Concretament:</w:t>
      </w:r>
    </w:p>
    <w:p w14:paraId="1C77B1B1" w14:textId="77777777" w:rsidR="00F6590B" w:rsidRPr="00F6590B" w:rsidRDefault="00F6590B" w:rsidP="00F6590B"/>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843"/>
        <w:gridCol w:w="1317"/>
        <w:gridCol w:w="1317"/>
        <w:gridCol w:w="1317"/>
        <w:gridCol w:w="1292"/>
      </w:tblGrid>
      <w:tr w:rsidR="00F6590B" w:rsidRPr="00F6590B" w14:paraId="0F35D9A7" w14:textId="77777777" w:rsidTr="00E84487">
        <w:trPr>
          <w:jc w:val="right"/>
        </w:trPr>
        <w:tc>
          <w:tcPr>
            <w:tcW w:w="2408" w:type="dxa"/>
            <w:tcBorders>
              <w:top w:val="nil"/>
              <w:left w:val="nil"/>
            </w:tcBorders>
          </w:tcPr>
          <w:p w14:paraId="36E882E2" w14:textId="77777777" w:rsidR="00F6590B" w:rsidRPr="00F6590B" w:rsidRDefault="00F6590B" w:rsidP="00F6590B">
            <w:pPr>
              <w:contextualSpacing w:val="0"/>
              <w:rPr>
                <w:rFonts w:eastAsia="Times New Roman" w:cs="Arial"/>
                <w:sz w:val="16"/>
                <w:szCs w:val="16"/>
                <w:lang w:eastAsia="ca-ES"/>
              </w:rPr>
            </w:pPr>
          </w:p>
        </w:tc>
        <w:tc>
          <w:tcPr>
            <w:tcW w:w="843" w:type="dxa"/>
          </w:tcPr>
          <w:p w14:paraId="10F1D8B1"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Anàlisi bàsica</w:t>
            </w:r>
          </w:p>
        </w:tc>
        <w:tc>
          <w:tcPr>
            <w:tcW w:w="1317" w:type="dxa"/>
          </w:tcPr>
          <w:p w14:paraId="2912C7CF"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1</w:t>
            </w:r>
          </w:p>
        </w:tc>
        <w:tc>
          <w:tcPr>
            <w:tcW w:w="1317" w:type="dxa"/>
          </w:tcPr>
          <w:p w14:paraId="50880AF1"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2</w:t>
            </w:r>
          </w:p>
        </w:tc>
        <w:tc>
          <w:tcPr>
            <w:tcW w:w="1317" w:type="dxa"/>
          </w:tcPr>
          <w:p w14:paraId="0E18A8FA"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3</w:t>
            </w:r>
          </w:p>
        </w:tc>
        <w:tc>
          <w:tcPr>
            <w:tcW w:w="1292" w:type="dxa"/>
          </w:tcPr>
          <w:p w14:paraId="63174819"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Altres paràmetres addicionals</w:t>
            </w:r>
          </w:p>
        </w:tc>
      </w:tr>
      <w:tr w:rsidR="00F6590B" w:rsidRPr="00F6590B" w14:paraId="6AB8C255" w14:textId="77777777" w:rsidTr="00E84487">
        <w:trPr>
          <w:jc w:val="right"/>
        </w:trPr>
        <w:tc>
          <w:tcPr>
            <w:tcW w:w="2408" w:type="dxa"/>
            <w:vAlign w:val="center"/>
          </w:tcPr>
          <w:p w14:paraId="1FEB84BB" w14:textId="77777777" w:rsidR="00F6590B" w:rsidRPr="00F6590B" w:rsidRDefault="00F6590B" w:rsidP="00F6590B">
            <w:pPr>
              <w:contextualSpacing w:val="0"/>
              <w:rPr>
                <w:rFonts w:eastAsia="Times New Roman" w:cs="Arial"/>
                <w:sz w:val="16"/>
                <w:szCs w:val="16"/>
                <w:lang w:eastAsia="ca-ES"/>
              </w:rPr>
            </w:pPr>
            <w:r w:rsidRPr="00F6590B">
              <w:rPr>
                <w:rFonts w:eastAsia="Times New Roman" w:cs="Arial"/>
                <w:sz w:val="16"/>
                <w:szCs w:val="16"/>
                <w:lang w:eastAsia="ca-ES"/>
              </w:rPr>
              <w:t>Aporta informació requerida</w:t>
            </w:r>
          </w:p>
          <w:p w14:paraId="294FC217" w14:textId="77777777" w:rsidR="00F6590B" w:rsidRPr="00F6590B" w:rsidRDefault="00F6590B" w:rsidP="00F6590B">
            <w:pPr>
              <w:contextualSpacing w:val="0"/>
              <w:rPr>
                <w:rFonts w:eastAsia="Times New Roman" w:cs="Arial"/>
                <w:sz w:val="16"/>
                <w:szCs w:val="16"/>
                <w:lang w:eastAsia="ca-ES"/>
              </w:rPr>
            </w:pPr>
          </w:p>
        </w:tc>
        <w:tc>
          <w:tcPr>
            <w:tcW w:w="843" w:type="dxa"/>
            <w:vAlign w:val="center"/>
          </w:tcPr>
          <w:p w14:paraId="73D5C31F"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317" w:type="dxa"/>
            <w:vAlign w:val="center"/>
          </w:tcPr>
          <w:p w14:paraId="6AAB6323"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317" w:type="dxa"/>
            <w:vAlign w:val="center"/>
          </w:tcPr>
          <w:p w14:paraId="4C071EB0"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317" w:type="dxa"/>
            <w:vAlign w:val="center"/>
          </w:tcPr>
          <w:p w14:paraId="48313222"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292" w:type="dxa"/>
            <w:vAlign w:val="center"/>
          </w:tcPr>
          <w:p w14:paraId="225D2748"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r>
      <w:tr w:rsidR="00F6590B" w:rsidRPr="00F6590B" w14:paraId="6C20B151" w14:textId="77777777" w:rsidTr="00E84487">
        <w:trPr>
          <w:jc w:val="right"/>
        </w:trPr>
        <w:tc>
          <w:tcPr>
            <w:tcW w:w="2408" w:type="dxa"/>
            <w:vAlign w:val="center"/>
          </w:tcPr>
          <w:p w14:paraId="4D04142A" w14:textId="77777777" w:rsidR="00F6590B" w:rsidRPr="00F6590B" w:rsidRDefault="00F6590B" w:rsidP="00F6590B">
            <w:pPr>
              <w:contextualSpacing w:val="0"/>
              <w:rPr>
                <w:rFonts w:eastAsia="Times New Roman" w:cs="Arial"/>
                <w:sz w:val="16"/>
                <w:szCs w:val="16"/>
                <w:lang w:eastAsia="ca-ES"/>
              </w:rPr>
            </w:pPr>
            <w:r w:rsidRPr="00F6590B">
              <w:rPr>
                <w:rFonts w:eastAsia="Times New Roman" w:cs="Arial"/>
                <w:sz w:val="16"/>
                <w:szCs w:val="16"/>
                <w:lang w:eastAsia="ca-ES"/>
              </w:rPr>
              <w:t>No aporta informació requerida</w:t>
            </w:r>
          </w:p>
        </w:tc>
        <w:tc>
          <w:tcPr>
            <w:tcW w:w="843" w:type="dxa"/>
            <w:vAlign w:val="center"/>
          </w:tcPr>
          <w:p w14:paraId="30866E91"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304C8C50"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03AFB886"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0746AFE5"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292" w:type="dxa"/>
            <w:vAlign w:val="center"/>
          </w:tcPr>
          <w:p w14:paraId="3DD6950C"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r>
    </w:tbl>
    <w:p w14:paraId="3D3F66F6" w14:textId="77777777" w:rsidR="00F6590B" w:rsidRPr="00F6590B" w:rsidRDefault="00F6590B" w:rsidP="00F6590B"/>
    <w:p w14:paraId="445DD2FE" w14:textId="77777777" w:rsidR="00F6590B" w:rsidRPr="00F6590B" w:rsidRDefault="00F6590B" w:rsidP="00F6590B"/>
    <w:p w14:paraId="5E743C21" w14:textId="77777777" w:rsidR="00F6590B" w:rsidRPr="00F6590B" w:rsidRDefault="00F6590B" w:rsidP="00F6590B">
      <w:pPr>
        <w:numPr>
          <w:ilvl w:val="0"/>
          <w:numId w:val="8"/>
        </w:numPr>
      </w:pPr>
      <w:r w:rsidRPr="00F6590B">
        <w:rPr>
          <w:b/>
          <w:bCs/>
        </w:rPr>
        <w:t>Temps estimat de l’anàlisi (amb un màxim de 15 punts</w:t>
      </w:r>
      <w:r w:rsidRPr="00F6590B">
        <w:t>): entenent-se com el temps que s’estima en la durada de l’anàlisi en sí. Aquest apartat haurà d’anar acompanyat del mètode analític emprat. En cas que no s’indiqui el mètode emprat per cada paràmetre o família de paràmetres es valorarà aquest apartat amb 0 punts tal i com s’indica a la taula següent:</w:t>
      </w:r>
    </w:p>
    <w:p w14:paraId="2C33A05F" w14:textId="77777777" w:rsidR="00F6590B" w:rsidRPr="00F6590B" w:rsidRDefault="00F6590B" w:rsidP="00F6590B"/>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843"/>
        <w:gridCol w:w="1317"/>
        <w:gridCol w:w="1317"/>
        <w:gridCol w:w="1317"/>
        <w:gridCol w:w="1292"/>
      </w:tblGrid>
      <w:tr w:rsidR="00F6590B" w:rsidRPr="00F6590B" w14:paraId="31010F1B" w14:textId="77777777" w:rsidTr="00E84487">
        <w:trPr>
          <w:jc w:val="right"/>
        </w:trPr>
        <w:tc>
          <w:tcPr>
            <w:tcW w:w="2408" w:type="dxa"/>
            <w:tcBorders>
              <w:top w:val="nil"/>
              <w:left w:val="nil"/>
            </w:tcBorders>
          </w:tcPr>
          <w:p w14:paraId="539C22F2" w14:textId="77777777" w:rsidR="00F6590B" w:rsidRPr="00F6590B" w:rsidRDefault="00F6590B" w:rsidP="00F6590B">
            <w:pPr>
              <w:contextualSpacing w:val="0"/>
              <w:rPr>
                <w:rFonts w:eastAsia="Times New Roman" w:cs="Arial"/>
                <w:sz w:val="16"/>
                <w:szCs w:val="16"/>
                <w:lang w:eastAsia="ca-ES"/>
              </w:rPr>
            </w:pPr>
          </w:p>
        </w:tc>
        <w:tc>
          <w:tcPr>
            <w:tcW w:w="843" w:type="dxa"/>
          </w:tcPr>
          <w:p w14:paraId="27F56DDD"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Anàlisi bàsica</w:t>
            </w:r>
          </w:p>
        </w:tc>
        <w:tc>
          <w:tcPr>
            <w:tcW w:w="1317" w:type="dxa"/>
          </w:tcPr>
          <w:p w14:paraId="0D8489DC"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1</w:t>
            </w:r>
          </w:p>
        </w:tc>
        <w:tc>
          <w:tcPr>
            <w:tcW w:w="1317" w:type="dxa"/>
          </w:tcPr>
          <w:p w14:paraId="30A976D8"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2</w:t>
            </w:r>
          </w:p>
        </w:tc>
        <w:tc>
          <w:tcPr>
            <w:tcW w:w="1317" w:type="dxa"/>
          </w:tcPr>
          <w:p w14:paraId="7040FF9A"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Paràmetres addicionals grup 3</w:t>
            </w:r>
          </w:p>
        </w:tc>
        <w:tc>
          <w:tcPr>
            <w:tcW w:w="1292" w:type="dxa"/>
          </w:tcPr>
          <w:p w14:paraId="089AAD8F"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Altres paràmetres addicionals</w:t>
            </w:r>
          </w:p>
        </w:tc>
      </w:tr>
      <w:tr w:rsidR="00F6590B" w:rsidRPr="00F6590B" w14:paraId="1A00FB2E" w14:textId="77777777" w:rsidTr="00E84487">
        <w:trPr>
          <w:jc w:val="right"/>
        </w:trPr>
        <w:tc>
          <w:tcPr>
            <w:tcW w:w="2408" w:type="dxa"/>
            <w:vAlign w:val="center"/>
          </w:tcPr>
          <w:p w14:paraId="10AD5594" w14:textId="77777777" w:rsidR="00F6590B" w:rsidRPr="00F6590B" w:rsidRDefault="00F6590B" w:rsidP="00F6590B">
            <w:pPr>
              <w:contextualSpacing w:val="0"/>
              <w:rPr>
                <w:rFonts w:eastAsia="Times New Roman" w:cs="Arial"/>
                <w:sz w:val="16"/>
                <w:szCs w:val="16"/>
                <w:lang w:eastAsia="ca-ES"/>
              </w:rPr>
            </w:pPr>
            <w:r w:rsidRPr="00F6590B">
              <w:rPr>
                <w:rFonts w:eastAsia="Times New Roman" w:cs="Arial"/>
                <w:sz w:val="16"/>
                <w:szCs w:val="16"/>
                <w:lang w:eastAsia="ca-ES"/>
              </w:rPr>
              <w:t>Indica el temps estimat d’anàlisi i aporta el mètode analític emprat</w:t>
            </w:r>
          </w:p>
          <w:p w14:paraId="64B8CF47" w14:textId="77777777" w:rsidR="00F6590B" w:rsidRPr="00F6590B" w:rsidRDefault="00F6590B" w:rsidP="00F6590B">
            <w:pPr>
              <w:contextualSpacing w:val="0"/>
              <w:rPr>
                <w:rFonts w:eastAsia="Times New Roman" w:cs="Arial"/>
                <w:sz w:val="16"/>
                <w:szCs w:val="16"/>
                <w:lang w:eastAsia="ca-ES"/>
              </w:rPr>
            </w:pPr>
          </w:p>
        </w:tc>
        <w:tc>
          <w:tcPr>
            <w:tcW w:w="843" w:type="dxa"/>
            <w:vAlign w:val="center"/>
          </w:tcPr>
          <w:p w14:paraId="20F4BFB2"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317" w:type="dxa"/>
            <w:vAlign w:val="center"/>
          </w:tcPr>
          <w:p w14:paraId="686ACE87"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317" w:type="dxa"/>
            <w:vAlign w:val="center"/>
          </w:tcPr>
          <w:p w14:paraId="6481FA17"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317" w:type="dxa"/>
            <w:vAlign w:val="center"/>
          </w:tcPr>
          <w:p w14:paraId="69643785"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c>
          <w:tcPr>
            <w:tcW w:w="1292" w:type="dxa"/>
            <w:vAlign w:val="center"/>
          </w:tcPr>
          <w:p w14:paraId="44B2CA20"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3</w:t>
            </w:r>
          </w:p>
        </w:tc>
      </w:tr>
      <w:tr w:rsidR="00F6590B" w:rsidRPr="00F6590B" w14:paraId="0CD8A76C" w14:textId="77777777" w:rsidTr="00E84487">
        <w:trPr>
          <w:jc w:val="right"/>
        </w:trPr>
        <w:tc>
          <w:tcPr>
            <w:tcW w:w="2408" w:type="dxa"/>
            <w:vAlign w:val="center"/>
          </w:tcPr>
          <w:p w14:paraId="32B0C71D" w14:textId="77777777" w:rsidR="00F6590B" w:rsidRPr="00F6590B" w:rsidRDefault="00F6590B" w:rsidP="00F6590B">
            <w:pPr>
              <w:contextualSpacing w:val="0"/>
              <w:rPr>
                <w:rFonts w:eastAsia="Times New Roman" w:cs="Arial"/>
                <w:sz w:val="16"/>
                <w:szCs w:val="16"/>
                <w:lang w:eastAsia="ca-ES"/>
              </w:rPr>
            </w:pPr>
            <w:r w:rsidRPr="00F6590B">
              <w:rPr>
                <w:rFonts w:eastAsia="Times New Roman" w:cs="Arial"/>
                <w:sz w:val="16"/>
                <w:szCs w:val="16"/>
                <w:lang w:eastAsia="ca-ES"/>
              </w:rPr>
              <w:t>No indica el temps estimat d’anàlisi i/o no aporta el mètode analític emprat</w:t>
            </w:r>
          </w:p>
          <w:p w14:paraId="42D36E3D" w14:textId="77777777" w:rsidR="00F6590B" w:rsidRPr="00F6590B" w:rsidRDefault="00F6590B" w:rsidP="00F6590B">
            <w:pPr>
              <w:contextualSpacing w:val="0"/>
              <w:rPr>
                <w:rFonts w:eastAsia="Times New Roman" w:cs="Arial"/>
                <w:sz w:val="16"/>
                <w:szCs w:val="16"/>
                <w:lang w:eastAsia="ca-ES"/>
              </w:rPr>
            </w:pPr>
          </w:p>
        </w:tc>
        <w:tc>
          <w:tcPr>
            <w:tcW w:w="843" w:type="dxa"/>
            <w:vAlign w:val="center"/>
          </w:tcPr>
          <w:p w14:paraId="4438F7AC"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58824F55"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1A2A6585"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317" w:type="dxa"/>
            <w:vAlign w:val="center"/>
          </w:tcPr>
          <w:p w14:paraId="67855989"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c>
          <w:tcPr>
            <w:tcW w:w="1292" w:type="dxa"/>
            <w:vAlign w:val="center"/>
          </w:tcPr>
          <w:p w14:paraId="01C8BBC8" w14:textId="77777777" w:rsidR="00F6590B" w:rsidRPr="00F6590B" w:rsidRDefault="00F6590B" w:rsidP="00F6590B">
            <w:pPr>
              <w:contextualSpacing w:val="0"/>
              <w:jc w:val="center"/>
              <w:rPr>
                <w:rFonts w:eastAsia="Times New Roman" w:cs="Arial"/>
                <w:sz w:val="16"/>
                <w:szCs w:val="16"/>
                <w:lang w:eastAsia="ca-ES"/>
              </w:rPr>
            </w:pPr>
            <w:r w:rsidRPr="00F6590B">
              <w:rPr>
                <w:rFonts w:eastAsia="Times New Roman" w:cs="Arial"/>
                <w:sz w:val="16"/>
                <w:szCs w:val="16"/>
                <w:lang w:eastAsia="ca-ES"/>
              </w:rPr>
              <w:t>0</w:t>
            </w:r>
          </w:p>
        </w:tc>
      </w:tr>
    </w:tbl>
    <w:p w14:paraId="6E9BA3D0" w14:textId="77777777" w:rsidR="00F6590B" w:rsidRPr="00F6590B" w:rsidRDefault="00F6590B" w:rsidP="00F6590B"/>
    <w:p w14:paraId="63E861A1" w14:textId="77777777" w:rsidR="00F6590B" w:rsidRPr="00F6590B" w:rsidRDefault="00F6590B" w:rsidP="00F6590B">
      <w:r w:rsidRPr="00F6590B">
        <w:t>En el cas que hi hagi contradiccions entre el termini de lliurement dels butlletins dels resultats analítics amb la resta de terminis es valorarà tot l’apartat amb 0 punts.</w:t>
      </w:r>
    </w:p>
    <w:p w14:paraId="64F650F3" w14:textId="77777777" w:rsidR="00F6590B" w:rsidRPr="00F6590B" w:rsidRDefault="00F6590B" w:rsidP="00F6590B">
      <w:pPr>
        <w:ind w:left="348"/>
        <w:rPr>
          <w:lang w:eastAsia="es-ES"/>
        </w:rPr>
      </w:pPr>
    </w:p>
    <w:p w14:paraId="588C76F5" w14:textId="77777777" w:rsidR="00F6590B" w:rsidRPr="00F6590B" w:rsidRDefault="00F6590B" w:rsidP="00F6590B">
      <w:pPr>
        <w:ind w:left="348"/>
        <w:rPr>
          <w:lang w:eastAsia="es-ES"/>
        </w:rPr>
      </w:pPr>
    </w:p>
    <w:p w14:paraId="1FBC7870" w14:textId="77777777" w:rsidR="00F6590B" w:rsidRPr="00F6590B" w:rsidRDefault="00F6590B" w:rsidP="00F6590B">
      <w:pPr>
        <w:ind w:left="720"/>
        <w:rPr>
          <w:rFonts w:cs="Arial"/>
        </w:rPr>
      </w:pPr>
    </w:p>
    <w:p w14:paraId="1C651597" w14:textId="77777777" w:rsidR="00F6590B" w:rsidRPr="00F6590B" w:rsidRDefault="00F6590B" w:rsidP="00F6590B">
      <w:pPr>
        <w:ind w:left="420"/>
        <w:rPr>
          <w:rFonts w:cs="Arial"/>
          <w:i/>
        </w:rPr>
      </w:pPr>
      <w:r w:rsidRPr="00F6590B">
        <w:rPr>
          <w:rFonts w:cs="Arial"/>
        </w:rPr>
        <w:t>(</w:t>
      </w:r>
      <w:r w:rsidRPr="00F6590B">
        <w:rPr>
          <w:rFonts w:cs="Arial"/>
          <w:i/>
        </w:rPr>
        <w:t>Data i signatura</w:t>
      </w:r>
      <w:r w:rsidRPr="00F6590B">
        <w:rPr>
          <w:rFonts w:cs="Arial"/>
        </w:rPr>
        <w:t>)</w:t>
      </w:r>
      <w:r w:rsidRPr="00F6590B">
        <w:rPr>
          <w:rFonts w:cs="Arial"/>
          <w:i/>
        </w:rPr>
        <w:t>.</w:t>
      </w:r>
    </w:p>
    <w:p w14:paraId="1E065F17" w14:textId="6CF9FE78" w:rsidR="00F6590B" w:rsidRPr="00F6590B" w:rsidRDefault="00F6590B" w:rsidP="00F6590B">
      <w:r w:rsidRPr="00F6590B">
        <w:rPr>
          <w:rFonts w:cs="Arial"/>
          <w:b/>
        </w:rPr>
        <w:br w:type="page"/>
      </w:r>
    </w:p>
    <w:sectPr w:rsidR="00F6590B" w:rsidRPr="00F6590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FD8D" w14:textId="77777777" w:rsidR="00A64526" w:rsidRDefault="00A64526" w:rsidP="00072C41">
      <w:r>
        <w:separator/>
      </w:r>
    </w:p>
  </w:endnote>
  <w:endnote w:type="continuationSeparator" w:id="0">
    <w:p w14:paraId="67946060" w14:textId="77777777" w:rsidR="00A64526" w:rsidRDefault="00A64526" w:rsidP="0007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2FF3" w14:textId="2437392F" w:rsidR="00072C41" w:rsidRDefault="00072C41" w:rsidP="00072C41">
    <w:pPr>
      <w:pStyle w:val="Piedepgina"/>
      <w:jc w:val="right"/>
    </w:pPr>
    <w:r w:rsidRPr="00827801">
      <w:rPr>
        <w:noProof/>
        <w:lang w:val="es-ES" w:eastAsia="es-ES"/>
      </w:rPr>
      <w:drawing>
        <wp:inline distT="0" distB="0" distL="0" distR="0" wp14:anchorId="6FEFB739" wp14:editId="3DA95539">
          <wp:extent cx="2505075" cy="800100"/>
          <wp:effectExtent l="0" t="0" r="9525" b="0"/>
          <wp:docPr id="16013915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800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E0D45" w14:textId="77777777" w:rsidR="00A64526" w:rsidRDefault="00A64526" w:rsidP="00072C41">
      <w:r>
        <w:separator/>
      </w:r>
    </w:p>
  </w:footnote>
  <w:footnote w:type="continuationSeparator" w:id="0">
    <w:p w14:paraId="2D2F6275" w14:textId="77777777" w:rsidR="00A64526" w:rsidRDefault="00A64526" w:rsidP="0007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D42F" w14:textId="5E79D1CA" w:rsidR="00072C41" w:rsidRDefault="00072C41">
    <w:pPr>
      <w:pStyle w:val="Encabezado"/>
    </w:pPr>
    <w:r w:rsidRPr="00827801">
      <w:rPr>
        <w:noProof/>
        <w:lang w:val="es-ES" w:eastAsia="es-ES"/>
      </w:rPr>
      <w:drawing>
        <wp:inline distT="0" distB="0" distL="0" distR="0" wp14:anchorId="2D808300" wp14:editId="44C897F1">
          <wp:extent cx="2324100" cy="704850"/>
          <wp:effectExtent l="0" t="0" r="0" b="0"/>
          <wp:docPr id="9006259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7CED"/>
    <w:multiLevelType w:val="hybridMultilevel"/>
    <w:tmpl w:val="C464A9D0"/>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4F2C62"/>
    <w:multiLevelType w:val="hybridMultilevel"/>
    <w:tmpl w:val="7CD21026"/>
    <w:lvl w:ilvl="0" w:tplc="F0881F56">
      <w:start w:val="2"/>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248B30A6"/>
    <w:multiLevelType w:val="hybridMultilevel"/>
    <w:tmpl w:val="03F06154"/>
    <w:lvl w:ilvl="0" w:tplc="92D80EF6">
      <w:start w:val="1"/>
      <w:numFmt w:val="bullet"/>
      <w:lvlText w:val="-"/>
      <w:lvlJc w:val="left"/>
      <w:pPr>
        <w:ind w:left="720" w:hanging="360"/>
      </w:pPr>
      <w:rPr>
        <w:rFonts w:ascii="Arial"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81A7FED"/>
    <w:multiLevelType w:val="hybridMultilevel"/>
    <w:tmpl w:val="1458F784"/>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58710D3"/>
    <w:multiLevelType w:val="hybridMultilevel"/>
    <w:tmpl w:val="41BC26BA"/>
    <w:lvl w:ilvl="0" w:tplc="301E655C">
      <w:start w:val="3"/>
      <w:numFmt w:val="bullet"/>
      <w:lvlText w:val=""/>
      <w:lvlJc w:val="left"/>
      <w:pPr>
        <w:ind w:left="1428" w:hanging="360"/>
      </w:pPr>
      <w:rPr>
        <w:rFonts w:ascii="Wingdings 2" w:eastAsia="Times New Roman" w:hAnsi="Wingdings 2"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 w15:restartNumberingAfterBreak="0">
    <w:nsid w:val="462C3D0C"/>
    <w:multiLevelType w:val="hybridMultilevel"/>
    <w:tmpl w:val="1E44A0E0"/>
    <w:lvl w:ilvl="0" w:tplc="8EFCCD72">
      <w:start w:val="2"/>
      <w:numFmt w:val="lowerLetter"/>
      <w:lvlText w:val="%1)"/>
      <w:lvlJc w:val="left"/>
      <w:pPr>
        <w:ind w:left="720" w:hanging="360"/>
      </w:pPr>
      <w:rPr>
        <w:rFonts w:cs="Times New Roman"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72947ACE"/>
    <w:multiLevelType w:val="hybridMultilevel"/>
    <w:tmpl w:val="E7AEB300"/>
    <w:lvl w:ilvl="0" w:tplc="6248DC6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15:restartNumberingAfterBreak="0">
    <w:nsid w:val="7E2E00D4"/>
    <w:multiLevelType w:val="hybridMultilevel"/>
    <w:tmpl w:val="C87E3E72"/>
    <w:lvl w:ilvl="0" w:tplc="301E655C">
      <w:start w:val="3"/>
      <w:numFmt w:val="bullet"/>
      <w:lvlText w:val=""/>
      <w:lvlJc w:val="left"/>
      <w:pPr>
        <w:ind w:left="1487" w:hanging="360"/>
      </w:pPr>
      <w:rPr>
        <w:rFonts w:ascii="Wingdings 2" w:eastAsia="Times New Roman" w:hAnsi="Wingdings 2" w:cs="Times New Roman" w:hint="default"/>
      </w:rPr>
    </w:lvl>
    <w:lvl w:ilvl="1" w:tplc="04030003" w:tentative="1">
      <w:start w:val="1"/>
      <w:numFmt w:val="bullet"/>
      <w:lvlText w:val="o"/>
      <w:lvlJc w:val="left"/>
      <w:pPr>
        <w:ind w:left="2207" w:hanging="360"/>
      </w:pPr>
      <w:rPr>
        <w:rFonts w:ascii="Courier New" w:hAnsi="Courier New" w:cs="Courier New" w:hint="default"/>
      </w:rPr>
    </w:lvl>
    <w:lvl w:ilvl="2" w:tplc="04030005" w:tentative="1">
      <w:start w:val="1"/>
      <w:numFmt w:val="bullet"/>
      <w:lvlText w:val=""/>
      <w:lvlJc w:val="left"/>
      <w:pPr>
        <w:ind w:left="2927" w:hanging="360"/>
      </w:pPr>
      <w:rPr>
        <w:rFonts w:ascii="Wingdings" w:hAnsi="Wingdings" w:hint="default"/>
      </w:rPr>
    </w:lvl>
    <w:lvl w:ilvl="3" w:tplc="04030001" w:tentative="1">
      <w:start w:val="1"/>
      <w:numFmt w:val="bullet"/>
      <w:lvlText w:val=""/>
      <w:lvlJc w:val="left"/>
      <w:pPr>
        <w:ind w:left="3647" w:hanging="360"/>
      </w:pPr>
      <w:rPr>
        <w:rFonts w:ascii="Symbol" w:hAnsi="Symbol" w:hint="default"/>
      </w:rPr>
    </w:lvl>
    <w:lvl w:ilvl="4" w:tplc="04030003" w:tentative="1">
      <w:start w:val="1"/>
      <w:numFmt w:val="bullet"/>
      <w:lvlText w:val="o"/>
      <w:lvlJc w:val="left"/>
      <w:pPr>
        <w:ind w:left="4367" w:hanging="360"/>
      </w:pPr>
      <w:rPr>
        <w:rFonts w:ascii="Courier New" w:hAnsi="Courier New" w:cs="Courier New" w:hint="default"/>
      </w:rPr>
    </w:lvl>
    <w:lvl w:ilvl="5" w:tplc="04030005" w:tentative="1">
      <w:start w:val="1"/>
      <w:numFmt w:val="bullet"/>
      <w:lvlText w:val=""/>
      <w:lvlJc w:val="left"/>
      <w:pPr>
        <w:ind w:left="5087" w:hanging="360"/>
      </w:pPr>
      <w:rPr>
        <w:rFonts w:ascii="Wingdings" w:hAnsi="Wingdings" w:hint="default"/>
      </w:rPr>
    </w:lvl>
    <w:lvl w:ilvl="6" w:tplc="04030001" w:tentative="1">
      <w:start w:val="1"/>
      <w:numFmt w:val="bullet"/>
      <w:lvlText w:val=""/>
      <w:lvlJc w:val="left"/>
      <w:pPr>
        <w:ind w:left="5807" w:hanging="360"/>
      </w:pPr>
      <w:rPr>
        <w:rFonts w:ascii="Symbol" w:hAnsi="Symbol" w:hint="default"/>
      </w:rPr>
    </w:lvl>
    <w:lvl w:ilvl="7" w:tplc="04030003" w:tentative="1">
      <w:start w:val="1"/>
      <w:numFmt w:val="bullet"/>
      <w:lvlText w:val="o"/>
      <w:lvlJc w:val="left"/>
      <w:pPr>
        <w:ind w:left="6527" w:hanging="360"/>
      </w:pPr>
      <w:rPr>
        <w:rFonts w:ascii="Courier New" w:hAnsi="Courier New" w:cs="Courier New" w:hint="default"/>
      </w:rPr>
    </w:lvl>
    <w:lvl w:ilvl="8" w:tplc="04030005" w:tentative="1">
      <w:start w:val="1"/>
      <w:numFmt w:val="bullet"/>
      <w:lvlText w:val=""/>
      <w:lvlJc w:val="left"/>
      <w:pPr>
        <w:ind w:left="7247" w:hanging="360"/>
      </w:pPr>
      <w:rPr>
        <w:rFonts w:ascii="Wingdings" w:hAnsi="Wingdings" w:hint="default"/>
      </w:rPr>
    </w:lvl>
  </w:abstractNum>
  <w:num w:numId="1" w16cid:durableId="410930278">
    <w:abstractNumId w:val="3"/>
  </w:num>
  <w:num w:numId="2" w16cid:durableId="347800812">
    <w:abstractNumId w:val="2"/>
  </w:num>
  <w:num w:numId="3" w16cid:durableId="1940209691">
    <w:abstractNumId w:val="8"/>
  </w:num>
  <w:num w:numId="4" w16cid:durableId="2137679326">
    <w:abstractNumId w:val="5"/>
  </w:num>
  <w:num w:numId="5" w16cid:durableId="851577887">
    <w:abstractNumId w:val="0"/>
  </w:num>
  <w:num w:numId="6" w16cid:durableId="985621045">
    <w:abstractNumId w:val="4"/>
  </w:num>
  <w:num w:numId="7" w16cid:durableId="1325158225">
    <w:abstractNumId w:val="1"/>
  </w:num>
  <w:num w:numId="8" w16cid:durableId="677535478">
    <w:abstractNumId w:val="7"/>
  </w:num>
  <w:num w:numId="9" w16cid:durableId="1444616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AD"/>
    <w:rsid w:val="0003486C"/>
    <w:rsid w:val="00072C41"/>
    <w:rsid w:val="001E0EAD"/>
    <w:rsid w:val="00253A13"/>
    <w:rsid w:val="002E2682"/>
    <w:rsid w:val="006A1411"/>
    <w:rsid w:val="00A64526"/>
    <w:rsid w:val="00AE3570"/>
    <w:rsid w:val="00DD0C6D"/>
    <w:rsid w:val="00DE7CF6"/>
    <w:rsid w:val="00F6590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46EB"/>
  <w15:chartTrackingRefBased/>
  <w15:docId w15:val="{0A1452DA-4F23-42D3-A5FE-F12C0B6F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41"/>
    <w:pPr>
      <w:spacing w:after="0" w:line="240" w:lineRule="auto"/>
      <w:contextualSpacing/>
      <w:jc w:val="both"/>
    </w:pPr>
    <w:rPr>
      <w:rFonts w:ascii="Arial" w:eastAsia="Calibri" w:hAnsi="Arial" w:cs="Times New Roman"/>
      <w:kern w:val="0"/>
      <w14:ligatures w14:val="none"/>
    </w:rPr>
  </w:style>
  <w:style w:type="paragraph" w:styleId="Ttulo1">
    <w:name w:val="heading 1"/>
    <w:basedOn w:val="Normal"/>
    <w:next w:val="Normal"/>
    <w:link w:val="Ttulo1Car"/>
    <w:qFormat/>
    <w:rsid w:val="001E0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E0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E0EA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0EA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0EA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0E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0E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0E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0E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EA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E0EA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0EA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0EA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0EA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0E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0E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0E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0EAD"/>
    <w:rPr>
      <w:rFonts w:eastAsiaTheme="majorEastAsia" w:cstheme="majorBidi"/>
      <w:color w:val="272727" w:themeColor="text1" w:themeTint="D8"/>
    </w:rPr>
  </w:style>
  <w:style w:type="paragraph" w:styleId="Ttulo">
    <w:name w:val="Title"/>
    <w:basedOn w:val="Normal"/>
    <w:next w:val="Normal"/>
    <w:link w:val="TtuloCar"/>
    <w:qFormat/>
    <w:rsid w:val="001E0EAD"/>
    <w:pPr>
      <w:spacing w:after="80"/>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E0E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0E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0E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0EAD"/>
    <w:pPr>
      <w:spacing w:before="160"/>
      <w:jc w:val="center"/>
    </w:pPr>
    <w:rPr>
      <w:i/>
      <w:iCs/>
      <w:color w:val="404040" w:themeColor="text1" w:themeTint="BF"/>
    </w:rPr>
  </w:style>
  <w:style w:type="character" w:customStyle="1" w:styleId="CitaCar">
    <w:name w:val="Cita Car"/>
    <w:basedOn w:val="Fuentedeprrafopredeter"/>
    <w:link w:val="Cita"/>
    <w:uiPriority w:val="29"/>
    <w:rsid w:val="001E0EAD"/>
    <w:rPr>
      <w:i/>
      <w:iCs/>
      <w:color w:val="404040" w:themeColor="text1" w:themeTint="BF"/>
    </w:rPr>
  </w:style>
  <w:style w:type="paragraph" w:styleId="Prrafodelista">
    <w:name w:val="List Paragraph"/>
    <w:basedOn w:val="Normal"/>
    <w:uiPriority w:val="34"/>
    <w:qFormat/>
    <w:rsid w:val="001E0EAD"/>
    <w:pPr>
      <w:ind w:left="720"/>
    </w:pPr>
  </w:style>
  <w:style w:type="character" w:styleId="nfasisintenso">
    <w:name w:val="Intense Emphasis"/>
    <w:basedOn w:val="Fuentedeprrafopredeter"/>
    <w:uiPriority w:val="21"/>
    <w:qFormat/>
    <w:rsid w:val="001E0EAD"/>
    <w:rPr>
      <w:i/>
      <w:iCs/>
      <w:color w:val="2F5496" w:themeColor="accent1" w:themeShade="BF"/>
    </w:rPr>
  </w:style>
  <w:style w:type="paragraph" w:styleId="Citadestacada">
    <w:name w:val="Intense Quote"/>
    <w:basedOn w:val="Normal"/>
    <w:next w:val="Normal"/>
    <w:link w:val="CitadestacadaCar"/>
    <w:uiPriority w:val="30"/>
    <w:qFormat/>
    <w:rsid w:val="001E0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0EAD"/>
    <w:rPr>
      <w:i/>
      <w:iCs/>
      <w:color w:val="2F5496" w:themeColor="accent1" w:themeShade="BF"/>
    </w:rPr>
  </w:style>
  <w:style w:type="character" w:styleId="Referenciaintensa">
    <w:name w:val="Intense Reference"/>
    <w:basedOn w:val="Fuentedeprrafopredeter"/>
    <w:uiPriority w:val="32"/>
    <w:qFormat/>
    <w:rsid w:val="001E0EAD"/>
    <w:rPr>
      <w:b/>
      <w:bCs/>
      <w:smallCaps/>
      <w:color w:val="2F5496" w:themeColor="accent1" w:themeShade="BF"/>
      <w:spacing w:val="5"/>
    </w:rPr>
  </w:style>
  <w:style w:type="paragraph" w:styleId="Encabezado">
    <w:name w:val="header"/>
    <w:basedOn w:val="Normal"/>
    <w:link w:val="EncabezadoCar"/>
    <w:uiPriority w:val="99"/>
    <w:unhideWhenUsed/>
    <w:rsid w:val="00072C41"/>
    <w:pPr>
      <w:tabs>
        <w:tab w:val="center" w:pos="4252"/>
        <w:tab w:val="right" w:pos="8504"/>
      </w:tabs>
    </w:pPr>
  </w:style>
  <w:style w:type="character" w:customStyle="1" w:styleId="EncabezadoCar">
    <w:name w:val="Encabezado Car"/>
    <w:basedOn w:val="Fuentedeprrafopredeter"/>
    <w:link w:val="Encabezado"/>
    <w:uiPriority w:val="99"/>
    <w:rsid w:val="00072C41"/>
    <w:rPr>
      <w:rFonts w:ascii="Arial" w:eastAsia="Calibri" w:hAnsi="Arial" w:cs="Times New Roman"/>
      <w:kern w:val="0"/>
      <w14:ligatures w14:val="none"/>
    </w:rPr>
  </w:style>
  <w:style w:type="paragraph" w:styleId="Piedepgina">
    <w:name w:val="footer"/>
    <w:basedOn w:val="Normal"/>
    <w:link w:val="PiedepginaCar"/>
    <w:uiPriority w:val="99"/>
    <w:unhideWhenUsed/>
    <w:rsid w:val="00072C41"/>
    <w:pPr>
      <w:tabs>
        <w:tab w:val="center" w:pos="4252"/>
        <w:tab w:val="right" w:pos="8504"/>
      </w:tabs>
    </w:pPr>
  </w:style>
  <w:style w:type="character" w:customStyle="1" w:styleId="PiedepginaCar">
    <w:name w:val="Pie de página Car"/>
    <w:basedOn w:val="Fuentedeprrafopredeter"/>
    <w:link w:val="Piedepgina"/>
    <w:uiPriority w:val="99"/>
    <w:rsid w:val="00072C41"/>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 Martí Danés</dc:creator>
  <cp:keywords/>
  <dc:description/>
  <cp:lastModifiedBy>Arnau Martí Danés</cp:lastModifiedBy>
  <cp:revision>4</cp:revision>
  <dcterms:created xsi:type="dcterms:W3CDTF">2025-07-30T11:28:00Z</dcterms:created>
  <dcterms:modified xsi:type="dcterms:W3CDTF">2025-07-30T11:32:00Z</dcterms:modified>
</cp:coreProperties>
</file>