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6" w14:textId="5BD90067" w:rsidR="006E0E45" w:rsidRPr="00357D11" w:rsidRDefault="006E0E45" w:rsidP="00D35D03">
      <w:pPr>
        <w:spacing w:after="0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5D0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D81371E34C34D80B1EA10BBEFEC04" ma:contentTypeVersion="12" ma:contentTypeDescription="Crea un document nou" ma:contentTypeScope="" ma:versionID="7adb75f0f66c0cc4b7642c14070e435f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b952b2ec8585bd5d9ab872f2af44a650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97E62-C6A3-4738-8785-DE157825D7BD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2024-03-07T07:43:00Z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cfcaef1b-0776-40ad-b5a7-55eb16279a75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Order">
    <vt:r8>15663800</vt:r8>
  </property>
  <property fmtid="{D5CDD505-2E9C-101B-9397-08002B2CF9AE}" pid="7" name="MediaServiceImageTags">
    <vt:lpwstr/>
  </property>
</Properties>
</file>