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9"/>
        <w:ind w:left="0" w:right="366" w:firstLine="0"/>
        <w:jc w:val="right"/>
        <w:rPr>
          <w:b w:val="0"/>
          <w:sz w:val="14"/>
        </w:rPr>
      </w:pPr>
      <w:r>
        <w:rPr>
          <w:b w:val="0"/>
          <w:color w:val="00788D"/>
          <w:sz w:val="14"/>
        </w:rPr>
        <w:t>3.05-P01-R16</w:t>
      </w:r>
      <w:r>
        <w:rPr>
          <w:b w:val="0"/>
          <w:color w:val="00788D"/>
          <w:spacing w:val="15"/>
          <w:sz w:val="14"/>
        </w:rPr>
        <w:t> </w:t>
      </w:r>
      <w:r>
        <w:rPr>
          <w:b w:val="0"/>
          <w:color w:val="00788D"/>
          <w:spacing w:val="-5"/>
          <w:sz w:val="14"/>
        </w:rPr>
        <w:t>v.2</w:t>
      </w:r>
    </w:p>
    <w:p>
      <w:pPr>
        <w:pStyle w:val="BodyText"/>
        <w:spacing w:before="121"/>
        <w:rPr>
          <w:b w:val="0"/>
          <w:sz w:val="20"/>
        </w:rPr>
      </w:pPr>
    </w:p>
    <w:p>
      <w:pPr>
        <w:pStyle w:val="BodyText"/>
        <w:ind w:left="745" w:right="-101"/>
        <w:rPr>
          <w:sz w:val="20"/>
        </w:rPr>
      </w:pPr>
      <w:r>
        <w:rPr>
          <w:sz w:val="20"/>
        </w:rPr>
        <w:drawing>
          <wp:inline distT="0" distB="0" distL="0" distR="0">
            <wp:extent cx="5750932" cy="34785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932" cy="34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7"/>
        <w:rPr>
          <w:b w:val="0"/>
          <w:sz w:val="14"/>
        </w:rPr>
      </w:pPr>
    </w:p>
    <w:p>
      <w:pPr>
        <w:spacing w:line="259" w:lineRule="auto" w:before="0"/>
        <w:ind w:left="744" w:right="209" w:firstLine="0"/>
        <w:jc w:val="both"/>
        <w:rPr>
          <w:b w:val="0"/>
          <w:sz w:val="16"/>
        </w:rPr>
      </w:pPr>
      <w:r>
        <w:rPr>
          <w:b w:val="0"/>
          <w:color w:val="00788D"/>
          <w:sz w:val="16"/>
        </w:rPr>
        <w:t>PCP - SUBMINISTRAMENT I POSADA EN MARXA DE SENSORS MULTI PARAMÈTRICS DE PH, TERBOLESA I CONDUCTIVITAT, PER LA MESURA A COL·LECTORS I PUNTS D’ABOCAMENT D’AIGUA RESIDUAL A LES DIFERENTS INSTAL·LACIONS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GESTIONADES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PER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AIGÜES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MANRESA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SA.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PERTE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DIGITALITZACIÓ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DEL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CICLE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L’AIGUA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EN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EL MARC DEL PRTR .</w:t>
      </w:r>
      <w:r>
        <w:rPr>
          <w:b w:val="0"/>
          <w:color w:val="00788D"/>
          <w:spacing w:val="40"/>
          <w:sz w:val="16"/>
        </w:rPr>
        <w:t> </w:t>
      </w:r>
      <w:r>
        <w:rPr>
          <w:b w:val="0"/>
          <w:color w:val="00788D"/>
          <w:sz w:val="16"/>
        </w:rPr>
        <w:t>EXPEDIENT LICITADOR NÚMERO: 11619</w:t>
      </w:r>
    </w:p>
    <w:p>
      <w:pPr>
        <w:pStyle w:val="BodyText"/>
        <w:spacing w:before="186"/>
        <w:rPr>
          <w:b w:val="0"/>
        </w:rPr>
      </w:pPr>
    </w:p>
    <w:p>
      <w:pPr>
        <w:pStyle w:val="BodyText"/>
        <w:spacing w:line="487" w:lineRule="auto"/>
        <w:ind w:left="461" w:right="3884" w:firstLine="432"/>
        <w:rPr>
          <w:b w:val="0"/>
        </w:rPr>
      </w:pPr>
      <w:r>
        <w:rPr>
          <w:b w:val="0"/>
          <w:color w:val="00788D"/>
        </w:rPr>
        <w:t>ANEXO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8</w:t>
      </w:r>
      <w:r>
        <w:rPr>
          <w:b w:val="0"/>
          <w:color w:val="00788D"/>
          <w:spacing w:val="40"/>
        </w:rPr>
        <w:t> </w:t>
      </w:r>
      <w:r>
        <w:rPr>
          <w:b w:val="0"/>
          <w:color w:val="00788D"/>
        </w:rPr>
        <w:t>(27).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Modelo de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declaración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compromiso</w:t>
      </w:r>
      <w:r>
        <w:rPr>
          <w:b w:val="0"/>
          <w:color w:val="00788D"/>
          <w:spacing w:val="-1"/>
        </w:rPr>
        <w:t> </w:t>
      </w:r>
      <w:r>
        <w:rPr>
          <w:b w:val="0"/>
          <w:color w:val="00788D"/>
        </w:rPr>
        <w:t>PRTR </w:t>
      </w:r>
      <w:r>
        <w:rPr>
          <w:b w:val="0"/>
        </w:rPr>
        <w:t>Nº EXPEDIENTE: PCAU00129</w:t>
      </w:r>
    </w:p>
    <w:p>
      <w:pPr>
        <w:spacing w:line="217" w:lineRule="exact" w:before="0"/>
        <w:ind w:left="461" w:right="0" w:firstLine="0"/>
        <w:jc w:val="both"/>
        <w:rPr>
          <w:b w:val="0"/>
          <w:sz w:val="18"/>
        </w:rPr>
      </w:pPr>
      <w:r>
        <w:rPr>
          <w:b w:val="0"/>
          <w:sz w:val="18"/>
        </w:rPr>
        <w:t>NOMBRE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DEL PROYECTO: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SOSTENIBILIDAD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EN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EL CICLO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DEL AGUA.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UN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PROYECTO</w:t>
      </w:r>
      <w:r>
        <w:rPr>
          <w:b w:val="0"/>
          <w:spacing w:val="1"/>
          <w:sz w:val="18"/>
        </w:rPr>
        <w:t> </w:t>
      </w:r>
      <w:r>
        <w:rPr>
          <w:b w:val="0"/>
          <w:sz w:val="18"/>
        </w:rPr>
        <w:t>DE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DIGITALIZACIÓN</w:t>
      </w:r>
      <w:r>
        <w:rPr>
          <w:b w:val="0"/>
          <w:spacing w:val="-2"/>
          <w:sz w:val="18"/>
        </w:rPr>
        <w:t> </w:t>
      </w:r>
      <w:r>
        <w:rPr>
          <w:b w:val="0"/>
          <w:spacing w:val="-10"/>
          <w:sz w:val="18"/>
        </w:rPr>
        <w:t>Y</w:t>
      </w:r>
    </w:p>
    <w:p>
      <w:pPr>
        <w:spacing w:line="245" w:lineRule="exact" w:before="0"/>
        <w:ind w:left="461" w:right="0" w:firstLine="0"/>
        <w:jc w:val="both"/>
        <w:rPr>
          <w:b w:val="0"/>
          <w:sz w:val="18"/>
        </w:rPr>
      </w:pPr>
      <w:r>
        <w:rPr>
          <w:b w:val="0"/>
          <w:sz w:val="18"/>
        </w:rPr>
        <w:t>TRANSFORMACIÓN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DEL</w:t>
      </w:r>
      <w:r>
        <w:rPr>
          <w:b w:val="0"/>
          <w:spacing w:val="-3"/>
          <w:sz w:val="18"/>
        </w:rPr>
        <w:t> </w:t>
      </w:r>
      <w:r>
        <w:rPr>
          <w:b w:val="0"/>
          <w:spacing w:val="-2"/>
          <w:sz w:val="18"/>
        </w:rPr>
        <w:t>TERRITORIO</w:t>
      </w:r>
    </w:p>
    <w:p>
      <w:pPr>
        <w:spacing w:line="232" w:lineRule="auto" w:before="212"/>
        <w:ind w:left="461" w:right="210" w:firstLine="0"/>
        <w:jc w:val="both"/>
        <w:rPr>
          <w:b w:val="0"/>
          <w:sz w:val="18"/>
        </w:rPr>
      </w:pPr>
      <w:r>
        <w:rPr>
          <w:b w:val="0"/>
          <w:sz w:val="18"/>
        </w:rPr>
        <w:t>PROCEDIMIENTO DE CONTRATACIÓN: CONTRATACIÓN SEGÚN PROCEDIMIENTO ABIERTO POR EL SUMINISTRO Y PUESTA EN MARCHA DE SENSORES MULTI PARAMÉTRICOS DE PH, TURBIDEZ Y CONDUCTIVIDAD, POR LA MEDIDA A COLECTORES Y PUNTOS DE VERTIDO DE AGUA RESIDUAL EN LAS DIFERENTES INSTALACIONES GESTIONADAS POR AIGÜES DE MANRESA SA. EXPEDIENTE 11619.</w:t>
      </w:r>
    </w:p>
    <w:p>
      <w:pPr>
        <w:pStyle w:val="BodyText"/>
        <w:spacing w:line="304" w:lineRule="auto" w:before="237"/>
        <w:ind w:left="461" w:right="210"/>
        <w:jc w:val="both"/>
        <w:rPr>
          <w:b w:val="0"/>
        </w:rPr>
      </w:pPr>
      <w:r>
        <w:rPr>
          <w:b w:val="0"/>
        </w:rPr>
        <w:t>D./D.ª </w:t>
      </w:r>
      <w:r>
        <w:rPr>
          <w:b w:val="0"/>
          <w:color w:val="666666"/>
        </w:rPr>
        <w:t>Feu clic o toqueu aquí per escriure text.</w:t>
      </w:r>
      <w:r>
        <w:rPr>
          <w:b w:val="0"/>
        </w:rPr>
        <w:t>, con NIF </w:t>
      </w:r>
      <w:r>
        <w:rPr>
          <w:b w:val="0"/>
          <w:color w:val="666666"/>
        </w:rPr>
        <w:t>Feu clic o toqueu aquí per escriure text.</w:t>
      </w:r>
      <w:r>
        <w:rPr>
          <w:b w:val="0"/>
        </w:rPr>
        <w:t>, por sí mismo/a</w:t>
      </w:r>
      <w:r>
        <w:rPr>
          <w:b w:val="0"/>
          <w:spacing w:val="-12"/>
        </w:rPr>
        <w:t> </w:t>
      </w:r>
      <w:r>
        <w:rPr>
          <w:b w:val="0"/>
        </w:rPr>
        <w:t>o</w:t>
      </w:r>
      <w:r>
        <w:rPr>
          <w:b w:val="0"/>
          <w:spacing w:val="-11"/>
        </w:rPr>
        <w:t> </w:t>
      </w:r>
      <w:r>
        <w:rPr>
          <w:b w:val="0"/>
        </w:rPr>
        <w:t>en</w:t>
      </w:r>
      <w:r>
        <w:rPr>
          <w:b w:val="0"/>
          <w:spacing w:val="-12"/>
        </w:rPr>
        <w:t> </w:t>
      </w:r>
      <w:r>
        <w:rPr>
          <w:b w:val="0"/>
        </w:rPr>
        <w:t>representación</w:t>
      </w:r>
      <w:r>
        <w:rPr>
          <w:b w:val="0"/>
          <w:spacing w:val="-11"/>
        </w:rPr>
        <w:t> </w:t>
      </w:r>
      <w:r>
        <w:rPr>
          <w:b w:val="0"/>
        </w:rPr>
        <w:t>de</w:t>
      </w:r>
      <w:r>
        <w:rPr>
          <w:b w:val="0"/>
          <w:spacing w:val="-11"/>
        </w:rPr>
        <w:t> </w:t>
      </w:r>
      <w:r>
        <w:rPr>
          <w:b w:val="0"/>
        </w:rPr>
        <w:t>la</w:t>
      </w:r>
      <w:r>
        <w:rPr>
          <w:b w:val="0"/>
          <w:spacing w:val="-12"/>
        </w:rPr>
        <w:t> </w:t>
      </w:r>
      <w:r>
        <w:rPr>
          <w:b w:val="0"/>
        </w:rPr>
        <w:t>entidad</w:t>
      </w:r>
      <w:r>
        <w:rPr>
          <w:b w:val="0"/>
          <w:spacing w:val="-11"/>
        </w:rPr>
        <w:t> </w:t>
      </w:r>
      <w:r>
        <w:rPr>
          <w:b w:val="0"/>
          <w:color w:val="666666"/>
        </w:rPr>
        <w:t>Feu</w:t>
      </w:r>
      <w:r>
        <w:rPr>
          <w:b w:val="0"/>
          <w:color w:val="666666"/>
          <w:spacing w:val="-12"/>
        </w:rPr>
        <w:t> </w:t>
      </w:r>
      <w:r>
        <w:rPr>
          <w:b w:val="0"/>
          <w:color w:val="666666"/>
        </w:rPr>
        <w:t>clic</w:t>
      </w:r>
      <w:r>
        <w:rPr>
          <w:b w:val="0"/>
          <w:color w:val="666666"/>
          <w:spacing w:val="-11"/>
        </w:rPr>
        <w:t> </w:t>
      </w:r>
      <w:r>
        <w:rPr>
          <w:b w:val="0"/>
          <w:color w:val="666666"/>
        </w:rPr>
        <w:t>o</w:t>
      </w:r>
      <w:r>
        <w:rPr>
          <w:b w:val="0"/>
          <w:color w:val="666666"/>
          <w:spacing w:val="-11"/>
        </w:rPr>
        <w:t> </w:t>
      </w:r>
      <w:r>
        <w:rPr>
          <w:b w:val="0"/>
          <w:color w:val="666666"/>
        </w:rPr>
        <w:t>toqueu</w:t>
      </w:r>
      <w:r>
        <w:rPr>
          <w:b w:val="0"/>
          <w:color w:val="666666"/>
          <w:spacing w:val="-12"/>
        </w:rPr>
        <w:t> </w:t>
      </w:r>
      <w:r>
        <w:rPr>
          <w:b w:val="0"/>
          <w:color w:val="666666"/>
        </w:rPr>
        <w:t>aquí</w:t>
      </w:r>
      <w:r>
        <w:rPr>
          <w:b w:val="0"/>
          <w:color w:val="666666"/>
          <w:spacing w:val="-11"/>
        </w:rPr>
        <w:t> </w:t>
      </w:r>
      <w:r>
        <w:rPr>
          <w:b w:val="0"/>
          <w:color w:val="666666"/>
        </w:rPr>
        <w:t>per</w:t>
      </w:r>
      <w:r>
        <w:rPr>
          <w:b w:val="0"/>
          <w:color w:val="666666"/>
          <w:spacing w:val="-11"/>
        </w:rPr>
        <w:t> </w:t>
      </w:r>
      <w:r>
        <w:rPr>
          <w:b w:val="0"/>
          <w:color w:val="666666"/>
        </w:rPr>
        <w:t>escriure</w:t>
      </w:r>
      <w:r>
        <w:rPr>
          <w:b w:val="0"/>
          <w:color w:val="666666"/>
          <w:spacing w:val="-12"/>
        </w:rPr>
        <w:t> </w:t>
      </w:r>
      <w:r>
        <w:rPr>
          <w:b w:val="0"/>
          <w:color w:val="666666"/>
        </w:rPr>
        <w:t>text.</w:t>
      </w:r>
      <w:r>
        <w:rPr>
          <w:b w:val="0"/>
        </w:rPr>
        <w:t>,</w:t>
      </w:r>
      <w:r>
        <w:rPr>
          <w:b w:val="0"/>
          <w:spacing w:val="-11"/>
        </w:rPr>
        <w:t> </w:t>
      </w:r>
      <w:r>
        <w:rPr>
          <w:b w:val="0"/>
        </w:rPr>
        <w:t>con</w:t>
      </w:r>
      <w:r>
        <w:rPr>
          <w:b w:val="0"/>
          <w:spacing w:val="-12"/>
        </w:rPr>
        <w:t> </w:t>
      </w:r>
      <w:r>
        <w:rPr>
          <w:b w:val="0"/>
        </w:rPr>
        <w:t>NIF</w:t>
      </w:r>
      <w:r>
        <w:rPr>
          <w:b w:val="0"/>
          <w:spacing w:val="-11"/>
        </w:rPr>
        <w:t> </w:t>
      </w:r>
      <w:r>
        <w:rPr>
          <w:b w:val="0"/>
          <w:color w:val="666666"/>
        </w:rPr>
        <w:t>Feu</w:t>
      </w:r>
      <w:r>
        <w:rPr>
          <w:b w:val="0"/>
          <w:color w:val="666666"/>
          <w:spacing w:val="-11"/>
        </w:rPr>
        <w:t> </w:t>
      </w:r>
      <w:r>
        <w:rPr>
          <w:b w:val="0"/>
          <w:color w:val="666666"/>
        </w:rPr>
        <w:t>clic</w:t>
      </w:r>
      <w:r>
        <w:rPr>
          <w:b w:val="0"/>
          <w:color w:val="666666"/>
          <w:spacing w:val="-12"/>
        </w:rPr>
        <w:t> </w:t>
      </w:r>
      <w:r>
        <w:rPr>
          <w:b w:val="0"/>
          <w:color w:val="666666"/>
        </w:rPr>
        <w:t>o</w:t>
      </w:r>
      <w:r>
        <w:rPr>
          <w:b w:val="0"/>
          <w:color w:val="666666"/>
          <w:spacing w:val="-11"/>
        </w:rPr>
        <w:t> </w:t>
      </w:r>
      <w:r>
        <w:rPr>
          <w:b w:val="0"/>
          <w:color w:val="666666"/>
        </w:rPr>
        <w:t>toqueu aquí per escriure text. </w:t>
      </w:r>
      <w:r>
        <w:rPr>
          <w:b w:val="0"/>
        </w:rPr>
        <w:t>en calidad de </w:t>
      </w:r>
      <w:r>
        <w:rPr>
          <w:b w:val="0"/>
          <w:color w:val="666666"/>
        </w:rPr>
        <w:t>Feu clic o toqueu aquí per escriure text.</w:t>
      </w:r>
      <w:r>
        <w:rPr>
          <w:b w:val="0"/>
        </w:rPr>
        <w:t>,</w:t>
      </w:r>
    </w:p>
    <w:p>
      <w:pPr>
        <w:spacing w:before="238"/>
        <w:ind w:left="461" w:right="0" w:firstLine="0"/>
        <w:jc w:val="left"/>
        <w:rPr>
          <w:b w:val="0"/>
          <w:sz w:val="18"/>
        </w:rPr>
      </w:pPr>
      <w:r>
        <w:rPr>
          <w:b w:val="0"/>
          <w:spacing w:val="-2"/>
          <w:sz w:val="18"/>
        </w:rPr>
        <w:t>DECLARA:</w:t>
      </w:r>
    </w:p>
    <w:p>
      <w:pPr>
        <w:pStyle w:val="BodyText"/>
        <w:spacing w:before="57"/>
        <w:rPr>
          <w:b w:val="0"/>
        </w:rPr>
      </w:pPr>
    </w:p>
    <w:p>
      <w:pPr>
        <w:pStyle w:val="BodyText"/>
        <w:spacing w:line="304" w:lineRule="auto"/>
        <w:ind w:left="461" w:right="209"/>
        <w:jc w:val="both"/>
        <w:rPr>
          <w:b w:val="0"/>
        </w:rPr>
      </w:pPr>
      <w:r>
        <w:rPr>
          <w:b w:val="0"/>
        </w:rPr>
        <w:t>Que</w:t>
      </w:r>
      <w:r>
        <w:rPr>
          <w:b w:val="0"/>
          <w:spacing w:val="-8"/>
        </w:rPr>
        <w:t> </w:t>
      </w:r>
      <w:r>
        <w:rPr>
          <w:b w:val="0"/>
        </w:rPr>
        <w:t>en</w:t>
      </w:r>
      <w:r>
        <w:rPr>
          <w:b w:val="0"/>
          <w:spacing w:val="-8"/>
        </w:rPr>
        <w:t> </w:t>
      </w:r>
      <w:r>
        <w:rPr>
          <w:b w:val="0"/>
        </w:rPr>
        <w:t>la</w:t>
      </w:r>
      <w:r>
        <w:rPr>
          <w:b w:val="0"/>
          <w:spacing w:val="-6"/>
        </w:rPr>
        <w:t> </w:t>
      </w:r>
      <w:r>
        <w:rPr>
          <w:b w:val="0"/>
        </w:rPr>
        <w:t>condición</w:t>
      </w:r>
      <w:r>
        <w:rPr>
          <w:b w:val="0"/>
          <w:spacing w:val="-8"/>
        </w:rPr>
        <w:t> </w:t>
      </w:r>
      <w:r>
        <w:rPr>
          <w:b w:val="0"/>
        </w:rPr>
        <w:t>de</w:t>
      </w:r>
      <w:r>
        <w:rPr>
          <w:b w:val="0"/>
          <w:spacing w:val="-8"/>
        </w:rPr>
        <w:t> </w:t>
      </w:r>
      <w:r>
        <w:rPr>
          <w:b w:val="0"/>
        </w:rPr>
        <w:t>beneficiario</w:t>
      </w:r>
      <w:r>
        <w:rPr>
          <w:b w:val="0"/>
          <w:spacing w:val="-7"/>
        </w:rPr>
        <w:t> </w:t>
      </w:r>
      <w:r>
        <w:rPr>
          <w:b w:val="0"/>
        </w:rPr>
        <w:t>de</w:t>
      </w:r>
      <w:r>
        <w:rPr>
          <w:b w:val="0"/>
          <w:spacing w:val="-8"/>
        </w:rPr>
        <w:t> </w:t>
      </w:r>
      <w:r>
        <w:rPr>
          <w:b w:val="0"/>
        </w:rPr>
        <w:t>ayudas</w:t>
      </w:r>
      <w:r>
        <w:rPr>
          <w:b w:val="0"/>
          <w:spacing w:val="-6"/>
        </w:rPr>
        <w:t> </w:t>
      </w:r>
      <w:r>
        <w:rPr>
          <w:b w:val="0"/>
        </w:rPr>
        <w:t>financiadas</w:t>
      </w:r>
      <w:r>
        <w:rPr>
          <w:b w:val="0"/>
          <w:spacing w:val="-11"/>
        </w:rPr>
        <w:t> </w:t>
      </w:r>
      <w:r>
        <w:rPr>
          <w:b w:val="0"/>
        </w:rPr>
        <w:t>con</w:t>
      </w:r>
      <w:r>
        <w:rPr>
          <w:b w:val="0"/>
          <w:spacing w:val="-8"/>
        </w:rPr>
        <w:t> </w:t>
      </w:r>
      <w:r>
        <w:rPr>
          <w:b w:val="0"/>
        </w:rPr>
        <w:t>recursos</w:t>
      </w:r>
      <w:r>
        <w:rPr>
          <w:b w:val="0"/>
          <w:spacing w:val="-6"/>
        </w:rPr>
        <w:t> </w:t>
      </w:r>
      <w:r>
        <w:rPr>
          <w:b w:val="0"/>
        </w:rPr>
        <w:t>provenientes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PRTR</w:t>
      </w:r>
      <w:r>
        <w:rPr>
          <w:b w:val="0"/>
          <w:spacing w:val="-8"/>
        </w:rPr>
        <w:t> </w:t>
      </w:r>
      <w:r>
        <w:rPr>
          <w:b w:val="0"/>
        </w:rPr>
        <w:t>que</w:t>
      </w:r>
      <w:r>
        <w:rPr>
          <w:b w:val="0"/>
          <w:spacing w:val="-8"/>
        </w:rPr>
        <w:t> </w:t>
      </w:r>
      <w:r>
        <w:rPr>
          <w:b w:val="0"/>
        </w:rPr>
        <w:t>participa como</w:t>
      </w:r>
      <w:r>
        <w:rPr>
          <w:b w:val="0"/>
          <w:spacing w:val="-2"/>
        </w:rPr>
        <w:t> </w:t>
      </w:r>
      <w:r>
        <w:rPr>
          <w:b w:val="0"/>
        </w:rPr>
        <w:t>contratista/ente</w:t>
      </w:r>
      <w:r>
        <w:rPr>
          <w:b w:val="0"/>
          <w:spacing w:val="-3"/>
        </w:rPr>
        <w:t> </w:t>
      </w:r>
      <w:r>
        <w:rPr>
          <w:b w:val="0"/>
        </w:rPr>
        <w:t>destinatario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encargo/</w:t>
      </w:r>
      <w:r>
        <w:rPr>
          <w:b w:val="0"/>
          <w:spacing w:val="-4"/>
        </w:rPr>
        <w:t> </w:t>
      </w:r>
      <w:r>
        <w:rPr>
          <w:b w:val="0"/>
        </w:rPr>
        <w:t>subcontratista,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desarrollo de</w:t>
      </w:r>
      <w:r>
        <w:rPr>
          <w:b w:val="0"/>
          <w:spacing w:val="-1"/>
        </w:rPr>
        <w:t> </w:t>
      </w:r>
      <w:r>
        <w:rPr>
          <w:b w:val="0"/>
        </w:rPr>
        <w:t>actuaciones</w:t>
      </w:r>
      <w:r>
        <w:rPr>
          <w:b w:val="0"/>
          <w:spacing w:val="-1"/>
        </w:rPr>
        <w:t> </w:t>
      </w:r>
      <w:r>
        <w:rPr>
          <w:b w:val="0"/>
        </w:rPr>
        <w:t>necesarias para la consecución de los objetivos definidos en el Componente 5, Inversión 1 (C5.I1) «Materialización de actuaciones de depuración, saneamiento, eficiencia, ahorro, reutilización y seguridad de infraestructuras (DSEAR)», manifiesta el compromiso de la persona/entidad que representa con los estándares más exigentes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3"/>
        </w:rPr>
        <w:t> </w:t>
      </w:r>
      <w:r>
        <w:rPr>
          <w:b w:val="0"/>
        </w:rPr>
        <w:t>relación</w:t>
      </w:r>
      <w:r>
        <w:rPr>
          <w:b w:val="0"/>
          <w:spacing w:val="-3"/>
        </w:rPr>
        <w:t> </w:t>
      </w:r>
      <w:r>
        <w:rPr>
          <w:b w:val="0"/>
        </w:rPr>
        <w:t>con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cumplimiento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normas</w:t>
      </w:r>
      <w:r>
        <w:rPr>
          <w:b w:val="0"/>
          <w:spacing w:val="-4"/>
        </w:rPr>
        <w:t> </w:t>
      </w:r>
      <w:r>
        <w:rPr>
          <w:b w:val="0"/>
        </w:rPr>
        <w:t>jurídicas,</w:t>
      </w:r>
      <w:r>
        <w:rPr>
          <w:b w:val="0"/>
          <w:spacing w:val="-2"/>
        </w:rPr>
        <w:t> </w:t>
      </w:r>
      <w:r>
        <w:rPr>
          <w:b w:val="0"/>
        </w:rPr>
        <w:t>éticas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morales,</w:t>
      </w:r>
      <w:r>
        <w:rPr>
          <w:b w:val="0"/>
          <w:spacing w:val="-4"/>
        </w:rPr>
        <w:t> </w:t>
      </w:r>
      <w:r>
        <w:rPr>
          <w:b w:val="0"/>
        </w:rPr>
        <w:t>adoptando</w:t>
      </w:r>
      <w:r>
        <w:rPr>
          <w:b w:val="0"/>
          <w:spacing w:val="-2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medidas necesarias para prevenir y detectar el fraude, la corrupción y los conflictos de interés, comunicando en su caso a las autoridades que proceda los incumplimientos observados.</w:t>
      </w:r>
    </w:p>
    <w:p>
      <w:pPr>
        <w:pStyle w:val="BodyText"/>
        <w:spacing w:line="304" w:lineRule="auto" w:before="239"/>
        <w:ind w:left="461" w:right="209"/>
        <w:jc w:val="both"/>
        <w:rPr>
          <w:b w:val="0"/>
        </w:rPr>
      </w:pPr>
      <w:r>
        <w:rPr>
          <w:b w:val="0"/>
        </w:rPr>
        <w:t>Adicionalmente, atendiendo al contenido del PRTR, se compromete a respetar los principios de economía circular</w:t>
      </w:r>
      <w:r>
        <w:rPr>
          <w:b w:val="0"/>
          <w:spacing w:val="-11"/>
        </w:rPr>
        <w:t> </w:t>
      </w:r>
      <w:r>
        <w:rPr>
          <w:b w:val="0"/>
        </w:rPr>
        <w:t>y</w:t>
      </w:r>
      <w:r>
        <w:rPr>
          <w:b w:val="0"/>
          <w:spacing w:val="-9"/>
        </w:rPr>
        <w:t> </w:t>
      </w:r>
      <w:r>
        <w:rPr>
          <w:b w:val="0"/>
        </w:rPr>
        <w:t>evitar</w:t>
      </w:r>
      <w:r>
        <w:rPr>
          <w:b w:val="0"/>
          <w:spacing w:val="-10"/>
        </w:rPr>
        <w:t> </w:t>
      </w:r>
      <w:r>
        <w:rPr>
          <w:b w:val="0"/>
        </w:rPr>
        <w:t>impactos</w:t>
      </w:r>
      <w:r>
        <w:rPr>
          <w:b w:val="0"/>
          <w:spacing w:val="-9"/>
        </w:rPr>
        <w:t> </w:t>
      </w:r>
      <w:r>
        <w:rPr>
          <w:b w:val="0"/>
        </w:rPr>
        <w:t>negativos</w:t>
      </w:r>
      <w:r>
        <w:rPr>
          <w:b w:val="0"/>
          <w:spacing w:val="-9"/>
        </w:rPr>
        <w:t> </w:t>
      </w:r>
      <w:r>
        <w:rPr>
          <w:b w:val="0"/>
        </w:rPr>
        <w:t>significativos</w:t>
      </w:r>
      <w:r>
        <w:rPr>
          <w:b w:val="0"/>
          <w:spacing w:val="-9"/>
        </w:rPr>
        <w:t> </w:t>
      </w:r>
      <w:r>
        <w:rPr>
          <w:b w:val="0"/>
        </w:rPr>
        <w:t>en</w:t>
      </w:r>
      <w:r>
        <w:rPr>
          <w:b w:val="0"/>
          <w:spacing w:val="-10"/>
        </w:rPr>
        <w:t> </w:t>
      </w:r>
      <w:r>
        <w:rPr>
          <w:b w:val="0"/>
        </w:rPr>
        <w:t>el</w:t>
      </w:r>
      <w:r>
        <w:rPr>
          <w:b w:val="0"/>
          <w:spacing w:val="-11"/>
        </w:rPr>
        <w:t> </w:t>
      </w:r>
      <w:r>
        <w:rPr>
          <w:b w:val="0"/>
        </w:rPr>
        <w:t>medio</w:t>
      </w:r>
      <w:r>
        <w:rPr>
          <w:b w:val="0"/>
          <w:spacing w:val="-9"/>
        </w:rPr>
        <w:t> </w:t>
      </w:r>
      <w:r>
        <w:rPr>
          <w:b w:val="0"/>
        </w:rPr>
        <w:t>ambiente</w:t>
      </w:r>
      <w:r>
        <w:rPr>
          <w:b w:val="0"/>
          <w:spacing w:val="-10"/>
        </w:rPr>
        <w:t> </w:t>
      </w:r>
      <w:r>
        <w:rPr>
          <w:b w:val="0"/>
        </w:rPr>
        <w:t>(«DNSH»</w:t>
      </w:r>
      <w:r>
        <w:rPr>
          <w:b w:val="0"/>
          <w:spacing w:val="-11"/>
        </w:rPr>
        <w:t> </w:t>
      </w:r>
      <w:r>
        <w:rPr>
          <w:b w:val="0"/>
        </w:rPr>
        <w:t>por</w:t>
      </w:r>
      <w:r>
        <w:rPr>
          <w:b w:val="0"/>
          <w:spacing w:val="-12"/>
        </w:rPr>
        <w:t> </w:t>
      </w:r>
      <w:r>
        <w:rPr>
          <w:b w:val="0"/>
        </w:rPr>
        <w:t>sus</w:t>
      </w:r>
      <w:r>
        <w:rPr>
          <w:b w:val="0"/>
          <w:spacing w:val="-8"/>
        </w:rPr>
        <w:t> </w:t>
      </w:r>
      <w:r>
        <w:rPr>
          <w:b w:val="0"/>
        </w:rPr>
        <w:t>siglas</w:t>
      </w:r>
      <w:r>
        <w:rPr>
          <w:b w:val="0"/>
          <w:spacing w:val="-9"/>
        </w:rPr>
        <w:t> </w:t>
      </w:r>
      <w:r>
        <w:rPr>
          <w:b w:val="0"/>
        </w:rPr>
        <w:t>en</w:t>
      </w:r>
      <w:r>
        <w:rPr>
          <w:b w:val="0"/>
          <w:spacing w:val="-10"/>
        </w:rPr>
        <w:t> </w:t>
      </w:r>
      <w:r>
        <w:rPr>
          <w:b w:val="0"/>
        </w:rPr>
        <w:t>inglés</w:t>
      </w:r>
      <w:r>
        <w:rPr>
          <w:b w:val="0"/>
          <w:spacing w:val="-9"/>
        </w:rPr>
        <w:t> </w:t>
      </w:r>
      <w:r>
        <w:rPr>
          <w:b w:val="0"/>
        </w:rPr>
        <w:t>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>
      <w:pPr>
        <w:pStyle w:val="BodyText"/>
        <w:spacing w:before="237"/>
        <w:ind w:left="461"/>
        <w:jc w:val="both"/>
        <w:rPr>
          <w:b w:val="0"/>
        </w:rPr>
      </w:pP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la fecha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firma </w:t>
      </w:r>
      <w:r>
        <w:rPr>
          <w:b w:val="0"/>
          <w:spacing w:val="-2"/>
        </w:rPr>
        <w:t>electrónica</w:t>
      </w: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spacing w:before="0"/>
        <w:ind w:left="0" w:right="259" w:firstLine="0"/>
        <w:jc w:val="right"/>
        <w:rPr>
          <w:rFonts w:ascii="Raleway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608">
                <wp:simplePos x="0" y="0"/>
                <wp:positionH relativeFrom="page">
                  <wp:posOffset>6736080</wp:posOffset>
                </wp:positionH>
                <wp:positionV relativeFrom="paragraph">
                  <wp:posOffset>7547</wp:posOffset>
                </wp:positionV>
                <wp:extent cx="78105" cy="10096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810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100965">
                              <a:moveTo>
                                <a:pt x="77724" y="0"/>
                              </a:moveTo>
                              <a:lnTo>
                                <a:pt x="0" y="0"/>
                              </a:lnTo>
                              <a:lnTo>
                                <a:pt x="0" y="100583"/>
                              </a:lnTo>
                              <a:lnTo>
                                <a:pt x="77724" y="100583"/>
                              </a:lnTo>
                              <a:lnTo>
                                <a:pt x="77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0.400024pt;margin-top:.594303pt;width:6.12pt;height:7.92pt;mso-position-horizontal-relative:page;mso-position-vertical-relative:paragraph;z-index:-15759872" id="docshape1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rFonts w:ascii="Raleway"/>
          <w:color w:val="00788D"/>
          <w:spacing w:val="-5"/>
          <w:sz w:val="12"/>
        </w:rPr>
        <w:t>61</w:t>
      </w:r>
    </w:p>
    <w:p>
      <w:pPr>
        <w:spacing w:before="155"/>
        <w:ind w:left="113" w:right="0" w:firstLine="0"/>
        <w:jc w:val="left"/>
        <w:rPr>
          <w:b w:val="0"/>
          <w:sz w:val="12"/>
        </w:rPr>
      </w:pPr>
      <w:r>
        <w:rPr>
          <w:b w:val="0"/>
          <w:color w:val="00788D"/>
          <w:sz w:val="12"/>
        </w:rPr>
        <w:t>Aigües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Manresa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S.A.</w:t>
      </w:r>
      <w:r>
        <w:rPr>
          <w:b w:val="0"/>
          <w:color w:val="00788D"/>
          <w:spacing w:val="31"/>
          <w:sz w:val="12"/>
        </w:rPr>
        <w:t> </w:t>
      </w:r>
      <w:r>
        <w:rPr>
          <w:b w:val="0"/>
          <w:color w:val="00788D"/>
          <w:sz w:val="12"/>
        </w:rPr>
        <w:t>| Plana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l’Om,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6,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3r 3a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08241 Manresa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| Reg.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Merc.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Barcelona –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Tom 4997. Llibre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4311. Secc.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2a. Foli</w:t>
      </w:r>
      <w:r>
        <w:rPr>
          <w:b w:val="0"/>
          <w:color w:val="00788D"/>
          <w:spacing w:val="2"/>
          <w:sz w:val="12"/>
        </w:rPr>
        <w:t> </w:t>
      </w:r>
      <w:r>
        <w:rPr>
          <w:b w:val="0"/>
          <w:color w:val="00788D"/>
          <w:sz w:val="12"/>
        </w:rPr>
        <w:t>162.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Full 58655. Insc. 1a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CIF </w:t>
      </w:r>
      <w:r>
        <w:rPr>
          <w:b w:val="0"/>
          <w:color w:val="00788D"/>
          <w:spacing w:val="-2"/>
          <w:sz w:val="12"/>
        </w:rPr>
        <w:t>A08294282</w:t>
      </w:r>
    </w:p>
    <w:sectPr>
      <w:type w:val="continuous"/>
      <w:pgSz w:w="11920" w:h="16850"/>
      <w:pgMar w:top="580" w:bottom="280" w:left="12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aleway Medium">
    <w:altName w:val="Raleway Medium"/>
    <w:charset w:val="0"/>
    <w:family w:val="auto"/>
    <w:pitch w:val="variable"/>
  </w:font>
  <w:font w:name="Raleway">
    <w:altName w:val="Raleway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aleway Medium" w:hAnsi="Raleway Medium" w:eastAsia="Raleway Medium" w:cs="Raleway Medium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aleway Medium" w:hAnsi="Raleway Medium" w:eastAsia="Raleway Medium" w:cs="Raleway Medium"/>
      <w:sz w:val="18"/>
      <w:szCs w:val="18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Aigües de Manresa, SA</dc:creator>
  <dcterms:created xsi:type="dcterms:W3CDTF">2025-08-01T09:39:39Z</dcterms:created>
  <dcterms:modified xsi:type="dcterms:W3CDTF">2025-08-01T09:39:39Z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PDF Library 23.8.75</vt:lpwstr>
  </property>
</Properties>
</file>