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D03C" w14:textId="77777777" w:rsidR="007B01B9" w:rsidRPr="006F5E89" w:rsidRDefault="007B01B9" w:rsidP="007B01B9">
      <w:pPr>
        <w:spacing w:after="240" w:line="259" w:lineRule="auto"/>
        <w:jc w:val="center"/>
        <w:rPr>
          <w:rFonts w:eastAsia="Calibri"/>
          <w:bCs/>
          <w:kern w:val="2"/>
          <w:szCs w:val="22"/>
          <w:u w:val="single"/>
          <w:lang w:eastAsia="en-US"/>
          <w14:ligatures w14:val="standardContextual"/>
        </w:rPr>
      </w:pPr>
      <w:r w:rsidRPr="006F5E89">
        <w:rPr>
          <w:rFonts w:eastAsia="Calibri"/>
          <w:b/>
          <w:kern w:val="2"/>
          <w:szCs w:val="22"/>
          <w:u w:val="single"/>
          <w:lang w:eastAsia="en-US"/>
          <w14:ligatures w14:val="standardContextual"/>
        </w:rPr>
        <w:t>ANNEX 3</w:t>
      </w:r>
      <w:r w:rsidRPr="006F5E89">
        <w:rPr>
          <w:rFonts w:eastAsia="Calibri"/>
          <w:b/>
          <w:kern w:val="2"/>
          <w:szCs w:val="22"/>
          <w:lang w:eastAsia="en-US"/>
          <w14:ligatures w14:val="standardContextual"/>
        </w:rPr>
        <w:t xml:space="preserve"> </w:t>
      </w:r>
      <w:r w:rsidRPr="006F5E89">
        <w:rPr>
          <w:rFonts w:eastAsia="Calibri"/>
          <w:bCs/>
          <w:kern w:val="2"/>
          <w:szCs w:val="22"/>
          <w:lang w:eastAsia="en-US"/>
          <w14:ligatures w14:val="standardContextual"/>
        </w:rPr>
        <w:t>(LOT 3)</w:t>
      </w:r>
    </w:p>
    <w:p w14:paraId="07796937" w14:textId="77777777" w:rsidR="007B01B9" w:rsidRPr="006F5E89" w:rsidRDefault="007B01B9" w:rsidP="007B01B9">
      <w:pPr>
        <w:pBdr>
          <w:bottom w:val="single" w:sz="4" w:space="1" w:color="auto"/>
        </w:pBdr>
        <w:spacing w:after="160" w:line="259" w:lineRule="auto"/>
        <w:rPr>
          <w:rFonts w:eastAsia="Aptos"/>
          <w:color w:val="000000"/>
          <w:kern w:val="2"/>
          <w:szCs w:val="22"/>
          <w:lang w:eastAsia="en-US"/>
          <w14:ligatures w14:val="standardContextual"/>
        </w:rPr>
      </w:pPr>
      <w:r w:rsidRPr="006F5E89">
        <w:rPr>
          <w:rFonts w:eastAsia="Calibri"/>
          <w:color w:val="000000"/>
          <w:kern w:val="2"/>
          <w:szCs w:val="22"/>
          <w:lang w:eastAsia="en-US"/>
          <w14:ligatures w14:val="standardContextual"/>
        </w:rPr>
        <w:t>Al plec de clàusules administratives particulars d</w:t>
      </w:r>
      <w:r w:rsidRPr="006F5E89">
        <w:rPr>
          <w:rFonts w:eastAsia="Aptos"/>
          <w:color w:val="000000"/>
          <w:kern w:val="2"/>
          <w:szCs w:val="22"/>
          <w:lang w:eastAsia="en-US"/>
          <w14:ligatures w14:val="standardContextual"/>
        </w:rPr>
        <w:t>e la contractació consistent en el subministrament de material no inventariable pel laboratori de medi ambient, adscrit a la gerència de serveis de medi ambient, dividit en 3 lots.</w:t>
      </w:r>
    </w:p>
    <w:p w14:paraId="57C61E2C" w14:textId="77777777" w:rsidR="007B01B9" w:rsidRPr="006F5E89" w:rsidRDefault="007B01B9" w:rsidP="007B01B9">
      <w:pPr>
        <w:pBdr>
          <w:bottom w:val="single" w:sz="4" w:space="1" w:color="auto"/>
        </w:pBdr>
        <w:spacing w:after="360" w:line="259" w:lineRule="auto"/>
        <w:jc w:val="right"/>
        <w:rPr>
          <w:rFonts w:eastAsia="Aptos"/>
          <w:color w:val="000000"/>
          <w:kern w:val="2"/>
          <w:szCs w:val="22"/>
          <w:lang w:eastAsia="en-US"/>
          <w14:ligatures w14:val="standardContextual"/>
        </w:rPr>
      </w:pPr>
      <w:r w:rsidRPr="006F5E89">
        <w:rPr>
          <w:rFonts w:eastAsia="Aptos"/>
          <w:color w:val="000000"/>
          <w:kern w:val="2"/>
          <w:szCs w:val="22"/>
          <w:lang w:eastAsia="en-US"/>
          <w14:ligatures w14:val="standardContextual"/>
        </w:rPr>
        <w:t>Expedient núm.: 2025/0005651</w:t>
      </w:r>
    </w:p>
    <w:p w14:paraId="66806ADA" w14:textId="77777777" w:rsidR="007B01B9" w:rsidRPr="006F5E89" w:rsidRDefault="007B01B9" w:rsidP="007B01B9">
      <w:pPr>
        <w:tabs>
          <w:tab w:val="center" w:pos="4252"/>
          <w:tab w:val="right" w:pos="8504"/>
        </w:tabs>
        <w:spacing w:after="160" w:line="259" w:lineRule="auto"/>
        <w:jc w:val="center"/>
        <w:rPr>
          <w:rFonts w:eastAsia="Aptos"/>
          <w:b/>
          <w:kern w:val="2"/>
          <w:szCs w:val="22"/>
          <w:lang w:eastAsia="ca-ES"/>
          <w14:ligatures w14:val="standardContextual"/>
        </w:rPr>
      </w:pPr>
      <w:r w:rsidRPr="006F5E89">
        <w:rPr>
          <w:rFonts w:eastAsia="Aptos"/>
          <w:b/>
          <w:kern w:val="2"/>
          <w:szCs w:val="22"/>
          <w:lang w:eastAsia="en-US"/>
          <w14:ligatures w14:val="standardContextual"/>
        </w:rPr>
        <w:t>Model de proposició relativa als criteris avaluables de forma automàtica</w:t>
      </w:r>
    </w:p>
    <w:p w14:paraId="67902A79" w14:textId="77777777" w:rsidR="007B01B9" w:rsidRPr="006F5E89" w:rsidRDefault="007B01B9" w:rsidP="007B01B9">
      <w:pPr>
        <w:spacing w:after="160" w:line="259" w:lineRule="auto"/>
        <w:jc w:val="center"/>
        <w:rPr>
          <w:rFonts w:eastAsia="Aptos"/>
          <w:kern w:val="2"/>
          <w:szCs w:val="22"/>
          <w:u w:val="single"/>
          <w:lang w:eastAsia="en-US"/>
          <w14:ligatures w14:val="standardContextual"/>
        </w:rPr>
      </w:pPr>
      <w:r w:rsidRPr="006F5E89">
        <w:rPr>
          <w:rFonts w:eastAsia="Aptos"/>
          <w:kern w:val="2"/>
          <w:szCs w:val="22"/>
          <w:u w:val="single"/>
          <w:lang w:eastAsia="en-US"/>
          <w14:ligatures w14:val="standardContextual"/>
        </w:rPr>
        <w:t xml:space="preserve">Lot 3. Material no inventariable per a ús en la enumeració de </w:t>
      </w:r>
      <w:proofErr w:type="spellStart"/>
      <w:r w:rsidRPr="006F5E89">
        <w:rPr>
          <w:rFonts w:eastAsia="Aptos"/>
          <w:kern w:val="2"/>
          <w:szCs w:val="22"/>
          <w:u w:val="single"/>
          <w:lang w:eastAsia="en-US"/>
          <w14:ligatures w14:val="standardContextual"/>
        </w:rPr>
        <w:t>colífags</w:t>
      </w:r>
      <w:proofErr w:type="spellEnd"/>
      <w:r w:rsidRPr="006F5E89">
        <w:rPr>
          <w:rFonts w:eastAsia="Aptos"/>
          <w:kern w:val="2"/>
          <w:szCs w:val="22"/>
          <w:u w:val="single"/>
          <w:lang w:eastAsia="en-US"/>
          <w14:ligatures w14:val="standardContextual"/>
        </w:rPr>
        <w:t xml:space="preserve"> somàtics</w:t>
      </w:r>
    </w:p>
    <w:p w14:paraId="20BA58C6" w14:textId="77777777" w:rsidR="007B01B9" w:rsidRPr="006F5E89" w:rsidRDefault="007B01B9" w:rsidP="007B01B9">
      <w:pPr>
        <w:spacing w:before="240" w:after="240" w:line="259" w:lineRule="auto"/>
        <w:rPr>
          <w:rFonts w:eastAsia="Aptos"/>
          <w:kern w:val="2"/>
          <w:szCs w:val="22"/>
          <w:lang w:eastAsia="en-US"/>
          <w14:ligatures w14:val="standardContextual"/>
        </w:rPr>
      </w:pPr>
      <w:r w:rsidRPr="006F5E89">
        <w:rPr>
          <w:rFonts w:eastAsia="Aptos"/>
          <w:kern w:val="2"/>
          <w:szCs w:val="22"/>
          <w:lang w:eastAsia="en-US"/>
          <w14:ligatures w14:val="standardContextual"/>
        </w:rPr>
        <w:t xml:space="preserve">El Sr./La Sra. .......... amb NIF núm. .........., en nom propi / en representació de l’empresa .........., CIF núm. .........., domiciliada a .........., CP .........., carrer .........., núm. .........., adreça electrònica: .........., assabentat/da de les condicions exigides per a optar a la contractació relativa al contracte de la Diputació de Barcelona relatiu al subministrament de material no inventariable pel laboratori de medi ambient – Lot 3 Material no inventariable per a ús en la enumeració de </w:t>
      </w:r>
      <w:proofErr w:type="spellStart"/>
      <w:r w:rsidRPr="006F5E89">
        <w:rPr>
          <w:rFonts w:eastAsia="Aptos"/>
          <w:kern w:val="2"/>
          <w:szCs w:val="22"/>
          <w:lang w:eastAsia="en-US"/>
          <w14:ligatures w14:val="standardContextual"/>
        </w:rPr>
        <w:t>colífags</w:t>
      </w:r>
      <w:proofErr w:type="spellEnd"/>
      <w:r w:rsidRPr="006F5E89">
        <w:rPr>
          <w:rFonts w:eastAsia="Aptos"/>
          <w:kern w:val="2"/>
          <w:szCs w:val="22"/>
          <w:lang w:eastAsia="en-US"/>
          <w14:ligatures w14:val="standardContextual"/>
        </w:rPr>
        <w:t xml:space="preserve"> somàtics – es compromet a portar-la a terme amb subjecció als plecs de prescripcions tècniques particulars i de clàusules administratives particulars, que accepta íntegrament:</w:t>
      </w:r>
    </w:p>
    <w:p w14:paraId="27EC5E3A" w14:textId="77777777" w:rsidR="007B01B9" w:rsidRPr="006F5E89" w:rsidRDefault="007B01B9" w:rsidP="007B01B9">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eastAsia="en-US"/>
          <w14:ligatures w14:val="standardContextual"/>
        </w:rPr>
      </w:pPr>
      <w:r w:rsidRPr="006F5E89">
        <w:rPr>
          <w:rFonts w:eastAsia="Aptos"/>
          <w:b/>
          <w:bCs/>
          <w:kern w:val="2"/>
          <w:szCs w:val="22"/>
          <w:lang w:eastAsia="en-US"/>
          <w14:ligatures w14:val="standardContextual"/>
        </w:rPr>
        <w:t>Criteri 1. Proposició econòmica*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3"/>
        <w:gridCol w:w="3358"/>
        <w:gridCol w:w="915"/>
        <w:gridCol w:w="830"/>
        <w:gridCol w:w="670"/>
        <w:gridCol w:w="763"/>
        <w:gridCol w:w="785"/>
      </w:tblGrid>
      <w:tr w:rsidR="007B01B9" w:rsidRPr="006F5E89" w14:paraId="179B2C70" w14:textId="77777777" w:rsidTr="00454221">
        <w:trPr>
          <w:trHeight w:val="1317"/>
        </w:trPr>
        <w:tc>
          <w:tcPr>
            <w:tcW w:w="1163" w:type="dxa"/>
            <w:shd w:val="clear" w:color="000000" w:fill="FFFFFF"/>
            <w:vAlign w:val="center"/>
            <w:hideMark/>
          </w:tcPr>
          <w:p w14:paraId="31E796B0" w14:textId="77777777" w:rsidR="007B01B9" w:rsidRPr="006F5E89" w:rsidRDefault="007B01B9" w:rsidP="00454221">
            <w:pPr>
              <w:spacing w:before="120" w:after="120"/>
              <w:jc w:val="center"/>
              <w:rPr>
                <w:rFonts w:cs="Arial"/>
                <w:b/>
                <w:bCs/>
                <w:color w:val="000000"/>
                <w:kern w:val="2"/>
                <w:sz w:val="20"/>
              </w:rPr>
            </w:pPr>
            <w:bookmarkStart w:id="0" w:name="_Hlk200017349"/>
            <w:r w:rsidRPr="006F5E89">
              <w:rPr>
                <w:rFonts w:cs="Arial"/>
                <w:b/>
                <w:bCs/>
                <w:color w:val="000000"/>
                <w:kern w:val="2"/>
                <w:sz w:val="20"/>
              </w:rPr>
              <w:t>Referència</w:t>
            </w:r>
          </w:p>
        </w:tc>
        <w:tc>
          <w:tcPr>
            <w:tcW w:w="3358" w:type="dxa"/>
            <w:shd w:val="clear" w:color="000000" w:fill="FFFFFF"/>
            <w:vAlign w:val="center"/>
            <w:hideMark/>
          </w:tcPr>
          <w:p w14:paraId="1C8C9995" w14:textId="77777777" w:rsidR="007B01B9" w:rsidRPr="006F5E89" w:rsidRDefault="007B01B9" w:rsidP="00454221">
            <w:pPr>
              <w:spacing w:before="120" w:after="120"/>
              <w:jc w:val="left"/>
              <w:rPr>
                <w:rFonts w:cs="Arial"/>
                <w:b/>
                <w:bCs/>
                <w:color w:val="000000"/>
                <w:kern w:val="2"/>
                <w:sz w:val="20"/>
              </w:rPr>
            </w:pPr>
            <w:r w:rsidRPr="006F5E89">
              <w:rPr>
                <w:rFonts w:cs="Arial"/>
                <w:b/>
                <w:bCs/>
                <w:color w:val="000000"/>
                <w:kern w:val="2"/>
                <w:sz w:val="20"/>
              </w:rPr>
              <w:t>Producte</w:t>
            </w:r>
          </w:p>
        </w:tc>
        <w:tc>
          <w:tcPr>
            <w:tcW w:w="915" w:type="dxa"/>
            <w:tcBorders>
              <w:right w:val="single" w:sz="12" w:space="0" w:color="auto"/>
            </w:tcBorders>
            <w:shd w:val="clear" w:color="000000" w:fill="FFFFFF"/>
            <w:vAlign w:val="center"/>
            <w:hideMark/>
          </w:tcPr>
          <w:p w14:paraId="58ECB315" w14:textId="77777777" w:rsidR="007B01B9" w:rsidRPr="006F5E89" w:rsidRDefault="007B01B9" w:rsidP="00454221">
            <w:pPr>
              <w:spacing w:before="120" w:after="120"/>
              <w:jc w:val="center"/>
              <w:rPr>
                <w:rFonts w:cs="Arial"/>
                <w:b/>
                <w:bCs/>
                <w:color w:val="000000"/>
                <w:kern w:val="2"/>
                <w:sz w:val="20"/>
              </w:rPr>
            </w:pPr>
            <w:r w:rsidRPr="006F5E89">
              <w:rPr>
                <w:rFonts w:cs="Arial"/>
                <w:b/>
                <w:bCs/>
                <w:color w:val="000000"/>
                <w:kern w:val="2"/>
                <w:sz w:val="20"/>
              </w:rPr>
              <w:t>Preu unitari màxim (IVA exclòs)</w:t>
            </w:r>
          </w:p>
        </w:tc>
        <w:tc>
          <w:tcPr>
            <w:tcW w:w="0" w:type="auto"/>
            <w:tcBorders>
              <w:top w:val="single" w:sz="12" w:space="0" w:color="auto"/>
              <w:left w:val="single" w:sz="12" w:space="0" w:color="auto"/>
              <w:bottom w:val="single" w:sz="2" w:space="0" w:color="auto"/>
              <w:right w:val="single" w:sz="2" w:space="0" w:color="auto"/>
            </w:tcBorders>
            <w:shd w:val="clear" w:color="000000" w:fill="FFFFFF"/>
            <w:vAlign w:val="center"/>
            <w:hideMark/>
          </w:tcPr>
          <w:p w14:paraId="0B9F1130" w14:textId="77777777" w:rsidR="007B01B9" w:rsidRPr="006F5E89" w:rsidRDefault="007B01B9" w:rsidP="00454221">
            <w:pPr>
              <w:spacing w:before="120" w:after="120"/>
              <w:jc w:val="center"/>
              <w:rPr>
                <w:rFonts w:cs="Arial"/>
                <w:b/>
                <w:bCs/>
                <w:color w:val="000000"/>
                <w:kern w:val="2"/>
                <w:sz w:val="20"/>
              </w:rPr>
            </w:pPr>
            <w:r w:rsidRPr="006F5E89">
              <w:rPr>
                <w:rFonts w:cs="Arial"/>
                <w:b/>
                <w:bCs/>
                <w:color w:val="000000"/>
                <w:kern w:val="2"/>
                <w:sz w:val="20"/>
              </w:rPr>
              <w:t>Preu unitari ofert (IVA exclòs)</w:t>
            </w:r>
          </w:p>
        </w:tc>
        <w:tc>
          <w:tcPr>
            <w:tcW w:w="0" w:type="auto"/>
            <w:tcBorders>
              <w:top w:val="single" w:sz="12" w:space="0" w:color="auto"/>
              <w:left w:val="single" w:sz="2" w:space="0" w:color="auto"/>
              <w:bottom w:val="single" w:sz="2" w:space="0" w:color="auto"/>
              <w:right w:val="single" w:sz="2" w:space="0" w:color="auto"/>
            </w:tcBorders>
            <w:shd w:val="clear" w:color="000000" w:fill="FFFFFF"/>
            <w:vAlign w:val="center"/>
            <w:hideMark/>
          </w:tcPr>
          <w:p w14:paraId="706308C5" w14:textId="77777777" w:rsidR="007B01B9" w:rsidRPr="006F5E89" w:rsidRDefault="007B01B9" w:rsidP="00454221">
            <w:pPr>
              <w:spacing w:before="120" w:after="120"/>
              <w:jc w:val="center"/>
              <w:rPr>
                <w:rFonts w:cs="Arial"/>
                <w:b/>
                <w:bCs/>
                <w:color w:val="000000"/>
                <w:kern w:val="2"/>
                <w:sz w:val="20"/>
              </w:rPr>
            </w:pPr>
            <w:r w:rsidRPr="006F5E89">
              <w:rPr>
                <w:rFonts w:cs="Arial"/>
                <w:b/>
                <w:bCs/>
                <w:color w:val="000000"/>
                <w:kern w:val="2"/>
                <w:sz w:val="20"/>
              </w:rPr>
              <w:t>Tipus IVA (%)</w:t>
            </w:r>
          </w:p>
        </w:tc>
        <w:tc>
          <w:tcPr>
            <w:tcW w:w="0" w:type="auto"/>
            <w:tcBorders>
              <w:top w:val="single" w:sz="12" w:space="0" w:color="auto"/>
              <w:left w:val="single" w:sz="2" w:space="0" w:color="auto"/>
              <w:bottom w:val="single" w:sz="2" w:space="0" w:color="auto"/>
              <w:right w:val="single" w:sz="2" w:space="0" w:color="auto"/>
            </w:tcBorders>
            <w:shd w:val="clear" w:color="000000" w:fill="FFFFFF"/>
            <w:vAlign w:val="center"/>
            <w:hideMark/>
          </w:tcPr>
          <w:p w14:paraId="22545F76" w14:textId="77777777" w:rsidR="007B01B9" w:rsidRPr="006F5E89" w:rsidRDefault="007B01B9" w:rsidP="00454221">
            <w:pPr>
              <w:spacing w:before="120" w:after="120"/>
              <w:jc w:val="center"/>
              <w:rPr>
                <w:rFonts w:cs="Arial"/>
                <w:b/>
                <w:bCs/>
                <w:color w:val="000000"/>
                <w:kern w:val="2"/>
                <w:sz w:val="20"/>
              </w:rPr>
            </w:pPr>
            <w:r w:rsidRPr="006F5E89">
              <w:rPr>
                <w:rFonts w:cs="Arial"/>
                <w:b/>
                <w:bCs/>
                <w:color w:val="000000"/>
                <w:kern w:val="2"/>
                <w:sz w:val="20"/>
              </w:rPr>
              <w:t>Import IVA</w:t>
            </w:r>
          </w:p>
        </w:tc>
        <w:tc>
          <w:tcPr>
            <w:tcW w:w="0" w:type="auto"/>
            <w:tcBorders>
              <w:top w:val="single" w:sz="12" w:space="0" w:color="auto"/>
              <w:left w:val="single" w:sz="2" w:space="0" w:color="auto"/>
              <w:bottom w:val="single" w:sz="2" w:space="0" w:color="auto"/>
              <w:right w:val="single" w:sz="12" w:space="0" w:color="auto"/>
            </w:tcBorders>
            <w:shd w:val="clear" w:color="000000" w:fill="FFFFFF"/>
            <w:vAlign w:val="center"/>
            <w:hideMark/>
          </w:tcPr>
          <w:p w14:paraId="19DEE8F1" w14:textId="77777777" w:rsidR="007B01B9" w:rsidRPr="006F5E89" w:rsidRDefault="007B01B9" w:rsidP="00454221">
            <w:pPr>
              <w:spacing w:before="120" w:after="120"/>
              <w:jc w:val="center"/>
              <w:rPr>
                <w:rFonts w:cs="Arial"/>
                <w:b/>
                <w:bCs/>
                <w:color w:val="000000"/>
                <w:kern w:val="2"/>
                <w:sz w:val="20"/>
              </w:rPr>
            </w:pPr>
            <w:r w:rsidRPr="006F5E89">
              <w:rPr>
                <w:rFonts w:cs="Arial"/>
                <w:b/>
                <w:bCs/>
                <w:color w:val="000000"/>
                <w:kern w:val="2"/>
                <w:sz w:val="20"/>
              </w:rPr>
              <w:t>Total preu unitari ofert (IVA inclòs)</w:t>
            </w:r>
          </w:p>
        </w:tc>
      </w:tr>
      <w:tr w:rsidR="007B01B9" w:rsidRPr="006F5E89" w14:paraId="561EE777" w14:textId="77777777" w:rsidTr="00454221">
        <w:trPr>
          <w:trHeight w:val="945"/>
        </w:trPr>
        <w:tc>
          <w:tcPr>
            <w:tcW w:w="1163" w:type="dxa"/>
            <w:shd w:val="clear" w:color="000000" w:fill="FFFFFF"/>
            <w:noWrap/>
            <w:vAlign w:val="center"/>
            <w:hideMark/>
          </w:tcPr>
          <w:p w14:paraId="370471B8" w14:textId="77777777" w:rsidR="007B01B9" w:rsidRPr="006F5E89" w:rsidRDefault="007B01B9" w:rsidP="00454221">
            <w:pPr>
              <w:spacing w:before="120" w:after="120"/>
              <w:jc w:val="center"/>
              <w:rPr>
                <w:rFonts w:cs="Arial"/>
                <w:color w:val="000000"/>
                <w:kern w:val="2"/>
                <w:szCs w:val="22"/>
              </w:rPr>
            </w:pPr>
            <w:r w:rsidRPr="006F5E89">
              <w:rPr>
                <w:rFonts w:cs="Arial"/>
                <w:color w:val="000000"/>
                <w:kern w:val="2"/>
                <w:szCs w:val="22"/>
              </w:rPr>
              <w:t>1</w:t>
            </w:r>
          </w:p>
        </w:tc>
        <w:tc>
          <w:tcPr>
            <w:tcW w:w="3358" w:type="dxa"/>
            <w:shd w:val="clear" w:color="auto" w:fill="auto"/>
            <w:vAlign w:val="center"/>
            <w:hideMark/>
          </w:tcPr>
          <w:p w14:paraId="408B800D" w14:textId="77777777" w:rsidR="007B01B9" w:rsidRPr="006F5E89" w:rsidRDefault="007B01B9" w:rsidP="00454221">
            <w:pPr>
              <w:spacing w:before="120" w:after="120"/>
              <w:rPr>
                <w:rFonts w:cs="Arial"/>
                <w:color w:val="000000"/>
                <w:kern w:val="2"/>
                <w:szCs w:val="22"/>
              </w:rPr>
            </w:pPr>
            <w:proofErr w:type="spellStart"/>
            <w:r w:rsidRPr="006F5E89">
              <w:rPr>
                <w:rFonts w:cs="Arial"/>
                <w:color w:val="000000"/>
              </w:rPr>
              <w:t>Easy</w:t>
            </w:r>
            <w:proofErr w:type="spellEnd"/>
            <w:r w:rsidRPr="006F5E89">
              <w:rPr>
                <w:rFonts w:cs="Arial"/>
                <w:color w:val="000000"/>
              </w:rPr>
              <w:t xml:space="preserve"> Kit per a la enumeració </w:t>
            </w:r>
            <w:proofErr w:type="spellStart"/>
            <w:r w:rsidRPr="006F5E89">
              <w:rPr>
                <w:rFonts w:cs="Arial"/>
                <w:color w:val="000000"/>
              </w:rPr>
              <w:t>colífags</w:t>
            </w:r>
            <w:proofErr w:type="spellEnd"/>
            <w:r w:rsidRPr="006F5E89">
              <w:rPr>
                <w:rFonts w:cs="Arial"/>
                <w:color w:val="000000"/>
              </w:rPr>
              <w:t xml:space="preserve"> somàtics per a 100mL </w:t>
            </w:r>
            <w:proofErr w:type="spellStart"/>
            <w:r w:rsidRPr="006F5E89">
              <w:rPr>
                <w:rFonts w:cs="Arial"/>
                <w:b/>
                <w:bCs/>
                <w:color w:val="000000"/>
              </w:rPr>
              <w:t>Bluephage</w:t>
            </w:r>
            <w:proofErr w:type="spellEnd"/>
            <w:r w:rsidRPr="006F5E89">
              <w:rPr>
                <w:rFonts w:cs="Arial"/>
                <w:b/>
                <w:bCs/>
                <w:color w:val="000000"/>
              </w:rPr>
              <w:t xml:space="preserve"> Cat. Nº BP1604 </w:t>
            </w:r>
            <w:r w:rsidRPr="006F5E89">
              <w:rPr>
                <w:rFonts w:cs="Arial"/>
                <w:color w:val="000000"/>
              </w:rPr>
              <w:t>o equivalent amb les mateixes característiques, components i prestacions.</w:t>
            </w:r>
          </w:p>
        </w:tc>
        <w:tc>
          <w:tcPr>
            <w:tcW w:w="915" w:type="dxa"/>
            <w:tcBorders>
              <w:right w:val="single" w:sz="12" w:space="0" w:color="auto"/>
            </w:tcBorders>
            <w:shd w:val="clear" w:color="auto" w:fill="auto"/>
            <w:vAlign w:val="center"/>
            <w:hideMark/>
          </w:tcPr>
          <w:p w14:paraId="42BC5541" w14:textId="77777777" w:rsidR="007B01B9" w:rsidRPr="006F5E89" w:rsidRDefault="007B01B9" w:rsidP="00454221">
            <w:pPr>
              <w:spacing w:before="120" w:after="120"/>
              <w:jc w:val="center"/>
              <w:rPr>
                <w:rFonts w:cs="Arial"/>
                <w:color w:val="000000"/>
                <w:kern w:val="2"/>
                <w:szCs w:val="22"/>
              </w:rPr>
            </w:pPr>
            <w:r w:rsidRPr="006F5E89">
              <w:rPr>
                <w:rFonts w:cs="Arial"/>
                <w:color w:val="000000"/>
                <w:kern w:val="2"/>
                <w:szCs w:val="22"/>
              </w:rPr>
              <w:t>412,00 €</w:t>
            </w:r>
          </w:p>
        </w:tc>
        <w:tc>
          <w:tcPr>
            <w:tcW w:w="0" w:type="auto"/>
            <w:tcBorders>
              <w:top w:val="single" w:sz="2" w:space="0" w:color="auto"/>
              <w:left w:val="single" w:sz="12" w:space="0" w:color="auto"/>
              <w:bottom w:val="single" w:sz="2" w:space="0" w:color="auto"/>
              <w:right w:val="single" w:sz="2" w:space="0" w:color="auto"/>
            </w:tcBorders>
            <w:shd w:val="clear" w:color="000000" w:fill="FFFFFF"/>
            <w:noWrap/>
            <w:vAlign w:val="bottom"/>
            <w:hideMark/>
          </w:tcPr>
          <w:p w14:paraId="4E1F72FB"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278AF541"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18EF91F0"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c>
          <w:tcPr>
            <w:tcW w:w="0" w:type="auto"/>
            <w:tcBorders>
              <w:top w:val="single" w:sz="2" w:space="0" w:color="auto"/>
              <w:left w:val="single" w:sz="2" w:space="0" w:color="auto"/>
              <w:bottom w:val="single" w:sz="2" w:space="0" w:color="auto"/>
              <w:right w:val="single" w:sz="12" w:space="0" w:color="auto"/>
            </w:tcBorders>
            <w:shd w:val="clear" w:color="000000" w:fill="FFFFFF"/>
            <w:noWrap/>
            <w:vAlign w:val="bottom"/>
            <w:hideMark/>
          </w:tcPr>
          <w:p w14:paraId="39BE5711"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r>
      <w:tr w:rsidR="007B01B9" w:rsidRPr="006F5E89" w14:paraId="230BAEE2" w14:textId="77777777" w:rsidTr="00454221">
        <w:trPr>
          <w:trHeight w:val="945"/>
        </w:trPr>
        <w:tc>
          <w:tcPr>
            <w:tcW w:w="1163" w:type="dxa"/>
            <w:shd w:val="clear" w:color="000000" w:fill="FFFFFF"/>
            <w:noWrap/>
            <w:vAlign w:val="center"/>
            <w:hideMark/>
          </w:tcPr>
          <w:p w14:paraId="7AA29439" w14:textId="77777777" w:rsidR="007B01B9" w:rsidRPr="006F5E89" w:rsidRDefault="007B01B9" w:rsidP="00454221">
            <w:pPr>
              <w:spacing w:before="120" w:after="120"/>
              <w:jc w:val="center"/>
              <w:rPr>
                <w:rFonts w:cs="Arial"/>
                <w:color w:val="000000"/>
                <w:kern w:val="2"/>
                <w:szCs w:val="22"/>
              </w:rPr>
            </w:pPr>
            <w:r w:rsidRPr="006F5E89">
              <w:rPr>
                <w:rFonts w:cs="Arial"/>
                <w:color w:val="000000"/>
                <w:kern w:val="2"/>
                <w:szCs w:val="22"/>
              </w:rPr>
              <w:t>2</w:t>
            </w:r>
          </w:p>
        </w:tc>
        <w:tc>
          <w:tcPr>
            <w:tcW w:w="3358" w:type="dxa"/>
            <w:shd w:val="clear" w:color="auto" w:fill="auto"/>
            <w:vAlign w:val="center"/>
            <w:hideMark/>
          </w:tcPr>
          <w:p w14:paraId="4A1D404C" w14:textId="77777777" w:rsidR="007B01B9" w:rsidRPr="006F5E89" w:rsidRDefault="007B01B9" w:rsidP="00454221">
            <w:pPr>
              <w:spacing w:before="120" w:after="120"/>
              <w:rPr>
                <w:rFonts w:cs="Arial"/>
                <w:color w:val="000000"/>
                <w:kern w:val="2"/>
                <w:szCs w:val="22"/>
              </w:rPr>
            </w:pPr>
            <w:r w:rsidRPr="006F5E89">
              <w:rPr>
                <w:rFonts w:cs="Arial"/>
                <w:color w:val="000000"/>
              </w:rPr>
              <w:t xml:space="preserve">Virus de referència per a recompte i enumeració de </w:t>
            </w:r>
            <w:proofErr w:type="spellStart"/>
            <w:r w:rsidRPr="006F5E89">
              <w:rPr>
                <w:rFonts w:cs="Arial"/>
                <w:color w:val="000000"/>
              </w:rPr>
              <w:t>colífags</w:t>
            </w:r>
            <w:proofErr w:type="spellEnd"/>
            <w:r w:rsidRPr="006F5E89">
              <w:rPr>
                <w:rFonts w:cs="Arial"/>
                <w:color w:val="000000"/>
              </w:rPr>
              <w:t xml:space="preserve"> somàtics per a 100mL </w:t>
            </w:r>
            <w:proofErr w:type="spellStart"/>
            <w:r w:rsidRPr="006F5E89">
              <w:rPr>
                <w:rFonts w:cs="Arial"/>
                <w:b/>
                <w:bCs/>
                <w:color w:val="000000"/>
              </w:rPr>
              <w:t>Bluephage</w:t>
            </w:r>
            <w:proofErr w:type="spellEnd"/>
            <w:r w:rsidRPr="006F5E89">
              <w:rPr>
                <w:rFonts w:cs="Arial"/>
                <w:b/>
                <w:bCs/>
                <w:color w:val="000000"/>
              </w:rPr>
              <w:t xml:space="preserve"> Cat. Nº BP1626 </w:t>
            </w:r>
            <w:r w:rsidRPr="006F5E89">
              <w:rPr>
                <w:rFonts w:cs="Arial"/>
                <w:color w:val="000000"/>
              </w:rPr>
              <w:t>o equivalent amb les mateixes característiques, components i prestacions.</w:t>
            </w:r>
          </w:p>
        </w:tc>
        <w:tc>
          <w:tcPr>
            <w:tcW w:w="915" w:type="dxa"/>
            <w:tcBorders>
              <w:right w:val="single" w:sz="12" w:space="0" w:color="auto"/>
            </w:tcBorders>
            <w:shd w:val="clear" w:color="auto" w:fill="auto"/>
            <w:vAlign w:val="center"/>
            <w:hideMark/>
          </w:tcPr>
          <w:p w14:paraId="5F388B89" w14:textId="77777777" w:rsidR="007B01B9" w:rsidRPr="006F5E89" w:rsidRDefault="007B01B9" w:rsidP="00454221">
            <w:pPr>
              <w:spacing w:before="120" w:after="120"/>
              <w:jc w:val="center"/>
              <w:rPr>
                <w:rFonts w:cs="Arial"/>
                <w:color w:val="000000"/>
                <w:kern w:val="2"/>
                <w:szCs w:val="22"/>
              </w:rPr>
            </w:pPr>
            <w:r w:rsidRPr="006F5E89">
              <w:rPr>
                <w:rFonts w:cs="Arial"/>
                <w:color w:val="000000"/>
                <w:kern w:val="2"/>
                <w:szCs w:val="22"/>
              </w:rPr>
              <w:t>345,00 €</w:t>
            </w:r>
          </w:p>
        </w:tc>
        <w:tc>
          <w:tcPr>
            <w:tcW w:w="0" w:type="auto"/>
            <w:tcBorders>
              <w:top w:val="single" w:sz="2" w:space="0" w:color="auto"/>
              <w:left w:val="single" w:sz="12" w:space="0" w:color="auto"/>
              <w:bottom w:val="single" w:sz="2" w:space="0" w:color="auto"/>
              <w:right w:val="single" w:sz="2" w:space="0" w:color="auto"/>
            </w:tcBorders>
            <w:shd w:val="clear" w:color="000000" w:fill="FFFFFF"/>
            <w:noWrap/>
            <w:vAlign w:val="bottom"/>
            <w:hideMark/>
          </w:tcPr>
          <w:p w14:paraId="174DDE24"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214FB69D"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0A1D6CF8"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c>
          <w:tcPr>
            <w:tcW w:w="0" w:type="auto"/>
            <w:tcBorders>
              <w:top w:val="single" w:sz="2" w:space="0" w:color="auto"/>
              <w:left w:val="single" w:sz="2" w:space="0" w:color="auto"/>
              <w:bottom w:val="single" w:sz="2" w:space="0" w:color="auto"/>
              <w:right w:val="single" w:sz="12" w:space="0" w:color="auto"/>
            </w:tcBorders>
            <w:shd w:val="clear" w:color="000000" w:fill="FFFFFF"/>
            <w:noWrap/>
            <w:vAlign w:val="bottom"/>
            <w:hideMark/>
          </w:tcPr>
          <w:p w14:paraId="25EA27F5"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r>
      <w:tr w:rsidR="007B01B9" w:rsidRPr="006F5E89" w14:paraId="5E3ADC3E" w14:textId="77777777" w:rsidTr="00454221">
        <w:trPr>
          <w:trHeight w:val="945"/>
        </w:trPr>
        <w:tc>
          <w:tcPr>
            <w:tcW w:w="1163" w:type="dxa"/>
            <w:shd w:val="clear" w:color="000000" w:fill="FFFFFF"/>
            <w:noWrap/>
            <w:vAlign w:val="center"/>
            <w:hideMark/>
          </w:tcPr>
          <w:p w14:paraId="1240D584" w14:textId="77777777" w:rsidR="007B01B9" w:rsidRPr="006F5E89" w:rsidRDefault="007B01B9" w:rsidP="00454221">
            <w:pPr>
              <w:spacing w:before="120" w:after="120"/>
              <w:jc w:val="center"/>
              <w:rPr>
                <w:rFonts w:cs="Arial"/>
                <w:color w:val="000000"/>
                <w:kern w:val="2"/>
                <w:szCs w:val="22"/>
              </w:rPr>
            </w:pPr>
            <w:r w:rsidRPr="006F5E89">
              <w:rPr>
                <w:rFonts w:cs="Arial"/>
                <w:color w:val="000000"/>
                <w:kern w:val="2"/>
                <w:szCs w:val="22"/>
              </w:rPr>
              <w:t>3</w:t>
            </w:r>
          </w:p>
        </w:tc>
        <w:tc>
          <w:tcPr>
            <w:tcW w:w="3358" w:type="dxa"/>
            <w:shd w:val="clear" w:color="auto" w:fill="auto"/>
            <w:vAlign w:val="center"/>
            <w:hideMark/>
          </w:tcPr>
          <w:p w14:paraId="5C4BF262" w14:textId="77777777" w:rsidR="007B01B9" w:rsidRPr="006F5E89" w:rsidRDefault="007B01B9" w:rsidP="00454221">
            <w:pPr>
              <w:spacing w:before="120" w:after="120"/>
              <w:rPr>
                <w:rFonts w:cs="Arial"/>
                <w:color w:val="000000"/>
                <w:kern w:val="2"/>
                <w:szCs w:val="22"/>
              </w:rPr>
            </w:pPr>
            <w:r w:rsidRPr="006F5E89">
              <w:rPr>
                <w:rFonts w:cs="Arial"/>
                <w:color w:val="000000"/>
              </w:rPr>
              <w:t>Placa Petri plàstic estèril 140x20mm 3 ventilació</w:t>
            </w:r>
          </w:p>
        </w:tc>
        <w:tc>
          <w:tcPr>
            <w:tcW w:w="915" w:type="dxa"/>
            <w:tcBorders>
              <w:right w:val="single" w:sz="12" w:space="0" w:color="auto"/>
            </w:tcBorders>
            <w:shd w:val="clear" w:color="auto" w:fill="auto"/>
            <w:vAlign w:val="center"/>
            <w:hideMark/>
          </w:tcPr>
          <w:p w14:paraId="689E73BD" w14:textId="77777777" w:rsidR="007B01B9" w:rsidRPr="006F5E89" w:rsidRDefault="007B01B9" w:rsidP="00454221">
            <w:pPr>
              <w:spacing w:before="120" w:after="120"/>
              <w:jc w:val="center"/>
              <w:rPr>
                <w:rFonts w:cs="Arial"/>
                <w:color w:val="000000"/>
                <w:kern w:val="2"/>
                <w:szCs w:val="22"/>
              </w:rPr>
            </w:pPr>
            <w:r w:rsidRPr="006F5E89">
              <w:rPr>
                <w:rFonts w:cs="Arial"/>
                <w:color w:val="000000"/>
                <w:kern w:val="2"/>
                <w:szCs w:val="22"/>
              </w:rPr>
              <w:t>105,00 €</w:t>
            </w:r>
          </w:p>
        </w:tc>
        <w:tc>
          <w:tcPr>
            <w:tcW w:w="0" w:type="auto"/>
            <w:tcBorders>
              <w:top w:val="single" w:sz="2" w:space="0" w:color="auto"/>
              <w:left w:val="single" w:sz="12" w:space="0" w:color="auto"/>
              <w:bottom w:val="single" w:sz="12" w:space="0" w:color="auto"/>
              <w:right w:val="single" w:sz="2" w:space="0" w:color="auto"/>
            </w:tcBorders>
            <w:shd w:val="clear" w:color="000000" w:fill="FFFFFF"/>
            <w:noWrap/>
            <w:vAlign w:val="bottom"/>
            <w:hideMark/>
          </w:tcPr>
          <w:p w14:paraId="21CB0735"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c>
          <w:tcPr>
            <w:tcW w:w="0" w:type="auto"/>
            <w:tcBorders>
              <w:top w:val="single" w:sz="2" w:space="0" w:color="auto"/>
              <w:left w:val="single" w:sz="2" w:space="0" w:color="auto"/>
              <w:bottom w:val="single" w:sz="12" w:space="0" w:color="auto"/>
              <w:right w:val="single" w:sz="2" w:space="0" w:color="auto"/>
            </w:tcBorders>
            <w:shd w:val="clear" w:color="000000" w:fill="FFFFFF"/>
            <w:noWrap/>
            <w:vAlign w:val="bottom"/>
            <w:hideMark/>
          </w:tcPr>
          <w:p w14:paraId="04E0452A"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c>
          <w:tcPr>
            <w:tcW w:w="0" w:type="auto"/>
            <w:tcBorders>
              <w:top w:val="single" w:sz="2" w:space="0" w:color="auto"/>
              <w:left w:val="single" w:sz="2" w:space="0" w:color="auto"/>
              <w:bottom w:val="single" w:sz="12" w:space="0" w:color="auto"/>
              <w:right w:val="single" w:sz="2" w:space="0" w:color="auto"/>
            </w:tcBorders>
            <w:shd w:val="clear" w:color="000000" w:fill="FFFFFF"/>
            <w:noWrap/>
            <w:vAlign w:val="bottom"/>
            <w:hideMark/>
          </w:tcPr>
          <w:p w14:paraId="2ACA059F"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c>
          <w:tcPr>
            <w:tcW w:w="0" w:type="auto"/>
            <w:tcBorders>
              <w:top w:val="single" w:sz="2" w:space="0" w:color="auto"/>
              <w:left w:val="single" w:sz="2" w:space="0" w:color="auto"/>
              <w:bottom w:val="single" w:sz="12" w:space="0" w:color="auto"/>
              <w:right w:val="single" w:sz="12" w:space="0" w:color="auto"/>
            </w:tcBorders>
            <w:shd w:val="clear" w:color="000000" w:fill="FFFFFF"/>
            <w:noWrap/>
            <w:vAlign w:val="bottom"/>
            <w:hideMark/>
          </w:tcPr>
          <w:p w14:paraId="2346626E" w14:textId="77777777" w:rsidR="007B01B9" w:rsidRPr="006F5E89" w:rsidRDefault="007B01B9" w:rsidP="00454221">
            <w:pPr>
              <w:spacing w:before="120" w:after="120"/>
              <w:jc w:val="left"/>
              <w:rPr>
                <w:rFonts w:cs="Arial"/>
                <w:color w:val="000000"/>
                <w:kern w:val="2"/>
                <w:szCs w:val="22"/>
              </w:rPr>
            </w:pPr>
            <w:r w:rsidRPr="006F5E89">
              <w:rPr>
                <w:rFonts w:cs="Arial"/>
                <w:color w:val="000000"/>
                <w:kern w:val="2"/>
                <w:szCs w:val="22"/>
              </w:rPr>
              <w:t> </w:t>
            </w:r>
          </w:p>
        </w:tc>
      </w:tr>
    </w:tbl>
    <w:bookmarkEnd w:id="0"/>
    <w:p w14:paraId="13201EE7" w14:textId="77777777" w:rsidR="007B01B9" w:rsidRPr="006F5E89" w:rsidRDefault="007B01B9" w:rsidP="007B01B9">
      <w:pPr>
        <w:spacing w:line="259" w:lineRule="auto"/>
        <w:rPr>
          <w:rFonts w:eastAsia="Calibri"/>
          <w:bCs/>
          <w:color w:val="FF0000"/>
          <w:kern w:val="2"/>
          <w:sz w:val="20"/>
          <w:lang w:eastAsia="en-US"/>
          <w14:ligatures w14:val="standardContextual"/>
        </w:rPr>
      </w:pPr>
      <w:r w:rsidRPr="006F5E89">
        <w:rPr>
          <w:rFonts w:eastAsia="Aptos"/>
          <w:bCs/>
          <w:i/>
          <w:iCs/>
          <w:color w:val="000000"/>
          <w:kern w:val="2"/>
          <w:sz w:val="20"/>
          <w:lang w:eastAsia="en-US"/>
          <w14:ligatures w14:val="standardContextual"/>
        </w:rPr>
        <w:lastRenderedPageBreak/>
        <w:t xml:space="preserve">*S’exclourà l’empresa licitadora l’oferta de la qual ultrapassi qualsevol dels preus unitaris màxims de licitació. En absència d’algun preu unitari </w:t>
      </w:r>
      <w:proofErr w:type="spellStart"/>
      <w:r w:rsidRPr="006F5E89">
        <w:rPr>
          <w:rFonts w:eastAsia="Aptos"/>
          <w:bCs/>
          <w:i/>
          <w:iCs/>
          <w:color w:val="000000"/>
          <w:kern w:val="2"/>
          <w:sz w:val="20"/>
          <w:lang w:eastAsia="en-US"/>
          <w14:ligatures w14:val="standardContextual"/>
        </w:rPr>
        <w:t>ofertat</w:t>
      </w:r>
      <w:proofErr w:type="spellEnd"/>
      <w:r w:rsidRPr="006F5E89">
        <w:rPr>
          <w:rFonts w:eastAsia="Aptos"/>
          <w:bCs/>
          <w:i/>
          <w:iCs/>
          <w:color w:val="000000"/>
          <w:kern w:val="2"/>
          <w:sz w:val="20"/>
          <w:lang w:eastAsia="en-US"/>
          <w14:ligatures w14:val="standardContextual"/>
        </w:rPr>
        <w:t xml:space="preserve"> es considerarà que el preu ofert es correspon amb el preu unitari màxim de licitació.</w:t>
      </w:r>
    </w:p>
    <w:p w14:paraId="524E385E" w14:textId="77777777" w:rsidR="007B01B9" w:rsidRPr="006F5E89" w:rsidRDefault="007B01B9" w:rsidP="007B01B9">
      <w:pPr>
        <w:spacing w:line="259" w:lineRule="auto"/>
        <w:rPr>
          <w:rFonts w:eastAsia="Aptos"/>
          <w:bCs/>
          <w:i/>
          <w:iCs/>
          <w:color w:val="000000"/>
          <w:kern w:val="2"/>
          <w:sz w:val="20"/>
          <w:lang w:eastAsia="en-US"/>
          <w14:ligatures w14:val="standardContextual"/>
        </w:rPr>
      </w:pPr>
    </w:p>
    <w:p w14:paraId="1DD54DAF" w14:textId="77777777" w:rsidR="007B01B9" w:rsidRPr="006F5E89" w:rsidRDefault="007B01B9" w:rsidP="007B01B9">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eastAsia="en-US"/>
          <w14:ligatures w14:val="standardContextual"/>
        </w:rPr>
      </w:pPr>
      <w:r w:rsidRPr="006F5E89">
        <w:rPr>
          <w:rFonts w:eastAsia="Aptos"/>
          <w:b/>
          <w:bCs/>
          <w:kern w:val="2"/>
          <w:szCs w:val="22"/>
          <w:lang w:eastAsia="en-US"/>
          <w14:ligatures w14:val="standardContextual"/>
        </w:rPr>
        <w:t>Criteri 2. Termini de lliurament</w:t>
      </w:r>
    </w:p>
    <w:tbl>
      <w:tblPr>
        <w:tblW w:w="8620" w:type="dxa"/>
        <w:tblCellMar>
          <w:left w:w="70" w:type="dxa"/>
          <w:right w:w="70" w:type="dxa"/>
        </w:tblCellMar>
        <w:tblLook w:val="04A0" w:firstRow="1" w:lastRow="0" w:firstColumn="1" w:lastColumn="0" w:noHBand="0" w:noVBand="1"/>
      </w:tblPr>
      <w:tblGrid>
        <w:gridCol w:w="5807"/>
        <w:gridCol w:w="2813"/>
      </w:tblGrid>
      <w:tr w:rsidR="007B01B9" w:rsidRPr="006F5E89" w14:paraId="37C41AF4" w14:textId="77777777" w:rsidTr="00454221">
        <w:trPr>
          <w:trHeight w:val="720"/>
        </w:trPr>
        <w:tc>
          <w:tcPr>
            <w:tcW w:w="5807" w:type="dxa"/>
            <w:tcBorders>
              <w:top w:val="single" w:sz="4" w:space="0" w:color="auto"/>
              <w:left w:val="single" w:sz="4" w:space="0" w:color="auto"/>
              <w:bottom w:val="single" w:sz="4" w:space="0" w:color="auto"/>
              <w:right w:val="single" w:sz="12" w:space="0" w:color="auto"/>
            </w:tcBorders>
            <w:shd w:val="clear" w:color="000000" w:fill="FFFFFF"/>
            <w:vAlign w:val="center"/>
            <w:hideMark/>
          </w:tcPr>
          <w:p w14:paraId="1B11FCC1" w14:textId="77777777" w:rsidR="007B01B9" w:rsidRPr="006F5E89" w:rsidRDefault="007B01B9" w:rsidP="00454221">
            <w:pPr>
              <w:jc w:val="left"/>
              <w:rPr>
                <w:rFonts w:cs="Arial"/>
                <w:color w:val="000000"/>
                <w:kern w:val="2"/>
                <w:szCs w:val="22"/>
              </w:rPr>
            </w:pPr>
            <w:r w:rsidRPr="006F5E89">
              <w:rPr>
                <w:rFonts w:cs="Arial"/>
                <w:b/>
                <w:bCs/>
                <w:color w:val="000000"/>
                <w:kern w:val="2"/>
                <w:szCs w:val="22"/>
              </w:rPr>
              <w:t>Termini de lliurament</w:t>
            </w:r>
            <w:r w:rsidRPr="006F5E89">
              <w:rPr>
                <w:rFonts w:cs="Arial"/>
                <w:color w:val="000000"/>
                <w:kern w:val="2"/>
                <w:szCs w:val="22"/>
              </w:rPr>
              <w:br/>
            </w:r>
            <w:r w:rsidRPr="006F5E89">
              <w:rPr>
                <w:rFonts w:cs="Arial"/>
                <w:color w:val="000000"/>
                <w:kern w:val="2"/>
                <w:sz w:val="20"/>
              </w:rPr>
              <w:t xml:space="preserve">30 dies hàbils </w:t>
            </w:r>
            <w:r w:rsidRPr="006F5E89">
              <w:rPr>
                <w:rFonts w:cs="Arial"/>
                <w:i/>
                <w:iCs/>
                <w:color w:val="000000"/>
                <w:kern w:val="2"/>
                <w:sz w:val="20"/>
              </w:rPr>
              <w:t>(màxim establert segons la clàusula 4.2 PPT)</w:t>
            </w:r>
          </w:p>
        </w:tc>
        <w:tc>
          <w:tcPr>
            <w:tcW w:w="281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C1A4B36" w14:textId="77777777" w:rsidR="007B01B9" w:rsidRPr="006F5E89" w:rsidRDefault="007B01B9" w:rsidP="00454221">
            <w:pPr>
              <w:rPr>
                <w:rFonts w:cs="Arial"/>
                <w:b/>
                <w:bCs/>
                <w:color w:val="000000"/>
                <w:kern w:val="2"/>
                <w:szCs w:val="22"/>
              </w:rPr>
            </w:pPr>
            <w:r w:rsidRPr="006F5E89">
              <w:rPr>
                <w:rFonts w:cs="Arial"/>
                <w:b/>
                <w:bCs/>
                <w:color w:val="000000"/>
                <w:kern w:val="2"/>
                <w:szCs w:val="22"/>
              </w:rPr>
              <w:t>OFERTA DEL LICITADOR. Marcar amb una “X” una de les opcions</w:t>
            </w:r>
          </w:p>
        </w:tc>
      </w:tr>
      <w:tr w:rsidR="007B01B9" w:rsidRPr="006F5E89" w14:paraId="6CBEABD7" w14:textId="77777777" w:rsidTr="00454221">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94ACF4A" w14:textId="77777777" w:rsidR="007B01B9" w:rsidRPr="006F5E89" w:rsidRDefault="007B01B9" w:rsidP="00454221">
            <w:pPr>
              <w:jc w:val="left"/>
              <w:rPr>
                <w:rFonts w:cs="Arial"/>
                <w:color w:val="000000"/>
                <w:kern w:val="2"/>
                <w:szCs w:val="22"/>
              </w:rPr>
            </w:pPr>
            <w:r w:rsidRPr="006F5E89">
              <w:rPr>
                <w:rFonts w:cs="Arial"/>
                <w:color w:val="000000"/>
                <w:kern w:val="2"/>
                <w:szCs w:val="22"/>
              </w:rPr>
              <w:t>20 dies hàbils</w:t>
            </w:r>
          </w:p>
        </w:tc>
        <w:tc>
          <w:tcPr>
            <w:tcW w:w="2813"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45FF431E" w14:textId="77777777" w:rsidR="007B01B9" w:rsidRPr="006F5E89" w:rsidRDefault="007B01B9" w:rsidP="00454221">
            <w:pPr>
              <w:jc w:val="left"/>
              <w:rPr>
                <w:rFonts w:cs="Arial"/>
                <w:color w:val="000000"/>
                <w:kern w:val="2"/>
                <w:szCs w:val="22"/>
              </w:rPr>
            </w:pPr>
            <w:r w:rsidRPr="006F5E89">
              <w:rPr>
                <w:rFonts w:cs="Arial"/>
                <w:color w:val="000000"/>
                <w:kern w:val="2"/>
                <w:szCs w:val="22"/>
              </w:rPr>
              <w:t> </w:t>
            </w:r>
          </w:p>
        </w:tc>
      </w:tr>
      <w:tr w:rsidR="007B01B9" w:rsidRPr="006F5E89" w14:paraId="787EC77C" w14:textId="77777777" w:rsidTr="00454221">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9D33E0E" w14:textId="77777777" w:rsidR="007B01B9" w:rsidRPr="006F5E89" w:rsidRDefault="007B01B9" w:rsidP="00454221">
            <w:pPr>
              <w:jc w:val="left"/>
              <w:rPr>
                <w:rFonts w:cs="Arial"/>
                <w:color w:val="000000"/>
                <w:kern w:val="2"/>
                <w:szCs w:val="22"/>
              </w:rPr>
            </w:pPr>
            <w:r w:rsidRPr="006F5E89">
              <w:rPr>
                <w:rFonts w:cs="Arial"/>
                <w:color w:val="000000"/>
                <w:kern w:val="2"/>
                <w:szCs w:val="22"/>
              </w:rPr>
              <w:t>10 dies hàbils</w:t>
            </w:r>
          </w:p>
        </w:tc>
        <w:tc>
          <w:tcPr>
            <w:tcW w:w="2813"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68008F1A" w14:textId="77777777" w:rsidR="007B01B9" w:rsidRPr="006F5E89" w:rsidRDefault="007B01B9" w:rsidP="00454221">
            <w:pPr>
              <w:jc w:val="left"/>
              <w:rPr>
                <w:rFonts w:cs="Arial"/>
                <w:color w:val="000000"/>
                <w:kern w:val="2"/>
                <w:szCs w:val="22"/>
              </w:rPr>
            </w:pPr>
            <w:r w:rsidRPr="006F5E89">
              <w:rPr>
                <w:rFonts w:cs="Arial"/>
                <w:color w:val="000000"/>
                <w:kern w:val="2"/>
                <w:szCs w:val="22"/>
              </w:rPr>
              <w:t> </w:t>
            </w:r>
          </w:p>
        </w:tc>
      </w:tr>
    </w:tbl>
    <w:p w14:paraId="32B7E798" w14:textId="77777777" w:rsidR="007B01B9" w:rsidRPr="001D0706" w:rsidRDefault="007B01B9" w:rsidP="007B01B9">
      <w:pPr>
        <w:spacing w:after="160" w:line="259" w:lineRule="auto"/>
        <w:rPr>
          <w:rFonts w:eastAsia="Aptos"/>
          <w:i/>
          <w:iCs/>
          <w:color w:val="3366FF"/>
          <w:kern w:val="2"/>
          <w:szCs w:val="22"/>
          <w:lang w:eastAsia="en-US"/>
          <w14:ligatures w14:val="standardContextual"/>
        </w:rPr>
      </w:pPr>
      <w:r w:rsidRPr="006F5E89">
        <w:rPr>
          <w:rFonts w:eastAsia="Aptos"/>
          <w:i/>
          <w:iCs/>
          <w:color w:val="000000"/>
          <w:kern w:val="2"/>
          <w:sz w:val="20"/>
          <w:lang w:eastAsia="en-US"/>
          <w14:ligatures w14:val="standardContextual"/>
        </w:rPr>
        <w:t>En cas de marcar més d’una casella, o cap d’elles, s’atorgaran 0 punts.</w:t>
      </w:r>
    </w:p>
    <w:p w14:paraId="543C7C52" w14:textId="77777777" w:rsidR="007B01B9" w:rsidRPr="001D0706" w:rsidRDefault="007B01B9" w:rsidP="007B01B9"/>
    <w:p w14:paraId="31D34700" w14:textId="2ECA81EA" w:rsidR="00B17B18" w:rsidRPr="007B01B9" w:rsidRDefault="00B17B18" w:rsidP="007B01B9"/>
    <w:sectPr w:rsidR="00B17B18" w:rsidRPr="007B01B9" w:rsidSect="00972070">
      <w:headerReference w:type="even" r:id="rId8"/>
      <w:footerReference w:type="even" r:id="rId9"/>
      <w:footerReference w:type="default" r:id="rId10"/>
      <w:footerReference w:type="first" r:id="rId11"/>
      <w:pgSz w:w="11906" w:h="16838" w:code="9"/>
      <w:pgMar w:top="170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68C7" w14:textId="77777777" w:rsidR="00A81A79" w:rsidRDefault="00A81A79">
      <w:r>
        <w:separator/>
      </w:r>
    </w:p>
  </w:endnote>
  <w:endnote w:type="continuationSeparator" w:id="0">
    <w:p w14:paraId="141094F0" w14:textId="77777777" w:rsidR="00A81A79" w:rsidRDefault="00A8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C95DF4"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E1C1" w14:textId="77777777" w:rsidR="00A81A79" w:rsidRDefault="00A81A79">
      <w:r>
        <w:separator/>
      </w:r>
    </w:p>
  </w:footnote>
  <w:footnote w:type="continuationSeparator" w:id="0">
    <w:p w14:paraId="5018C8EA" w14:textId="77777777" w:rsidR="00A81A79" w:rsidRDefault="00A81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A8BA7628"/>
    <w:styleLink w:val="Estilo11"/>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3ED835D2"/>
    <w:lvl w:ilvl="0" w:tplc="04030005">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BAA8309A"/>
    <w:lvl w:ilvl="0" w:tplc="E662ED9A">
      <w:start w:val="1"/>
      <w:numFmt w:val="bullet"/>
      <w:lvlText w:val=""/>
      <w:lvlJc w:val="left"/>
      <w:pPr>
        <w:ind w:left="644" w:hanging="360"/>
      </w:pPr>
      <w:rPr>
        <w:rFonts w:ascii="Wingdings" w:hAnsi="Wingdings" w:hint="default"/>
        <w:sz w:val="22"/>
        <w:szCs w:val="32"/>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EEEA3F86"/>
    <w:lvl w:ilvl="0" w:tplc="04030001">
      <w:start w:val="1"/>
      <w:numFmt w:val="bullet"/>
      <w:lvlText w:val=""/>
      <w:lvlJc w:val="left"/>
      <w:pPr>
        <w:tabs>
          <w:tab w:val="num" w:pos="1428"/>
        </w:tabs>
        <w:ind w:left="1428" w:hanging="360"/>
      </w:pPr>
      <w:rPr>
        <w:rFonts w:ascii="Symbol" w:hAnsi="Symbol"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D3C24544"/>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B"/>
    <w:multiLevelType w:val="hybridMultilevel"/>
    <w:tmpl w:val="F5A664AE"/>
    <w:lvl w:ilvl="0" w:tplc="AAAAB958">
      <w:start w:val="1"/>
      <w:numFmt w:val="bullet"/>
      <w:lvlText w:val=""/>
      <w:lvlJc w:val="left"/>
      <w:pPr>
        <w:ind w:left="360" w:hanging="360"/>
      </w:pPr>
      <w:rPr>
        <w:rFonts w:ascii="Wingdings" w:hAnsi="Wingdings" w:hint="default"/>
        <w:sz w:val="24"/>
        <w:szCs w:val="24"/>
      </w:rPr>
    </w:lvl>
    <w:lvl w:ilvl="1" w:tplc="0403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0D"/>
    <w:multiLevelType w:val="hybridMultilevel"/>
    <w:tmpl w:val="3A4CF434"/>
    <w:lvl w:ilvl="0" w:tplc="FFFFFFFF">
      <w:start w:val="3"/>
      <w:numFmt w:val="bullet"/>
      <w:lvlText w:val=""/>
      <w:lvlJc w:val="left"/>
      <w:pPr>
        <w:tabs>
          <w:tab w:val="num" w:pos="1428"/>
        </w:tabs>
        <w:ind w:left="1428" w:hanging="360"/>
      </w:pPr>
      <w:rPr>
        <w:rFonts w:ascii="Wingdings 2" w:eastAsia="Times New Roman" w:hAnsi="Wingdings 2" w:cs="Times New Roman" w:hint="default"/>
        <w:strike w:val="0"/>
        <w:color w:val="auto"/>
        <w:sz w:val="16"/>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D09EEB10"/>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0"/>
    <w:multiLevelType w:val="hybridMultilevel"/>
    <w:tmpl w:val="6AD6F986"/>
    <w:lvl w:ilvl="0" w:tplc="0D968574">
      <w:start w:val="1"/>
      <w:numFmt w:val="lowerLetter"/>
      <w:lvlText w:val="%1)"/>
      <w:lvlJc w:val="left"/>
      <w:pPr>
        <w:ind w:left="652" w:hanging="360"/>
      </w:pPr>
      <w:rPr>
        <w:rFonts w:hint="default"/>
        <w:strike w:val="0"/>
        <w:sz w:val="22"/>
        <w:szCs w:val="44"/>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2"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00000023"/>
    <w:multiLevelType w:val="hybridMultilevel"/>
    <w:tmpl w:val="0B4CC01C"/>
    <w:lvl w:ilvl="0" w:tplc="886E5D98">
      <w:start w:val="1"/>
      <w:numFmt w:val="bullet"/>
      <w:lvlText w:val="-"/>
      <w:lvlJc w:val="left"/>
      <w:pPr>
        <w:tabs>
          <w:tab w:val="num" w:pos="720"/>
        </w:tabs>
        <w:ind w:left="720" w:hanging="360"/>
      </w:pPr>
      <w:rPr>
        <w:rFonts w:ascii="Arial" w:eastAsia="Times New Roman" w:hAnsi="Arial" w:cs="Arial" w:hint="default"/>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4"/>
    <w:multiLevelType w:val="hybridMultilevel"/>
    <w:tmpl w:val="6486E58C"/>
    <w:lvl w:ilvl="0" w:tplc="118477B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000002B"/>
    <w:multiLevelType w:val="hybridMultilevel"/>
    <w:tmpl w:val="B706E360"/>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000002C"/>
    <w:multiLevelType w:val="hybridMultilevel"/>
    <w:tmpl w:val="7B5AA894"/>
    <w:lvl w:ilvl="0" w:tplc="04030001">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9" w15:restartNumberingAfterBreak="0">
    <w:nsid w:val="00000031"/>
    <w:multiLevelType w:val="hybridMultilevel"/>
    <w:tmpl w:val="548C147C"/>
    <w:lvl w:ilvl="0" w:tplc="57EEBD36">
      <w:start w:val="1"/>
      <w:numFmt w:val="bullet"/>
      <w:lvlText w:val=""/>
      <w:lvlJc w:val="left"/>
      <w:pPr>
        <w:tabs>
          <w:tab w:val="num" w:pos="720"/>
        </w:tabs>
        <w:ind w:left="720" w:hanging="360"/>
      </w:pPr>
      <w:rPr>
        <w:rFonts w:ascii="Symbol" w:hAnsi="Symbol" w:hint="default"/>
        <w:strike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32"/>
    <w:multiLevelType w:val="hybridMultilevel"/>
    <w:tmpl w:val="51605B16"/>
    <w:lvl w:ilvl="0" w:tplc="301E655C">
      <w:start w:val="3"/>
      <w:numFmt w:val="bullet"/>
      <w:lvlText w:val=""/>
      <w:lvlJc w:val="left"/>
      <w:pPr>
        <w:tabs>
          <w:tab w:val="num" w:pos="1068"/>
        </w:tabs>
        <w:ind w:left="1068" w:hanging="360"/>
      </w:pPr>
      <w:rPr>
        <w:rFonts w:ascii="Wingdings 2" w:eastAsia="Times New Roman" w:hAnsi="Wingdings 2" w:cs="Times New Roman" w:hint="default"/>
        <w:color w:val="auto"/>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33"/>
    <w:multiLevelType w:val="hybridMultilevel"/>
    <w:tmpl w:val="E7903A5A"/>
    <w:lvl w:ilvl="0" w:tplc="F6162A5A">
      <w:start w:val="3"/>
      <w:numFmt w:val="bullet"/>
      <w:lvlText w:val=""/>
      <w:lvlJc w:val="left"/>
      <w:pPr>
        <w:ind w:left="1428" w:hanging="360"/>
      </w:pPr>
      <w:rPr>
        <w:rFonts w:ascii="Wingdings 2" w:eastAsia="Times New Roman" w:hAnsi="Wingdings 2" w:cs="Times New Roman" w:hint="default"/>
        <w:sz w:val="22"/>
        <w:szCs w:val="4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00000034"/>
    <w:multiLevelType w:val="hybridMultilevel"/>
    <w:tmpl w:val="24A08164"/>
    <w:lvl w:ilvl="0" w:tplc="04030001">
      <w:start w:val="1"/>
      <w:numFmt w:val="bullet"/>
      <w:lvlText w:val=""/>
      <w:lvlJc w:val="left"/>
      <w:pPr>
        <w:tabs>
          <w:tab w:val="num" w:pos="360"/>
        </w:tabs>
        <w:ind w:left="360" w:hanging="360"/>
      </w:pPr>
      <w:rPr>
        <w:rFonts w:ascii="Symbol" w:hAnsi="Symbol" w:hint="default"/>
        <w:strike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00000035"/>
    <w:multiLevelType w:val="hybridMultilevel"/>
    <w:tmpl w:val="A2D074A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1F19326D"/>
    <w:multiLevelType w:val="hybridMultilevel"/>
    <w:tmpl w:val="7FCE876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6E72683"/>
    <w:multiLevelType w:val="hybridMultilevel"/>
    <w:tmpl w:val="AD96EA32"/>
    <w:lvl w:ilvl="0" w:tplc="FFFFFFFF">
      <w:start w:val="1"/>
      <w:numFmt w:val="bullet"/>
      <w:lvlText w:val="-"/>
      <w:lvlJc w:val="left"/>
      <w:pPr>
        <w:tabs>
          <w:tab w:val="num" w:pos="1428"/>
        </w:tabs>
        <w:ind w:left="1428" w:hanging="360"/>
      </w:pPr>
      <w:rPr>
        <w:rFonts w:ascii="Arial" w:eastAsia="Times New Roman" w:hAnsi="Arial" w:cs="Arial" w:hint="default"/>
        <w:color w:val="auto"/>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291F32B1"/>
    <w:multiLevelType w:val="hybridMultilevel"/>
    <w:tmpl w:val="09D6A8BC"/>
    <w:lvl w:ilvl="0" w:tplc="FFFFFFFF">
      <w:start w:val="1"/>
      <w:numFmt w:val="bullet"/>
      <w:lvlText w:val="-"/>
      <w:lvlJc w:val="left"/>
      <w:pPr>
        <w:ind w:left="1211" w:hanging="360"/>
      </w:pPr>
      <w:rPr>
        <w:rFonts w:ascii="Arial" w:eastAsia="Times New Roman" w:hAnsi="Arial" w:cs="Arial" w:hint="default"/>
        <w:color w:val="auto"/>
        <w:sz w:val="16"/>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1" w15:restartNumberingAfterBreak="0">
    <w:nsid w:val="37B028A2"/>
    <w:multiLevelType w:val="hybridMultilevel"/>
    <w:tmpl w:val="2F8A3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A2678C2"/>
    <w:multiLevelType w:val="hybridMultilevel"/>
    <w:tmpl w:val="EC422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CA245D6"/>
    <w:multiLevelType w:val="hybridMultilevel"/>
    <w:tmpl w:val="E49CBE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45A058EE"/>
    <w:multiLevelType w:val="hybridMultilevel"/>
    <w:tmpl w:val="4EC8CB72"/>
    <w:lvl w:ilvl="0" w:tplc="FFFFFFFF">
      <w:start w:val="1"/>
      <w:numFmt w:val="bullet"/>
      <w:lvlText w:val="-"/>
      <w:lvlJc w:val="left"/>
      <w:pPr>
        <w:ind w:left="1647" w:hanging="360"/>
      </w:pPr>
      <w:rPr>
        <w:rFonts w:ascii="Arial" w:eastAsia="Times New Roman" w:hAnsi="Arial" w:cs="Arial" w:hint="default"/>
        <w:sz w:val="16"/>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36"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7"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FA565C"/>
    <w:multiLevelType w:val="hybridMultilevel"/>
    <w:tmpl w:val="9DC8A922"/>
    <w:lvl w:ilvl="0" w:tplc="0C0A0001">
      <w:start w:val="1"/>
      <w:numFmt w:val="bullet"/>
      <w:lvlText w:val=""/>
      <w:lvlJc w:val="left"/>
      <w:pPr>
        <w:ind w:left="1287" w:hanging="360"/>
      </w:pPr>
      <w:rPr>
        <w:rFonts w:ascii="Symbol" w:hAnsi="Symbol" w:hint="default"/>
        <w:sz w:val="18"/>
        <w:szCs w:val="18"/>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9" w15:restartNumberingAfterBreak="0">
    <w:nsid w:val="65967B93"/>
    <w:multiLevelType w:val="hybridMultilevel"/>
    <w:tmpl w:val="EEE8CA7E"/>
    <w:lvl w:ilvl="0" w:tplc="EA6A6A6A">
      <w:start w:val="1"/>
      <w:numFmt w:val="decimal"/>
      <w:lvlText w:val="%1)"/>
      <w:lvlJc w:val="left"/>
      <w:pPr>
        <w:ind w:left="3414" w:hanging="360"/>
      </w:pPr>
      <w:rPr>
        <w:rFonts w:hint="default"/>
      </w:rPr>
    </w:lvl>
    <w:lvl w:ilvl="1" w:tplc="04030019" w:tentative="1">
      <w:start w:val="1"/>
      <w:numFmt w:val="lowerLetter"/>
      <w:lvlText w:val="%2."/>
      <w:lvlJc w:val="left"/>
      <w:pPr>
        <w:ind w:left="4134" w:hanging="360"/>
      </w:pPr>
    </w:lvl>
    <w:lvl w:ilvl="2" w:tplc="0403001B" w:tentative="1">
      <w:start w:val="1"/>
      <w:numFmt w:val="lowerRoman"/>
      <w:lvlText w:val="%3."/>
      <w:lvlJc w:val="right"/>
      <w:pPr>
        <w:ind w:left="4854" w:hanging="180"/>
      </w:pPr>
    </w:lvl>
    <w:lvl w:ilvl="3" w:tplc="0403000F" w:tentative="1">
      <w:start w:val="1"/>
      <w:numFmt w:val="decimal"/>
      <w:lvlText w:val="%4."/>
      <w:lvlJc w:val="left"/>
      <w:pPr>
        <w:ind w:left="5574" w:hanging="360"/>
      </w:pPr>
    </w:lvl>
    <w:lvl w:ilvl="4" w:tplc="04030019" w:tentative="1">
      <w:start w:val="1"/>
      <w:numFmt w:val="lowerLetter"/>
      <w:lvlText w:val="%5."/>
      <w:lvlJc w:val="left"/>
      <w:pPr>
        <w:ind w:left="6294" w:hanging="360"/>
      </w:pPr>
    </w:lvl>
    <w:lvl w:ilvl="5" w:tplc="0403001B" w:tentative="1">
      <w:start w:val="1"/>
      <w:numFmt w:val="lowerRoman"/>
      <w:lvlText w:val="%6."/>
      <w:lvlJc w:val="right"/>
      <w:pPr>
        <w:ind w:left="7014" w:hanging="180"/>
      </w:pPr>
    </w:lvl>
    <w:lvl w:ilvl="6" w:tplc="0403000F" w:tentative="1">
      <w:start w:val="1"/>
      <w:numFmt w:val="decimal"/>
      <w:lvlText w:val="%7."/>
      <w:lvlJc w:val="left"/>
      <w:pPr>
        <w:ind w:left="7734" w:hanging="360"/>
      </w:pPr>
    </w:lvl>
    <w:lvl w:ilvl="7" w:tplc="04030019" w:tentative="1">
      <w:start w:val="1"/>
      <w:numFmt w:val="lowerLetter"/>
      <w:lvlText w:val="%8."/>
      <w:lvlJc w:val="left"/>
      <w:pPr>
        <w:ind w:left="8454" w:hanging="360"/>
      </w:pPr>
    </w:lvl>
    <w:lvl w:ilvl="8" w:tplc="0403001B" w:tentative="1">
      <w:start w:val="1"/>
      <w:numFmt w:val="lowerRoman"/>
      <w:lvlText w:val="%9."/>
      <w:lvlJc w:val="right"/>
      <w:pPr>
        <w:ind w:left="9174" w:hanging="180"/>
      </w:pPr>
    </w:lvl>
  </w:abstractNum>
  <w:abstractNum w:abstractNumId="4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74814669">
    <w:abstractNumId w:val="10"/>
  </w:num>
  <w:num w:numId="2" w16cid:durableId="2126851281">
    <w:abstractNumId w:val="2"/>
  </w:num>
  <w:num w:numId="3" w16cid:durableId="1086995775">
    <w:abstractNumId w:val="3"/>
  </w:num>
  <w:num w:numId="4" w16cid:durableId="1354724818">
    <w:abstractNumId w:val="9"/>
  </w:num>
  <w:num w:numId="5" w16cid:durableId="1118452859">
    <w:abstractNumId w:val="11"/>
  </w:num>
  <w:num w:numId="6" w16cid:durableId="1804422376">
    <w:abstractNumId w:val="12"/>
  </w:num>
  <w:num w:numId="7" w16cid:durableId="771778449">
    <w:abstractNumId w:val="13"/>
  </w:num>
  <w:num w:numId="8" w16cid:durableId="1706635971">
    <w:abstractNumId w:val="14"/>
  </w:num>
  <w:num w:numId="9" w16cid:durableId="391855723">
    <w:abstractNumId w:val="15"/>
  </w:num>
  <w:num w:numId="10" w16cid:durableId="495732244">
    <w:abstractNumId w:val="0"/>
  </w:num>
  <w:num w:numId="11" w16cid:durableId="621426967">
    <w:abstractNumId w:val="7"/>
  </w:num>
  <w:num w:numId="12" w16cid:durableId="170074041">
    <w:abstractNumId w:val="17"/>
  </w:num>
  <w:num w:numId="13" w16cid:durableId="874386345">
    <w:abstractNumId w:val="26"/>
  </w:num>
  <w:num w:numId="14" w16cid:durableId="75323234">
    <w:abstractNumId w:val="4"/>
  </w:num>
  <w:num w:numId="15" w16cid:durableId="959915810">
    <w:abstractNumId w:val="8"/>
  </w:num>
  <w:num w:numId="16" w16cid:durableId="1993868678">
    <w:abstractNumId w:val="16"/>
  </w:num>
  <w:num w:numId="17" w16cid:durableId="1370914437">
    <w:abstractNumId w:val="1"/>
  </w:num>
  <w:num w:numId="18" w16cid:durableId="530916476">
    <w:abstractNumId w:val="18"/>
  </w:num>
  <w:num w:numId="19" w16cid:durableId="465467711">
    <w:abstractNumId w:val="34"/>
  </w:num>
  <w:num w:numId="20" w16cid:durableId="798181696">
    <w:abstractNumId w:val="37"/>
  </w:num>
  <w:num w:numId="21" w16cid:durableId="908616042">
    <w:abstractNumId w:val="39"/>
  </w:num>
  <w:num w:numId="22" w16cid:durableId="545263983">
    <w:abstractNumId w:val="6"/>
  </w:num>
  <w:num w:numId="23" w16cid:durableId="725957200">
    <w:abstractNumId w:val="24"/>
  </w:num>
  <w:num w:numId="24" w16cid:durableId="1244997783">
    <w:abstractNumId w:val="40"/>
  </w:num>
  <w:num w:numId="25" w16cid:durableId="1121387254">
    <w:abstractNumId w:val="28"/>
  </w:num>
  <w:num w:numId="26" w16cid:durableId="2045903494">
    <w:abstractNumId w:val="5"/>
    <w:lvlOverride w:ilvl="0">
      <w:lvl w:ilvl="0">
        <w:start w:val="1"/>
        <w:numFmt w:val="bullet"/>
        <w:lvlText w:val=""/>
        <w:lvlJc w:val="left"/>
        <w:pPr>
          <w:tabs>
            <w:tab w:val="num" w:pos="502"/>
          </w:tabs>
          <w:ind w:left="502" w:hanging="360"/>
        </w:pPr>
        <w:rPr>
          <w:rFonts w:ascii="Symbol" w:hAnsi="Symbol" w:hint="default"/>
          <w:strike w:val="0"/>
          <w:color w:val="auto"/>
          <w:sz w:val="22"/>
          <w:szCs w:val="32"/>
        </w:rPr>
      </w:lvl>
    </w:lvlOverride>
  </w:num>
  <w:num w:numId="27" w16cid:durableId="2120248206">
    <w:abstractNumId w:val="30"/>
  </w:num>
  <w:num w:numId="28" w16cid:durableId="1804303834">
    <w:abstractNumId w:val="38"/>
  </w:num>
  <w:num w:numId="29" w16cid:durableId="1982802410">
    <w:abstractNumId w:val="33"/>
  </w:num>
  <w:num w:numId="30" w16cid:durableId="1804540469">
    <w:abstractNumId w:val="35"/>
  </w:num>
  <w:num w:numId="31" w16cid:durableId="403187326">
    <w:abstractNumId w:val="29"/>
  </w:num>
  <w:num w:numId="32" w16cid:durableId="1380401747">
    <w:abstractNumId w:val="31"/>
  </w:num>
  <w:num w:numId="33" w16cid:durableId="267856462">
    <w:abstractNumId w:val="32"/>
  </w:num>
  <w:num w:numId="34" w16cid:durableId="1755933099">
    <w:abstractNumId w:val="27"/>
  </w:num>
  <w:num w:numId="35" w16cid:durableId="1032346496">
    <w:abstractNumId w:val="25"/>
  </w:num>
  <w:num w:numId="36" w16cid:durableId="1952468192">
    <w:abstractNumId w:val="5"/>
  </w:num>
  <w:num w:numId="37" w16cid:durableId="1982029174">
    <w:abstractNumId w:val="21"/>
  </w:num>
  <w:num w:numId="38" w16cid:durableId="1009940840">
    <w:abstractNumId w:val="22"/>
  </w:num>
  <w:num w:numId="39" w16cid:durableId="1671983213">
    <w:abstractNumId w:val="23"/>
  </w:num>
  <w:num w:numId="40" w16cid:durableId="541599115">
    <w:abstractNumId w:val="19"/>
  </w:num>
  <w:num w:numId="41" w16cid:durableId="14910622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27343"/>
    <w:rsid w:val="00037732"/>
    <w:rsid w:val="0004112D"/>
    <w:rsid w:val="00050A4B"/>
    <w:rsid w:val="00051255"/>
    <w:rsid w:val="00054645"/>
    <w:rsid w:val="0006118B"/>
    <w:rsid w:val="000611D0"/>
    <w:rsid w:val="00065B0B"/>
    <w:rsid w:val="0006717D"/>
    <w:rsid w:val="00071C1B"/>
    <w:rsid w:val="00087CAA"/>
    <w:rsid w:val="00090E75"/>
    <w:rsid w:val="00092EB1"/>
    <w:rsid w:val="000A3BFC"/>
    <w:rsid w:val="000B448A"/>
    <w:rsid w:val="000B6263"/>
    <w:rsid w:val="000C1353"/>
    <w:rsid w:val="000C3965"/>
    <w:rsid w:val="000C5811"/>
    <w:rsid w:val="000D1ECA"/>
    <w:rsid w:val="000E305A"/>
    <w:rsid w:val="000E5EC5"/>
    <w:rsid w:val="001031D6"/>
    <w:rsid w:val="00112099"/>
    <w:rsid w:val="0011470A"/>
    <w:rsid w:val="00114732"/>
    <w:rsid w:val="00115C1C"/>
    <w:rsid w:val="00116D86"/>
    <w:rsid w:val="001174FA"/>
    <w:rsid w:val="00132516"/>
    <w:rsid w:val="00137312"/>
    <w:rsid w:val="00141378"/>
    <w:rsid w:val="00142601"/>
    <w:rsid w:val="00142C7B"/>
    <w:rsid w:val="001578EB"/>
    <w:rsid w:val="00165FAD"/>
    <w:rsid w:val="00166F59"/>
    <w:rsid w:val="00170893"/>
    <w:rsid w:val="001739F0"/>
    <w:rsid w:val="001813D5"/>
    <w:rsid w:val="00185B13"/>
    <w:rsid w:val="0019133E"/>
    <w:rsid w:val="001977BB"/>
    <w:rsid w:val="001A1176"/>
    <w:rsid w:val="001B37D4"/>
    <w:rsid w:val="001B454D"/>
    <w:rsid w:val="001B753D"/>
    <w:rsid w:val="001C2FEA"/>
    <w:rsid w:val="001D0706"/>
    <w:rsid w:val="001D0735"/>
    <w:rsid w:val="001D14FD"/>
    <w:rsid w:val="001D476E"/>
    <w:rsid w:val="001D7B0D"/>
    <w:rsid w:val="001E28BE"/>
    <w:rsid w:val="001E2F1F"/>
    <w:rsid w:val="001F041D"/>
    <w:rsid w:val="001F0F29"/>
    <w:rsid w:val="001F2E03"/>
    <w:rsid w:val="001F6D5A"/>
    <w:rsid w:val="0020371B"/>
    <w:rsid w:val="00212836"/>
    <w:rsid w:val="00230E9D"/>
    <w:rsid w:val="00251711"/>
    <w:rsid w:val="00252003"/>
    <w:rsid w:val="00252F2E"/>
    <w:rsid w:val="00253277"/>
    <w:rsid w:val="00253AD7"/>
    <w:rsid w:val="00260874"/>
    <w:rsid w:val="00266935"/>
    <w:rsid w:val="00274146"/>
    <w:rsid w:val="002851B8"/>
    <w:rsid w:val="002864C0"/>
    <w:rsid w:val="00290B6E"/>
    <w:rsid w:val="00292A4D"/>
    <w:rsid w:val="002A3786"/>
    <w:rsid w:val="002C4737"/>
    <w:rsid w:val="002D08F1"/>
    <w:rsid w:val="002D3D40"/>
    <w:rsid w:val="002F0180"/>
    <w:rsid w:val="002F2862"/>
    <w:rsid w:val="002F3324"/>
    <w:rsid w:val="002F34D1"/>
    <w:rsid w:val="002F3985"/>
    <w:rsid w:val="003052F0"/>
    <w:rsid w:val="00305318"/>
    <w:rsid w:val="003119D0"/>
    <w:rsid w:val="00311AA6"/>
    <w:rsid w:val="003167D6"/>
    <w:rsid w:val="00322AA5"/>
    <w:rsid w:val="00324646"/>
    <w:rsid w:val="00324B83"/>
    <w:rsid w:val="00324E3B"/>
    <w:rsid w:val="00332F0E"/>
    <w:rsid w:val="00334844"/>
    <w:rsid w:val="0033596A"/>
    <w:rsid w:val="00340090"/>
    <w:rsid w:val="003409F0"/>
    <w:rsid w:val="0034617D"/>
    <w:rsid w:val="0034697E"/>
    <w:rsid w:val="00353961"/>
    <w:rsid w:val="00353F33"/>
    <w:rsid w:val="003569B5"/>
    <w:rsid w:val="003800E2"/>
    <w:rsid w:val="003863AE"/>
    <w:rsid w:val="00390176"/>
    <w:rsid w:val="0039578E"/>
    <w:rsid w:val="00397C19"/>
    <w:rsid w:val="003A4875"/>
    <w:rsid w:val="003A6A5E"/>
    <w:rsid w:val="003B41A7"/>
    <w:rsid w:val="003B527B"/>
    <w:rsid w:val="003C1137"/>
    <w:rsid w:val="003D2742"/>
    <w:rsid w:val="003D3EFB"/>
    <w:rsid w:val="003F002B"/>
    <w:rsid w:val="003F66AB"/>
    <w:rsid w:val="003F711B"/>
    <w:rsid w:val="004069D4"/>
    <w:rsid w:val="00410E96"/>
    <w:rsid w:val="00411BC3"/>
    <w:rsid w:val="00416210"/>
    <w:rsid w:val="00426E74"/>
    <w:rsid w:val="004360F4"/>
    <w:rsid w:val="00437A2C"/>
    <w:rsid w:val="00447341"/>
    <w:rsid w:val="004501FB"/>
    <w:rsid w:val="00451A6D"/>
    <w:rsid w:val="00472FB7"/>
    <w:rsid w:val="004812B0"/>
    <w:rsid w:val="00490729"/>
    <w:rsid w:val="004B2276"/>
    <w:rsid w:val="004B6C89"/>
    <w:rsid w:val="004C39B6"/>
    <w:rsid w:val="004E7DCB"/>
    <w:rsid w:val="004F0DC3"/>
    <w:rsid w:val="004F6810"/>
    <w:rsid w:val="005015EF"/>
    <w:rsid w:val="00505B53"/>
    <w:rsid w:val="005065ED"/>
    <w:rsid w:val="00520669"/>
    <w:rsid w:val="005208EB"/>
    <w:rsid w:val="00522875"/>
    <w:rsid w:val="00522DFD"/>
    <w:rsid w:val="00523B98"/>
    <w:rsid w:val="005450C3"/>
    <w:rsid w:val="00545A58"/>
    <w:rsid w:val="00555BA9"/>
    <w:rsid w:val="00563CD6"/>
    <w:rsid w:val="00577B33"/>
    <w:rsid w:val="00580368"/>
    <w:rsid w:val="00583587"/>
    <w:rsid w:val="005911EF"/>
    <w:rsid w:val="005A504C"/>
    <w:rsid w:val="005A5D10"/>
    <w:rsid w:val="005B02D6"/>
    <w:rsid w:val="005B4867"/>
    <w:rsid w:val="005B64A6"/>
    <w:rsid w:val="005C2822"/>
    <w:rsid w:val="005C3D2F"/>
    <w:rsid w:val="005C4BAA"/>
    <w:rsid w:val="005D08A8"/>
    <w:rsid w:val="005D6D7B"/>
    <w:rsid w:val="005D7D26"/>
    <w:rsid w:val="005E2B4E"/>
    <w:rsid w:val="005E3021"/>
    <w:rsid w:val="005E58FD"/>
    <w:rsid w:val="005F3A12"/>
    <w:rsid w:val="005F5A0F"/>
    <w:rsid w:val="00600DC3"/>
    <w:rsid w:val="00602C26"/>
    <w:rsid w:val="00604070"/>
    <w:rsid w:val="00605B0F"/>
    <w:rsid w:val="006064D8"/>
    <w:rsid w:val="006151C2"/>
    <w:rsid w:val="0061730C"/>
    <w:rsid w:val="00622381"/>
    <w:rsid w:val="00622DC1"/>
    <w:rsid w:val="00640B4A"/>
    <w:rsid w:val="006412B4"/>
    <w:rsid w:val="00644A03"/>
    <w:rsid w:val="00646627"/>
    <w:rsid w:val="006476EA"/>
    <w:rsid w:val="00650190"/>
    <w:rsid w:val="0065081C"/>
    <w:rsid w:val="006724A6"/>
    <w:rsid w:val="00675B99"/>
    <w:rsid w:val="00680916"/>
    <w:rsid w:val="00683905"/>
    <w:rsid w:val="0068513A"/>
    <w:rsid w:val="006854A0"/>
    <w:rsid w:val="0069033B"/>
    <w:rsid w:val="00691832"/>
    <w:rsid w:val="006936DC"/>
    <w:rsid w:val="00696101"/>
    <w:rsid w:val="0069612A"/>
    <w:rsid w:val="006961C8"/>
    <w:rsid w:val="006A5A48"/>
    <w:rsid w:val="006B1D21"/>
    <w:rsid w:val="006B3329"/>
    <w:rsid w:val="006C3D62"/>
    <w:rsid w:val="006C5F9C"/>
    <w:rsid w:val="006C698C"/>
    <w:rsid w:val="006D0245"/>
    <w:rsid w:val="006D39F5"/>
    <w:rsid w:val="006D4F37"/>
    <w:rsid w:val="006E4900"/>
    <w:rsid w:val="006F28F7"/>
    <w:rsid w:val="007022A0"/>
    <w:rsid w:val="00703CFA"/>
    <w:rsid w:val="0070547A"/>
    <w:rsid w:val="007054C7"/>
    <w:rsid w:val="007107BB"/>
    <w:rsid w:val="00711F6E"/>
    <w:rsid w:val="007149AA"/>
    <w:rsid w:val="007168FC"/>
    <w:rsid w:val="007423A3"/>
    <w:rsid w:val="007429B3"/>
    <w:rsid w:val="00754C42"/>
    <w:rsid w:val="00760BA1"/>
    <w:rsid w:val="00763F56"/>
    <w:rsid w:val="0076567A"/>
    <w:rsid w:val="00766CB7"/>
    <w:rsid w:val="007672DF"/>
    <w:rsid w:val="007806E2"/>
    <w:rsid w:val="00784760"/>
    <w:rsid w:val="00787774"/>
    <w:rsid w:val="00797B44"/>
    <w:rsid w:val="007A7825"/>
    <w:rsid w:val="007B01B9"/>
    <w:rsid w:val="007B4413"/>
    <w:rsid w:val="007B5ACD"/>
    <w:rsid w:val="007C0B7A"/>
    <w:rsid w:val="007D134E"/>
    <w:rsid w:val="007D2B37"/>
    <w:rsid w:val="007D3332"/>
    <w:rsid w:val="007D7B5D"/>
    <w:rsid w:val="008006A7"/>
    <w:rsid w:val="00800F3A"/>
    <w:rsid w:val="008164EE"/>
    <w:rsid w:val="00816ACE"/>
    <w:rsid w:val="008223A0"/>
    <w:rsid w:val="00822B77"/>
    <w:rsid w:val="00824F9C"/>
    <w:rsid w:val="00826330"/>
    <w:rsid w:val="00832058"/>
    <w:rsid w:val="00836DC0"/>
    <w:rsid w:val="0084661E"/>
    <w:rsid w:val="0084688F"/>
    <w:rsid w:val="0085361B"/>
    <w:rsid w:val="00855E30"/>
    <w:rsid w:val="00857D39"/>
    <w:rsid w:val="00864344"/>
    <w:rsid w:val="00871C6C"/>
    <w:rsid w:val="008721CC"/>
    <w:rsid w:val="008732A2"/>
    <w:rsid w:val="0089465A"/>
    <w:rsid w:val="00894A8D"/>
    <w:rsid w:val="008977FB"/>
    <w:rsid w:val="008A590A"/>
    <w:rsid w:val="008B5AE3"/>
    <w:rsid w:val="008B76F1"/>
    <w:rsid w:val="008C1D0D"/>
    <w:rsid w:val="008C2A6F"/>
    <w:rsid w:val="008D25F8"/>
    <w:rsid w:val="008D3F97"/>
    <w:rsid w:val="008E69F8"/>
    <w:rsid w:val="008F5BCB"/>
    <w:rsid w:val="008F6D69"/>
    <w:rsid w:val="0090350C"/>
    <w:rsid w:val="009066CB"/>
    <w:rsid w:val="0091131C"/>
    <w:rsid w:val="00914805"/>
    <w:rsid w:val="0092157B"/>
    <w:rsid w:val="00924F5C"/>
    <w:rsid w:val="009379CA"/>
    <w:rsid w:val="0094138D"/>
    <w:rsid w:val="00944BF3"/>
    <w:rsid w:val="00946BB6"/>
    <w:rsid w:val="0095192C"/>
    <w:rsid w:val="009705B6"/>
    <w:rsid w:val="00972070"/>
    <w:rsid w:val="009841FD"/>
    <w:rsid w:val="00991110"/>
    <w:rsid w:val="00991A4E"/>
    <w:rsid w:val="009A62B3"/>
    <w:rsid w:val="009B18ED"/>
    <w:rsid w:val="009C38D1"/>
    <w:rsid w:val="009C4236"/>
    <w:rsid w:val="009C67F1"/>
    <w:rsid w:val="009C7B39"/>
    <w:rsid w:val="009D03F7"/>
    <w:rsid w:val="009D255B"/>
    <w:rsid w:val="009D333A"/>
    <w:rsid w:val="009D7240"/>
    <w:rsid w:val="009F3E01"/>
    <w:rsid w:val="009F6A59"/>
    <w:rsid w:val="009F705A"/>
    <w:rsid w:val="00A00B7D"/>
    <w:rsid w:val="00A07F22"/>
    <w:rsid w:val="00A1124A"/>
    <w:rsid w:val="00A113C1"/>
    <w:rsid w:val="00A230AA"/>
    <w:rsid w:val="00A31464"/>
    <w:rsid w:val="00A4101A"/>
    <w:rsid w:val="00A4521C"/>
    <w:rsid w:val="00A6106A"/>
    <w:rsid w:val="00A619AD"/>
    <w:rsid w:val="00A6209C"/>
    <w:rsid w:val="00A656F6"/>
    <w:rsid w:val="00A75E7B"/>
    <w:rsid w:val="00A81A79"/>
    <w:rsid w:val="00A84370"/>
    <w:rsid w:val="00AA02AB"/>
    <w:rsid w:val="00AA1AD0"/>
    <w:rsid w:val="00AA43E7"/>
    <w:rsid w:val="00AA4AED"/>
    <w:rsid w:val="00AB655B"/>
    <w:rsid w:val="00AB7B2E"/>
    <w:rsid w:val="00AC1604"/>
    <w:rsid w:val="00AC2F86"/>
    <w:rsid w:val="00AC3660"/>
    <w:rsid w:val="00AE1E94"/>
    <w:rsid w:val="00AF034A"/>
    <w:rsid w:val="00AF458F"/>
    <w:rsid w:val="00AF6162"/>
    <w:rsid w:val="00B05A47"/>
    <w:rsid w:val="00B12AFE"/>
    <w:rsid w:val="00B17B18"/>
    <w:rsid w:val="00B25ECC"/>
    <w:rsid w:val="00B260A3"/>
    <w:rsid w:val="00B27148"/>
    <w:rsid w:val="00B34375"/>
    <w:rsid w:val="00B421ED"/>
    <w:rsid w:val="00B43675"/>
    <w:rsid w:val="00B46D1C"/>
    <w:rsid w:val="00B508AB"/>
    <w:rsid w:val="00B54871"/>
    <w:rsid w:val="00B61DAE"/>
    <w:rsid w:val="00B70DA3"/>
    <w:rsid w:val="00B96C7D"/>
    <w:rsid w:val="00BA3113"/>
    <w:rsid w:val="00BA4E25"/>
    <w:rsid w:val="00BB3BE3"/>
    <w:rsid w:val="00BB73D6"/>
    <w:rsid w:val="00BC008B"/>
    <w:rsid w:val="00BC1FB1"/>
    <w:rsid w:val="00BC2D56"/>
    <w:rsid w:val="00BD0F44"/>
    <w:rsid w:val="00BD21F8"/>
    <w:rsid w:val="00BE4D7B"/>
    <w:rsid w:val="00BE54AB"/>
    <w:rsid w:val="00BF1276"/>
    <w:rsid w:val="00BF6697"/>
    <w:rsid w:val="00C0070D"/>
    <w:rsid w:val="00C009F2"/>
    <w:rsid w:val="00C0380A"/>
    <w:rsid w:val="00C06902"/>
    <w:rsid w:val="00C14250"/>
    <w:rsid w:val="00C17086"/>
    <w:rsid w:val="00C2035D"/>
    <w:rsid w:val="00C204FC"/>
    <w:rsid w:val="00C22934"/>
    <w:rsid w:val="00C23E22"/>
    <w:rsid w:val="00C24FD8"/>
    <w:rsid w:val="00C34B5D"/>
    <w:rsid w:val="00C43890"/>
    <w:rsid w:val="00C448EB"/>
    <w:rsid w:val="00C472C2"/>
    <w:rsid w:val="00C50C88"/>
    <w:rsid w:val="00C52CCB"/>
    <w:rsid w:val="00C57456"/>
    <w:rsid w:val="00C65CE4"/>
    <w:rsid w:val="00C7108C"/>
    <w:rsid w:val="00C7500D"/>
    <w:rsid w:val="00C7689C"/>
    <w:rsid w:val="00C774FB"/>
    <w:rsid w:val="00C82F29"/>
    <w:rsid w:val="00C83AF8"/>
    <w:rsid w:val="00C85671"/>
    <w:rsid w:val="00C86AB7"/>
    <w:rsid w:val="00C90795"/>
    <w:rsid w:val="00C93EAF"/>
    <w:rsid w:val="00C954F8"/>
    <w:rsid w:val="00C95DF4"/>
    <w:rsid w:val="00CB09F2"/>
    <w:rsid w:val="00CB2A61"/>
    <w:rsid w:val="00CB5C5F"/>
    <w:rsid w:val="00CC3B50"/>
    <w:rsid w:val="00CC5995"/>
    <w:rsid w:val="00CC5ADD"/>
    <w:rsid w:val="00CC6FD4"/>
    <w:rsid w:val="00CD4935"/>
    <w:rsid w:val="00CE6842"/>
    <w:rsid w:val="00CF31D3"/>
    <w:rsid w:val="00D12A01"/>
    <w:rsid w:val="00D154DC"/>
    <w:rsid w:val="00D20668"/>
    <w:rsid w:val="00D22EEF"/>
    <w:rsid w:val="00D4337E"/>
    <w:rsid w:val="00D47250"/>
    <w:rsid w:val="00D4735F"/>
    <w:rsid w:val="00D504FC"/>
    <w:rsid w:val="00D54449"/>
    <w:rsid w:val="00D82F16"/>
    <w:rsid w:val="00D93E7F"/>
    <w:rsid w:val="00DA3FFE"/>
    <w:rsid w:val="00DA5117"/>
    <w:rsid w:val="00DB4981"/>
    <w:rsid w:val="00DB4B76"/>
    <w:rsid w:val="00DB4FF7"/>
    <w:rsid w:val="00DB5C55"/>
    <w:rsid w:val="00DB6368"/>
    <w:rsid w:val="00DB7DD6"/>
    <w:rsid w:val="00DC2353"/>
    <w:rsid w:val="00DD364D"/>
    <w:rsid w:val="00DD55B7"/>
    <w:rsid w:val="00DE1210"/>
    <w:rsid w:val="00DE4339"/>
    <w:rsid w:val="00DE71BA"/>
    <w:rsid w:val="00DE7C12"/>
    <w:rsid w:val="00DF1457"/>
    <w:rsid w:val="00DF26D1"/>
    <w:rsid w:val="00E0059E"/>
    <w:rsid w:val="00E17A44"/>
    <w:rsid w:val="00E17C2C"/>
    <w:rsid w:val="00E17FFC"/>
    <w:rsid w:val="00E27002"/>
    <w:rsid w:val="00E27F2A"/>
    <w:rsid w:val="00E313CB"/>
    <w:rsid w:val="00E328E6"/>
    <w:rsid w:val="00E347E6"/>
    <w:rsid w:val="00E36AE3"/>
    <w:rsid w:val="00E4103F"/>
    <w:rsid w:val="00E51437"/>
    <w:rsid w:val="00E571D9"/>
    <w:rsid w:val="00E574F6"/>
    <w:rsid w:val="00E6482B"/>
    <w:rsid w:val="00E670BC"/>
    <w:rsid w:val="00E7060B"/>
    <w:rsid w:val="00E70C34"/>
    <w:rsid w:val="00E7423A"/>
    <w:rsid w:val="00E75187"/>
    <w:rsid w:val="00E7523E"/>
    <w:rsid w:val="00E7702A"/>
    <w:rsid w:val="00E81323"/>
    <w:rsid w:val="00E87432"/>
    <w:rsid w:val="00E91568"/>
    <w:rsid w:val="00EA655F"/>
    <w:rsid w:val="00EB2EBB"/>
    <w:rsid w:val="00EC6DC6"/>
    <w:rsid w:val="00ED3321"/>
    <w:rsid w:val="00ED4BA4"/>
    <w:rsid w:val="00ED7592"/>
    <w:rsid w:val="00EF0DBA"/>
    <w:rsid w:val="00EF16B7"/>
    <w:rsid w:val="00EF461C"/>
    <w:rsid w:val="00EF6AD0"/>
    <w:rsid w:val="00F023F0"/>
    <w:rsid w:val="00F0266F"/>
    <w:rsid w:val="00F03306"/>
    <w:rsid w:val="00F05D83"/>
    <w:rsid w:val="00F06E02"/>
    <w:rsid w:val="00F114AF"/>
    <w:rsid w:val="00F12037"/>
    <w:rsid w:val="00F13313"/>
    <w:rsid w:val="00F36874"/>
    <w:rsid w:val="00F37BD1"/>
    <w:rsid w:val="00F40CDC"/>
    <w:rsid w:val="00F55647"/>
    <w:rsid w:val="00F90EC1"/>
    <w:rsid w:val="00F928A3"/>
    <w:rsid w:val="00F961D2"/>
    <w:rsid w:val="00FA62B0"/>
    <w:rsid w:val="00FB7963"/>
    <w:rsid w:val="00FC1739"/>
    <w:rsid w:val="00FC739E"/>
    <w:rsid w:val="00FD151C"/>
    <w:rsid w:val="00FD1527"/>
    <w:rsid w:val="00FD2234"/>
    <w:rsid w:val="00FD3B8F"/>
    <w:rsid w:val="00FE2E24"/>
    <w:rsid w:val="00FE4B57"/>
    <w:rsid w:val="00FE75AE"/>
    <w:rsid w:val="00FF00E8"/>
    <w:rsid w:val="00FF3A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6"/>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9"/>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uiPriority w:val="99"/>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0"/>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2">
    <w:name w:val="Mención sin resolver2"/>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5"/>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5"/>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xl72">
    <w:name w:val="xl72"/>
    <w:basedOn w:val="Normal"/>
    <w:rsid w:val="00C5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16"/>
      <w:szCs w:val="16"/>
      <w:lang w:val="es-ES"/>
    </w:rPr>
  </w:style>
  <w:style w:type="paragraph" w:customStyle="1" w:styleId="xl73">
    <w:name w:val="xl73"/>
    <w:basedOn w:val="Normal"/>
    <w:rsid w:val="00C50C88"/>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4">
    <w:name w:val="xl74"/>
    <w:basedOn w:val="Normal"/>
    <w:rsid w:val="00C50C88"/>
    <w:pPr>
      <w:pBdr>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5">
    <w:name w:val="xl75"/>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6">
    <w:name w:val="xl76"/>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7">
    <w:name w:val="xl77"/>
    <w:basedOn w:val="Normal"/>
    <w:rsid w:val="00C5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lang w:val="es-ES"/>
    </w:rPr>
  </w:style>
  <w:style w:type="paragraph" w:customStyle="1" w:styleId="Ttol41">
    <w:name w:val="Títol 41"/>
    <w:basedOn w:val="Normal"/>
    <w:next w:val="Normal"/>
    <w:uiPriority w:val="1"/>
    <w:semiHidden/>
    <w:unhideWhenUsed/>
    <w:qFormat/>
    <w:rsid w:val="009A62B3"/>
    <w:pPr>
      <w:keepNext/>
      <w:keepLines/>
      <w:spacing w:before="80" w:after="40"/>
      <w:outlineLvl w:val="3"/>
    </w:pPr>
    <w:rPr>
      <w:i/>
      <w:iCs/>
      <w:color w:val="0F4761"/>
      <w:kern w:val="2"/>
    </w:rPr>
  </w:style>
  <w:style w:type="paragraph" w:customStyle="1" w:styleId="Ttol51">
    <w:name w:val="Títol 51"/>
    <w:basedOn w:val="Normal"/>
    <w:next w:val="Normal"/>
    <w:uiPriority w:val="9"/>
    <w:semiHidden/>
    <w:unhideWhenUsed/>
    <w:qFormat/>
    <w:rsid w:val="009A62B3"/>
    <w:pPr>
      <w:keepNext/>
      <w:keepLines/>
      <w:spacing w:before="80" w:after="40"/>
      <w:outlineLvl w:val="4"/>
    </w:pPr>
    <w:rPr>
      <w:color w:val="0F4761"/>
      <w:kern w:val="2"/>
    </w:rPr>
  </w:style>
  <w:style w:type="paragraph" w:customStyle="1" w:styleId="Ttol61">
    <w:name w:val="Títol 61"/>
    <w:basedOn w:val="Normal"/>
    <w:next w:val="Normal"/>
    <w:uiPriority w:val="9"/>
    <w:semiHidden/>
    <w:unhideWhenUsed/>
    <w:qFormat/>
    <w:rsid w:val="009A62B3"/>
    <w:pPr>
      <w:keepNext/>
      <w:keepLines/>
      <w:spacing w:before="40"/>
      <w:outlineLvl w:val="5"/>
    </w:pPr>
    <w:rPr>
      <w:i/>
      <w:iCs/>
      <w:color w:val="595959"/>
      <w:kern w:val="2"/>
    </w:rPr>
  </w:style>
  <w:style w:type="paragraph" w:customStyle="1" w:styleId="Ttol71">
    <w:name w:val="Títol 71"/>
    <w:basedOn w:val="Normal"/>
    <w:next w:val="Normal"/>
    <w:uiPriority w:val="9"/>
    <w:semiHidden/>
    <w:unhideWhenUsed/>
    <w:qFormat/>
    <w:rsid w:val="009A62B3"/>
    <w:pPr>
      <w:keepNext/>
      <w:keepLines/>
      <w:spacing w:before="40"/>
      <w:outlineLvl w:val="6"/>
    </w:pPr>
    <w:rPr>
      <w:color w:val="595959"/>
      <w:kern w:val="2"/>
    </w:rPr>
  </w:style>
  <w:style w:type="paragraph" w:customStyle="1" w:styleId="Ttol81">
    <w:name w:val="Títol 81"/>
    <w:basedOn w:val="Normal"/>
    <w:next w:val="Normal"/>
    <w:uiPriority w:val="9"/>
    <w:semiHidden/>
    <w:unhideWhenUsed/>
    <w:qFormat/>
    <w:rsid w:val="009A62B3"/>
    <w:pPr>
      <w:keepNext/>
      <w:keepLines/>
      <w:outlineLvl w:val="7"/>
    </w:pPr>
    <w:rPr>
      <w:i/>
      <w:iCs/>
      <w:color w:val="272727"/>
      <w:kern w:val="2"/>
    </w:rPr>
  </w:style>
  <w:style w:type="paragraph" w:customStyle="1" w:styleId="Ttol91">
    <w:name w:val="Títol 91"/>
    <w:basedOn w:val="Normal"/>
    <w:next w:val="Normal"/>
    <w:uiPriority w:val="9"/>
    <w:semiHidden/>
    <w:unhideWhenUsed/>
    <w:qFormat/>
    <w:rsid w:val="009A62B3"/>
    <w:pPr>
      <w:keepNext/>
      <w:keepLines/>
      <w:outlineLvl w:val="8"/>
    </w:pPr>
    <w:rPr>
      <w:color w:val="272727"/>
      <w:kern w:val="2"/>
    </w:rPr>
  </w:style>
  <w:style w:type="paragraph" w:customStyle="1" w:styleId="Subttol1">
    <w:name w:val="Subtítol1"/>
    <w:basedOn w:val="Normal"/>
    <w:next w:val="Normal"/>
    <w:qFormat/>
    <w:rsid w:val="009A62B3"/>
    <w:pPr>
      <w:numPr>
        <w:ilvl w:val="1"/>
      </w:numPr>
    </w:pPr>
    <w:rPr>
      <w:color w:val="595959"/>
      <w:spacing w:val="15"/>
      <w:kern w:val="2"/>
      <w:sz w:val="28"/>
      <w:szCs w:val="28"/>
    </w:rPr>
  </w:style>
  <w:style w:type="paragraph" w:customStyle="1" w:styleId="Cita1">
    <w:name w:val="Cita1"/>
    <w:basedOn w:val="Normal"/>
    <w:next w:val="Normal"/>
    <w:uiPriority w:val="29"/>
    <w:qFormat/>
    <w:rsid w:val="009A62B3"/>
    <w:pPr>
      <w:spacing w:before="160"/>
      <w:jc w:val="center"/>
    </w:pPr>
    <w:rPr>
      <w:i/>
      <w:iCs/>
      <w:color w:val="404040"/>
      <w:kern w:val="2"/>
    </w:rPr>
  </w:style>
  <w:style w:type="character" w:customStyle="1" w:styleId="mfasiintens1">
    <w:name w:val="Èmfasi intens1"/>
    <w:basedOn w:val="Lletraperdefectedelpargraf"/>
    <w:uiPriority w:val="21"/>
    <w:qFormat/>
    <w:rsid w:val="009A62B3"/>
    <w:rPr>
      <w:i/>
      <w:iCs/>
      <w:color w:val="0F4761"/>
    </w:rPr>
  </w:style>
  <w:style w:type="paragraph" w:customStyle="1" w:styleId="Citaintensa1">
    <w:name w:val="Cita intensa1"/>
    <w:basedOn w:val="Normal"/>
    <w:next w:val="Normal"/>
    <w:uiPriority w:val="30"/>
    <w:qFormat/>
    <w:rsid w:val="009A62B3"/>
    <w:pPr>
      <w:pBdr>
        <w:top w:val="single" w:sz="4" w:space="10" w:color="0F4761"/>
        <w:bottom w:val="single" w:sz="4" w:space="10" w:color="0F4761"/>
      </w:pBdr>
      <w:spacing w:before="360" w:after="360"/>
      <w:ind w:left="864" w:right="864"/>
      <w:jc w:val="center"/>
    </w:pPr>
    <w:rPr>
      <w:i/>
      <w:iCs/>
      <w:color w:val="0F4761"/>
      <w:kern w:val="2"/>
    </w:rPr>
  </w:style>
  <w:style w:type="character" w:customStyle="1" w:styleId="Refernciaintensa1">
    <w:name w:val="Referència intensa1"/>
    <w:basedOn w:val="Lletraperdefectedelpargraf"/>
    <w:uiPriority w:val="32"/>
    <w:qFormat/>
    <w:rsid w:val="009A62B3"/>
    <w:rPr>
      <w:b/>
      <w:bCs/>
      <w:smallCaps/>
      <w:color w:val="0F4761"/>
      <w:spacing w:val="5"/>
    </w:rPr>
  </w:style>
  <w:style w:type="numbering" w:customStyle="1" w:styleId="EstiloEstiloConvietas8ptEsquemanumerado111">
    <w:name w:val="Estilo Estilo Con viñetas 8 pt + Esquema numerado111"/>
    <w:basedOn w:val="Sensellista"/>
    <w:rsid w:val="009A62B3"/>
  </w:style>
  <w:style w:type="numbering" w:customStyle="1" w:styleId="Sensellista21">
    <w:name w:val="Sense llista21"/>
    <w:next w:val="Sensellista"/>
    <w:semiHidden/>
    <w:rsid w:val="009A62B3"/>
  </w:style>
  <w:style w:type="table" w:customStyle="1" w:styleId="Taulaambquadrcula11">
    <w:name w:val="Taula amb quadrícula11"/>
    <w:basedOn w:val="Taulanormal"/>
    <w:next w:val="Taulaambquadrcula"/>
    <w:uiPriority w:val="59"/>
    <w:rsid w:val="009A62B3"/>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rsid w:val="009A62B3"/>
    <w:pPr>
      <w:numPr>
        <w:numId w:val="10"/>
      </w:numPr>
    </w:pPr>
  </w:style>
  <w:style w:type="numbering" w:customStyle="1" w:styleId="Sensellista111">
    <w:name w:val="Sense llista111"/>
    <w:next w:val="Sensellista"/>
    <w:uiPriority w:val="99"/>
    <w:semiHidden/>
    <w:unhideWhenUsed/>
    <w:rsid w:val="009A62B3"/>
  </w:style>
  <w:style w:type="character" w:customStyle="1" w:styleId="Ttol4Car1">
    <w:name w:val="Títol 4 Car1"/>
    <w:basedOn w:val="Lletraperdefectedelpargraf"/>
    <w:semiHidden/>
    <w:rsid w:val="009A62B3"/>
    <w:rPr>
      <w:rFonts w:asciiTheme="majorHAnsi" w:eastAsiaTheme="majorEastAsia" w:hAnsiTheme="majorHAnsi" w:cstheme="majorBidi"/>
      <w:i/>
      <w:iCs/>
      <w:color w:val="0F4761" w:themeColor="accent1" w:themeShade="BF"/>
      <w:kern w:val="2"/>
      <w:sz w:val="22"/>
      <w:szCs w:val="22"/>
      <w:lang w:eastAsia="en-US"/>
      <w14:ligatures w14:val="standardContextual"/>
    </w:rPr>
  </w:style>
  <w:style w:type="character" w:customStyle="1" w:styleId="Ttol5Car1">
    <w:name w:val="Títol 5 Car1"/>
    <w:basedOn w:val="Lletraperdefectedelpargraf"/>
    <w:semiHidden/>
    <w:rsid w:val="009A62B3"/>
    <w:rPr>
      <w:rFonts w:asciiTheme="majorHAnsi" w:eastAsiaTheme="majorEastAsia" w:hAnsiTheme="majorHAnsi" w:cstheme="majorBidi"/>
      <w:color w:val="0F4761" w:themeColor="accent1" w:themeShade="BF"/>
      <w:kern w:val="2"/>
      <w:sz w:val="22"/>
      <w:szCs w:val="22"/>
      <w:lang w:eastAsia="en-US"/>
      <w14:ligatures w14:val="standardContextual"/>
    </w:rPr>
  </w:style>
  <w:style w:type="character" w:customStyle="1" w:styleId="Ttol6Car1">
    <w:name w:val="Títol 6 Car1"/>
    <w:basedOn w:val="Lletraperdefectedelpargraf"/>
    <w:semiHidden/>
    <w:rsid w:val="009A62B3"/>
    <w:rPr>
      <w:rFonts w:asciiTheme="majorHAnsi" w:eastAsiaTheme="majorEastAsia" w:hAnsiTheme="majorHAnsi" w:cstheme="majorBidi"/>
      <w:color w:val="0A2F40" w:themeColor="accent1" w:themeShade="7F"/>
      <w:kern w:val="2"/>
      <w:sz w:val="22"/>
      <w:szCs w:val="22"/>
      <w:lang w:eastAsia="en-US"/>
      <w14:ligatures w14:val="standardContextual"/>
    </w:rPr>
  </w:style>
  <w:style w:type="character" w:customStyle="1" w:styleId="Ttol7Car1">
    <w:name w:val="Títol 7 Car1"/>
    <w:basedOn w:val="Lletraperdefectedelpargraf"/>
    <w:semiHidden/>
    <w:rsid w:val="009A62B3"/>
    <w:rPr>
      <w:rFonts w:asciiTheme="majorHAnsi" w:eastAsiaTheme="majorEastAsia" w:hAnsiTheme="majorHAnsi" w:cstheme="majorBidi"/>
      <w:i/>
      <w:iCs/>
      <w:color w:val="0A2F40" w:themeColor="accent1" w:themeShade="7F"/>
      <w:kern w:val="2"/>
      <w:sz w:val="22"/>
      <w:szCs w:val="22"/>
      <w:lang w:eastAsia="en-US"/>
      <w14:ligatures w14:val="standardContextual"/>
    </w:rPr>
  </w:style>
  <w:style w:type="character" w:customStyle="1" w:styleId="Ttol8Car1">
    <w:name w:val="Títol 8 Car1"/>
    <w:basedOn w:val="Lletraperdefectedelpargraf"/>
    <w:semiHidden/>
    <w:rsid w:val="009A62B3"/>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Ttol9Car1">
    <w:name w:val="Títol 9 Car1"/>
    <w:basedOn w:val="Lletraperdefectedelpargraf"/>
    <w:semiHidden/>
    <w:rsid w:val="009A62B3"/>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customStyle="1" w:styleId="SubttolCar1">
    <w:name w:val="Subtítol Car1"/>
    <w:basedOn w:val="Lletraperdefectedelpargraf"/>
    <w:rsid w:val="009A62B3"/>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CitaCar1">
    <w:name w:val="Cita Car1"/>
    <w:basedOn w:val="Lletraperdefectedelpargraf"/>
    <w:uiPriority w:val="29"/>
    <w:rsid w:val="009A62B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intensaCar1">
    <w:name w:val="Cita intensa Car1"/>
    <w:basedOn w:val="Lletraperdefectedelpargraf"/>
    <w:uiPriority w:val="30"/>
    <w:rsid w:val="009A62B3"/>
    <w:rPr>
      <w:rFonts w:asciiTheme="minorHAnsi" w:eastAsiaTheme="minorHAnsi" w:hAnsiTheme="minorHAnsi" w:cstheme="minorBidi"/>
      <w:i/>
      <w:iCs/>
      <w:color w:val="156082" w:themeColor="accent1"/>
      <w:kern w:val="2"/>
      <w:sz w:val="22"/>
      <w:szCs w:val="22"/>
      <w:lang w:eastAsia="en-US"/>
      <w14:ligatures w14:val="standardContextual"/>
    </w:rPr>
  </w:style>
  <w:style w:type="paragraph" w:customStyle="1" w:styleId="xl78">
    <w:name w:val="xl78"/>
    <w:basedOn w:val="Normal"/>
    <w:rsid w:val="009A62B3"/>
    <w:pPr>
      <w:spacing w:before="100" w:beforeAutospacing="1" w:after="100" w:afterAutospacing="1"/>
      <w:jc w:val="left"/>
    </w:pPr>
    <w:rPr>
      <w:rFonts w:ascii="Times New Roman" w:hAnsi="Times New Roman"/>
      <w:kern w:val="2"/>
      <w:sz w:val="24"/>
      <w:szCs w:val="24"/>
    </w:rPr>
  </w:style>
  <w:style w:type="paragraph" w:customStyle="1" w:styleId="xl79">
    <w:name w:val="xl79"/>
    <w:basedOn w:val="Normal"/>
    <w:rsid w:val="009A62B3"/>
    <w:pPr>
      <w:shd w:val="clear" w:color="000000" w:fill="FFFFFF"/>
      <w:spacing w:before="100" w:beforeAutospacing="1" w:after="100" w:afterAutospacing="1"/>
      <w:jc w:val="left"/>
    </w:pPr>
    <w:rPr>
      <w:rFonts w:ascii="Times New Roman" w:hAnsi="Times New Roman"/>
      <w:kern w:val="2"/>
      <w:sz w:val="24"/>
      <w:szCs w:val="24"/>
    </w:rPr>
  </w:style>
  <w:style w:type="paragraph" w:customStyle="1" w:styleId="xl80">
    <w:name w:val="xl80"/>
    <w:basedOn w:val="Normal"/>
    <w:rsid w:val="009A62B3"/>
    <w:pPr>
      <w:spacing w:before="100" w:beforeAutospacing="1" w:after="100" w:afterAutospacing="1"/>
      <w:jc w:val="center"/>
    </w:pPr>
    <w:rPr>
      <w:rFonts w:ascii="Times New Roman" w:hAnsi="Times New Roman"/>
      <w:kern w:val="2"/>
      <w:sz w:val="24"/>
      <w:szCs w:val="24"/>
    </w:rPr>
  </w:style>
  <w:style w:type="paragraph" w:customStyle="1" w:styleId="xl81">
    <w:name w:val="xl81"/>
    <w:basedOn w:val="Normal"/>
    <w:rsid w:val="009A6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rFonts w:cs="Arial"/>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0961">
      <w:bodyDiv w:val="1"/>
      <w:marLeft w:val="0"/>
      <w:marRight w:val="0"/>
      <w:marTop w:val="0"/>
      <w:marBottom w:val="0"/>
      <w:divBdr>
        <w:top w:val="none" w:sz="0" w:space="0" w:color="auto"/>
        <w:left w:val="none" w:sz="0" w:space="0" w:color="auto"/>
        <w:bottom w:val="none" w:sz="0" w:space="0" w:color="auto"/>
        <w:right w:val="none" w:sz="0" w:space="0" w:color="auto"/>
      </w:divBdr>
    </w:div>
    <w:div w:id="458185873">
      <w:bodyDiv w:val="1"/>
      <w:marLeft w:val="0"/>
      <w:marRight w:val="0"/>
      <w:marTop w:val="0"/>
      <w:marBottom w:val="0"/>
      <w:divBdr>
        <w:top w:val="none" w:sz="0" w:space="0" w:color="auto"/>
        <w:left w:val="none" w:sz="0" w:space="0" w:color="auto"/>
        <w:bottom w:val="none" w:sz="0" w:space="0" w:color="auto"/>
        <w:right w:val="none" w:sz="0" w:space="0" w:color="auto"/>
      </w:divBdr>
    </w:div>
    <w:div w:id="763571317">
      <w:bodyDiv w:val="1"/>
      <w:marLeft w:val="0"/>
      <w:marRight w:val="0"/>
      <w:marTop w:val="0"/>
      <w:marBottom w:val="0"/>
      <w:divBdr>
        <w:top w:val="none" w:sz="0" w:space="0" w:color="auto"/>
        <w:left w:val="none" w:sz="0" w:space="0" w:color="auto"/>
        <w:bottom w:val="none" w:sz="0" w:space="0" w:color="auto"/>
        <w:right w:val="none" w:sz="0" w:space="0" w:color="auto"/>
      </w:divBdr>
    </w:div>
    <w:div w:id="1605310954">
      <w:bodyDiv w:val="1"/>
      <w:marLeft w:val="0"/>
      <w:marRight w:val="0"/>
      <w:marTop w:val="0"/>
      <w:marBottom w:val="0"/>
      <w:divBdr>
        <w:top w:val="none" w:sz="0" w:space="0" w:color="auto"/>
        <w:left w:val="none" w:sz="0" w:space="0" w:color="auto"/>
        <w:bottom w:val="none" w:sz="0" w:space="0" w:color="auto"/>
        <w:right w:val="none" w:sz="0" w:space="0" w:color="auto"/>
      </w:divBdr>
    </w:div>
    <w:div w:id="20970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3F5EB-9A87-440F-8A39-F4A82E7C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1942</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2025-07-10T13:23:00Z</cp:lastPrinted>
  <dcterms:created xsi:type="dcterms:W3CDTF">2025-07-17T07:42:00Z</dcterms:created>
  <dcterms:modified xsi:type="dcterms:W3CDTF">2025-07-17T07:42:00Z</dcterms:modified>
</cp:coreProperties>
</file>