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Oferta</w:t>
      </w:r>
      <w:r>
        <w:rPr>
          <w:rFonts w:ascii="Arial" w:hAnsi="Arial"/>
          <w:sz w:val="22"/>
          <w:szCs w:val="22"/>
          <w:u w:val="single"/>
        </w:rPr>
        <w:t xml:space="preserve">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 xml:space="preserve">Experiència </w:t>
      </w:r>
      <w:r>
        <w:rPr>
          <w:rFonts w:ascii="Arial" w:hAnsi="Arial"/>
          <w:sz w:val="22"/>
          <w:szCs w:val="22"/>
          <w:u w:val="single"/>
        </w:rPr>
        <w:t>i formació del personal adscrit al contracte</w:t>
      </w:r>
    </w:p>
    <w:p>
      <w:pPr>
        <w:pStyle w:val="Normal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Western"/>
        <w:spacing w:lineRule="auto" w:line="276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  <w:t>B.1.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es-ES" w:eastAsia="es-ES" w:bidi="ar-SA"/>
        </w:rPr>
        <w:t>Formació específica del personal adscrit al contracte en coordinació de seguretat i salut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>Nombre d’hores del curs: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Cuerpodetext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Cal aportar en el sobre únic la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>titulació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corresponent.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La manca d’aportació suposarà la no valoració del criteri. 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Normal"/>
        <w:spacing w:lineRule="auto" w:line="276" w:before="0" w:after="0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2.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 xml:space="preserve">xperiència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 xml:space="preserve">del personal adscrit al contracte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>en CSSe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>Nombre d’experiències acreditades: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Normal"/>
        <w:spacing w:lineRule="auto" w:line="276" w:before="0" w:after="0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3.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 xml:space="preserve">xperiència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 xml:space="preserve">del personal adscrit al contracte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 xml:space="preserve">en CSSe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 w:bidi="ar-SA"/>
        </w:rPr>
        <w:t>en obres similars de projecte d’urbanització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>Nombre d’experiències acreditades: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 </w:t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ca-ES" w:eastAsia="es-ES" w:bidi="ar-SA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 w:eastAsia="es-ES" w:bidi="ar-SA"/>
        </w:rPr>
      </w:r>
    </w:p>
    <w:p>
      <w:pPr>
        <w:pStyle w:val="Western"/>
        <w:spacing w:lineRule="auto" w:line="276" w:before="0" w:after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ca-ES" w:eastAsia="es-ES" w:bidi="ar-SA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 w:eastAsia="es-ES" w:bidi="ar-SA"/>
        </w:rPr>
      </w:r>
    </w:p>
    <w:p>
      <w:pPr>
        <w:pStyle w:val="Cuerpodetext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ab/>
        <w:t xml:space="preserve">* Cal aportar en el sobre únic la documentació acreditativa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corresponent.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La manca d’aportació </w:t>
        <w:tab/>
        <w:t xml:space="preserve">suposarà la no valoració del criteri. </w:t>
      </w:r>
    </w:p>
    <w:p>
      <w:pPr>
        <w:pStyle w:val="Cuerpodetext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ab/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Les experiències acreditades únicament es poden valorar en un sol apartat. </w:t>
      </w:r>
    </w:p>
    <w:p>
      <w:pPr>
        <w:pStyle w:val="Western"/>
        <w:spacing w:lineRule="auto" w:line="276" w:before="0" w:after="0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ab/>
      </w:r>
    </w:p>
    <w:p>
      <w:pPr>
        <w:pStyle w:val="Cuerpodetext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ab/>
      </w:r>
    </w:p>
    <w:p>
      <w:pPr>
        <w:pStyle w:val="Cuerpodetexto"/>
        <w:widowControl/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Helv" w:cs="Helv"/>
          <w:b w:val="false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shd w:fill="auto" w:val="clear"/>
          <w:lang w:val="ca-ES" w:eastAsia="es-ES"/>
        </w:rPr>
      </w:pPr>
      <w:r>
        <w:rPr>
          <w:rFonts w:ascii="Arial" w:hAnsi="Arial"/>
          <w:sz w:val="20"/>
          <w:szCs w:val="20"/>
          <w:u w:val="single"/>
          <w:lang w:val="ca-ES"/>
        </w:rPr>
      </w:r>
      <w:bookmarkStart w:id="0" w:name="__RefHeading___Toc27218_1041666186"/>
      <w:bookmarkStart w:id="1" w:name="__RefHeading___Toc27218_1041666186"/>
      <w:bookmarkEnd w:id="1"/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72136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val="es-ES" w:eastAsia="es-ES" w:bidi="ar-SA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6</TotalTime>
  <Application>LibreOffice/7.1.7.2$Windows_X86_64 LibreOffice_project/c6a4e3954236145e2acb0b65f68614365aeee33f</Application>
  <AppVersion>15.0000</AppVersion>
  <Pages>2</Pages>
  <Words>271</Words>
  <Characters>1799</Characters>
  <CharactersWithSpaces>2073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2025-07-15T13:40:53Z</dcterms:created>
  <dc:creator/>
  <dc:description/>
  <dc:language>es-ES</dc:language>
  <cp:lastModifiedBy/>
  <dcterms:modified xsi:type="dcterms:W3CDTF">2025-07-15T13:47:14Z</dcterms:modified>
  <cp:revision>2</cp:revision>
  <dc:subject/>
  <dc:title>Carta Contractació</dc:title>
</cp:coreProperties>
</file>