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bookmarkStart w:id="1" w:name="_Hlk199233700"/>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2"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3"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4"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5"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6"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7"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8"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8"/>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9"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9"/>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bookmarkEnd w:id="1"/>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Pr="00C241EA"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7A099384"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Pr="00C241EA"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1C8A8ECA"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0EAD6301" w14:textId="41B037E4" w:rsidR="00386740" w:rsidRPr="00C241EA" w:rsidRDefault="00386740" w:rsidP="00386740">
      <w:pPr>
        <w:jc w:val="both"/>
        <w:rPr>
          <w:rFonts w:ascii="Arial" w:hAnsi="Arial" w:cs="Arial"/>
          <w:sz w:val="22"/>
          <w:szCs w:val="22"/>
        </w:rPr>
      </w:pPr>
    </w:p>
    <w:p w14:paraId="005CF76A" w14:textId="4A9F8F51"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9.-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22D1300A"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lastRenderedPageBreak/>
        <w:t>10.-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45D8AB22"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11.-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241464E5"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12.-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62D4DB0A"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13.-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6C960749"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14.-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1829AC7D" w:rsidR="00386740" w:rsidRPr="00C241EA" w:rsidRDefault="00BE0AC2" w:rsidP="00386740">
      <w:pPr>
        <w:jc w:val="both"/>
        <w:rPr>
          <w:rFonts w:ascii="Arial" w:hAnsi="Arial" w:cs="Arial"/>
          <w:sz w:val="22"/>
          <w:szCs w:val="22"/>
        </w:rPr>
      </w:pPr>
      <w:r w:rsidRPr="00C241EA">
        <w:rPr>
          <w:rFonts w:ascii="Arial" w:hAnsi="Arial" w:cs="Arial"/>
          <w:sz w:val="22"/>
          <w:szCs w:val="22"/>
        </w:rPr>
        <w:t>15</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Pr="00C241EA" w:rsidRDefault="00386740" w:rsidP="00386740">
      <w:pPr>
        <w:ind w:firstLine="709"/>
        <w:jc w:val="both"/>
        <w:rPr>
          <w:rFonts w:ascii="Arial" w:hAnsi="Arial" w:cs="Arial"/>
          <w:sz w:val="22"/>
          <w:szCs w:val="22"/>
        </w:rPr>
      </w:pPr>
    </w:p>
    <w:p w14:paraId="3E634219" w14:textId="48AD5D90" w:rsidR="00386740" w:rsidRPr="00C241EA" w:rsidRDefault="00386740" w:rsidP="00386740">
      <w:pPr>
        <w:pStyle w:val="Standard"/>
        <w:jc w:val="both"/>
        <w:rPr>
          <w:rFonts w:cs="Arial"/>
          <w:sz w:val="22"/>
          <w:szCs w:val="22"/>
        </w:rPr>
      </w:pPr>
      <w:r w:rsidRPr="00C241EA">
        <w:rPr>
          <w:rFonts w:cs="Arial"/>
          <w:sz w:val="22"/>
          <w:szCs w:val="22"/>
        </w:rPr>
        <w:t>1</w:t>
      </w:r>
      <w:r w:rsidR="007B3A4D" w:rsidRPr="00C241EA">
        <w:rPr>
          <w:rFonts w:cs="Arial"/>
          <w:sz w:val="22"/>
          <w:szCs w:val="22"/>
        </w:rPr>
        <w:t>6</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07ED174F" w14:textId="77777777"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w:t>
      </w:r>
      <w:r w:rsidRPr="00C241EA">
        <w:rPr>
          <w:rFonts w:cs="Arial"/>
          <w:i/>
          <w:iCs/>
          <w:sz w:val="22"/>
          <w:szCs w:val="22"/>
        </w:rPr>
        <w:lastRenderedPageBreak/>
        <w:t xml:space="preserve">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303CE9DC" w:rsidR="007B3A4D" w:rsidRPr="00C241EA" w:rsidRDefault="007B3A4D" w:rsidP="007B3A4D">
      <w:pPr>
        <w:pStyle w:val="Standard"/>
        <w:jc w:val="both"/>
        <w:rPr>
          <w:rFonts w:cs="Arial"/>
          <w:sz w:val="22"/>
          <w:szCs w:val="22"/>
        </w:rPr>
      </w:pPr>
      <w:r w:rsidRPr="00C241EA">
        <w:rPr>
          <w:rFonts w:cs="Arial"/>
          <w:sz w:val="22"/>
          <w:szCs w:val="22"/>
        </w:rPr>
        <w:t>17.-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1FA943E8" w14:textId="1E94A263" w:rsidR="007B3A4D" w:rsidRPr="00C241EA" w:rsidRDefault="007B3A4D" w:rsidP="007B3A4D">
      <w:pPr>
        <w:pStyle w:val="Standard"/>
        <w:jc w:val="both"/>
        <w:rPr>
          <w:rFonts w:cs="Arial"/>
          <w:sz w:val="22"/>
          <w:szCs w:val="22"/>
        </w:rPr>
      </w:pPr>
      <w:r w:rsidRPr="00C241EA">
        <w:rPr>
          <w:rFonts w:cs="Arial"/>
          <w:sz w:val="22"/>
          <w:szCs w:val="22"/>
        </w:rPr>
        <w:t>Que es designa com a persona/es autoritzada/es per a rebre l’avís de les notificacions, comunicacions i requeriments per mitjans electrònics a:</w:t>
      </w:r>
    </w:p>
    <w:p w14:paraId="07995046" w14:textId="77777777" w:rsidR="007B3A4D" w:rsidRPr="00C241EA" w:rsidRDefault="007B3A4D" w:rsidP="00386740">
      <w:pPr>
        <w:pStyle w:val="Standard"/>
        <w:jc w:val="both"/>
        <w:rPr>
          <w:rFonts w:cs="Arial"/>
          <w:sz w:val="22"/>
          <w:szCs w:val="22"/>
        </w:rPr>
      </w:pPr>
    </w:p>
    <w:p w14:paraId="384BA317" w14:textId="5F255647" w:rsidR="007B3A4D" w:rsidRPr="00C241EA" w:rsidRDefault="007B3A4D" w:rsidP="007B3A4D">
      <w:pPr>
        <w:pStyle w:val="Standard"/>
        <w:jc w:val="both"/>
        <w:rPr>
          <w:rFonts w:cs="Arial"/>
          <w:sz w:val="22"/>
          <w:szCs w:val="22"/>
        </w:rPr>
      </w:pPr>
      <w:r w:rsidRPr="00C241EA">
        <w:rPr>
          <w:rFonts w:cs="Arial"/>
          <w:sz w:val="22"/>
          <w:szCs w:val="22"/>
        </w:rPr>
        <w:t xml:space="preserve">18.-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3232FB55"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202</w:t>
      </w:r>
      <w:r w:rsidR="00900EA7" w:rsidRPr="00C241EA">
        <w:rPr>
          <w:rFonts w:cs="Arial"/>
          <w:bCs/>
          <w:sz w:val="22"/>
          <w:szCs w:val="22"/>
          <w:lang w:val="es-ES"/>
        </w:rPr>
        <w:t>5</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19C3F" w14:textId="77777777" w:rsidR="00951BE4" w:rsidRDefault="00951BE4">
      <w:r>
        <w:separator/>
      </w:r>
    </w:p>
  </w:endnote>
  <w:endnote w:type="continuationSeparator" w:id="0">
    <w:p w14:paraId="75C5897E"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761F3" w14:textId="77777777" w:rsidR="00951BE4" w:rsidRDefault="00951BE4">
    <w:pPr>
      <w:pStyle w:val="Piedepgina"/>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iedepgina"/>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005F1" w14:textId="77777777" w:rsidR="00951BE4" w:rsidRDefault="00951BE4">
      <w:r>
        <w:separator/>
      </w:r>
    </w:p>
  </w:footnote>
  <w:footnote w:type="continuationSeparator" w:id="0">
    <w:p w14:paraId="12D351BC"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CC439"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ulo2"/>
      <w:rPr>
        <w:sz w:val="20"/>
        <w:szCs w:val="20"/>
      </w:rPr>
    </w:pPr>
  </w:p>
  <w:p w14:paraId="0209BCFA" w14:textId="77777777" w:rsidR="00951BE4" w:rsidRPr="004B4667" w:rsidRDefault="00951BE4" w:rsidP="00561C96">
    <w:pPr>
      <w:pStyle w:val="Ttulo2"/>
      <w:tabs>
        <w:tab w:val="left" w:pos="2023"/>
      </w:tabs>
      <w:jc w:val="left"/>
      <w:rPr>
        <w:sz w:val="20"/>
        <w:szCs w:val="20"/>
      </w:rPr>
    </w:pPr>
  </w:p>
  <w:p w14:paraId="4AA38189" w14:textId="77777777" w:rsidR="00951BE4" w:rsidRPr="004B4667" w:rsidRDefault="00951BE4" w:rsidP="00181DC8">
    <w:pPr>
      <w:pStyle w:val="Ttulo2"/>
      <w:rPr>
        <w:sz w:val="20"/>
        <w:szCs w:val="20"/>
      </w:rPr>
    </w:pPr>
  </w:p>
  <w:p w14:paraId="7DAD3FE2"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ocumentProtection w:edit="forms" w:enforcement="1" w:cryptProviderType="rsaAES" w:cryptAlgorithmClass="hash" w:cryptAlgorithmType="typeAny" w:cryptAlgorithmSid="14" w:cryptSpinCount="100000" w:hash="wkkoP6z0wbr+6TIB2gbsq5rpkTy5vTvt4ZNIo4B/W7NXWoASP9ZgeQeuXP9ubNcllqFJphy8MHJ/A+HzVoK5PQ==" w:salt="ydJWXSQP42R1iagYYeVD9g=="/>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65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546"/>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4CA3"/>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74"/>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09D8"/>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8E1"/>
    <w:rsid w:val="00AF4D69"/>
    <w:rsid w:val="00AF504D"/>
    <w:rsid w:val="00AF56D2"/>
    <w:rsid w:val="00AF609A"/>
    <w:rsid w:val="00B01036"/>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0A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fill="f" fillcolor="white" stroke="f">
      <v:fill color="white" on="f"/>
      <v:stroke on="f"/>
    </o:shapedefaults>
    <o:shapelayout v:ext="edit">
      <o:idmap v:ext="edit" data="1"/>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uiPriority w:val="99"/>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Textoennegrita">
    <w:name w:val="Strong"/>
    <w:uiPriority w:val="99"/>
    <w:qFormat/>
    <w:rsid w:val="002B2243"/>
    <w:rPr>
      <w:b/>
      <w:bCs/>
    </w:rPr>
  </w:style>
  <w:style w:type="paragraph" w:styleId="Prrafodelista">
    <w:name w:val="List Paragraph"/>
    <w:basedOn w:val="Normal"/>
    <w:uiPriority w:val="1"/>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932</Words>
  <Characters>5318</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6238</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39</cp:revision>
  <cp:lastPrinted>2025-01-20T11:34:00Z</cp:lastPrinted>
  <dcterms:created xsi:type="dcterms:W3CDTF">2021-07-08T08:49:00Z</dcterms:created>
  <dcterms:modified xsi:type="dcterms:W3CDTF">2025-05-27T09:27:00Z</dcterms:modified>
</cp:coreProperties>
</file>