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D41" w:rsidRPr="00BE681C" w:rsidRDefault="00ED1D41" w:rsidP="00ED1D41">
      <w:pPr>
        <w:spacing w:line="240" w:lineRule="auto"/>
        <w:ind w:left="2" w:hanging="4"/>
        <w:jc w:val="left"/>
        <w:rPr>
          <w:rFonts w:ascii="Arial Narrow" w:hAnsi="Arial Narrow"/>
          <w:color w:val="808080" w:themeColor="background1" w:themeShade="80"/>
          <w:sz w:val="44"/>
          <w:szCs w:val="44"/>
        </w:rPr>
      </w:pPr>
      <w:r w:rsidRPr="00BE681C">
        <w:rPr>
          <w:rFonts w:ascii="Arial Narrow" w:hAnsi="Arial Narrow"/>
          <w:color w:val="808080" w:themeColor="background1" w:themeShade="80"/>
          <w:sz w:val="44"/>
          <w:szCs w:val="44"/>
        </w:rPr>
        <w:t>ANNEX I</w:t>
      </w:r>
    </w:p>
    <w:p w:rsidR="00ED1D41" w:rsidRDefault="00ED1D41" w:rsidP="00ED1D41">
      <w:pPr>
        <w:spacing w:line="240" w:lineRule="auto"/>
        <w:ind w:left="0" w:hanging="2"/>
        <w:jc w:val="left"/>
        <w:rPr>
          <w:rFonts w:ascii="Arial Narrow" w:hAnsi="Arial Narrow"/>
          <w:b/>
        </w:rPr>
      </w:pPr>
    </w:p>
    <w:p w:rsidR="00ED1D41" w:rsidRPr="00BE681C" w:rsidRDefault="00ED1D41" w:rsidP="00ED1D41">
      <w:pPr>
        <w:spacing w:line="240" w:lineRule="auto"/>
        <w:ind w:left="0" w:hanging="2"/>
        <w:jc w:val="left"/>
        <w:rPr>
          <w:rFonts w:ascii="Arial Narrow" w:hAnsi="Arial Narrow"/>
          <w:b/>
          <w:sz w:val="24"/>
          <w:szCs w:val="24"/>
        </w:rPr>
      </w:pPr>
      <w:r w:rsidRPr="00BE681C">
        <w:rPr>
          <w:rFonts w:ascii="Arial Narrow" w:hAnsi="Arial Narrow"/>
          <w:b/>
          <w:sz w:val="24"/>
          <w:szCs w:val="24"/>
        </w:rPr>
        <w:t>MODEL DE PROPOSICIÓ. CRITERIS AVALUABLES DE FORMA AUTOMÀTICA.</w:t>
      </w:r>
    </w:p>
    <w:p w:rsidR="00ED1D41" w:rsidRDefault="00ED1D41" w:rsidP="00ED1D41">
      <w:pPr>
        <w:spacing w:line="240" w:lineRule="auto"/>
        <w:ind w:left="0" w:hanging="2"/>
        <w:rPr>
          <w:rFonts w:ascii="Arial Narrow" w:hAnsi="Arial Narrow"/>
          <w:b/>
        </w:rPr>
      </w:pPr>
    </w:p>
    <w:p w:rsidR="00ED1D41" w:rsidRPr="00BE681C" w:rsidRDefault="00ED1D41" w:rsidP="00ED1D41">
      <w:pPr>
        <w:spacing w:line="240" w:lineRule="auto"/>
        <w:ind w:left="0" w:hanging="2"/>
        <w:rPr>
          <w:rFonts w:ascii="Arial Narrow" w:hAnsi="Arial Narrow"/>
          <w:b/>
        </w:rPr>
      </w:pPr>
      <w:r w:rsidRPr="00BE681C">
        <w:rPr>
          <w:rFonts w:ascii="Arial Narrow" w:hAnsi="Arial Narrow"/>
          <w:b/>
        </w:rPr>
        <w:t>Per al Criteri Automàtic 1 (fins a 20 punts):</w:t>
      </w:r>
    </w:p>
    <w:p w:rsidR="00ED1D41" w:rsidRDefault="00ED1D41" w:rsidP="00ED1D41">
      <w:pPr>
        <w:spacing w:line="240" w:lineRule="auto"/>
        <w:ind w:left="0" w:hanging="2"/>
        <w:rPr>
          <w:rFonts w:ascii="Arial Narrow" w:hAnsi="Arial Narrow"/>
        </w:rPr>
      </w:pPr>
      <w:r w:rsidRPr="00BE681C">
        <w:rPr>
          <w:rFonts w:ascii="Arial Narrow" w:hAnsi="Arial Narrow"/>
        </w:rPr>
        <w:t xml:space="preserve">"El Sr./La Sra.......... amb NIF núm.........., en nom propi / en representació de l’empresa.........., en qualitat de.........., i segons escriptura pública autoritzada davant Notari.........., en data.......... i amb número de protocol........../o document .........., CIF núm..........., domiciliada a.......... carrer.........., núm.........., (persona de contacte.........., adreça de correu electrònic.........., telèfon núm.........., i fax núm..........), assabentat/da de les condicions exigides per optar a la contractació del </w:t>
      </w:r>
      <w:r w:rsidRPr="00BE681C">
        <w:rPr>
          <w:rFonts w:ascii="Arial Narrow" w:hAnsi="Arial Narrow"/>
          <w:b/>
          <w:iCs/>
        </w:rPr>
        <w:t>servei de Direcció d’Obra i Direcció d’Execució d’obra per al Contracte d’obres per l’adequació a normativa i legalització de les instal·lacions de l’enllumenat públic exterior del terme municipal d’Esplugues de Llobregat</w:t>
      </w:r>
      <w:r w:rsidRPr="00BE681C">
        <w:rPr>
          <w:rFonts w:ascii="Arial Narrow" w:hAnsi="Arial Narrow"/>
        </w:rPr>
        <w:t>, es compromet a portar-la a terme amb subjecció al Plec de Clàusules Administratives Particulars, al plec de prescripcions tècniques i a la resta de documentació associada, que accepta íntegrament, per la quantitat de .........., IVA exclòs, el que resulta en un import total del contracte de..........€. L’import de l’IVA, al 21 %, és de..........€. El pressupost de licitació es distribueix en el següent quadre:</w:t>
      </w:r>
    </w:p>
    <w:p w:rsidR="00ED1D41" w:rsidRPr="00BE681C" w:rsidRDefault="00ED1D41" w:rsidP="00ED1D41">
      <w:pPr>
        <w:spacing w:line="240" w:lineRule="auto"/>
        <w:ind w:left="0" w:hanging="2"/>
        <w:rPr>
          <w:rFonts w:ascii="Arial Narrow" w:hAnsi="Arial Narrow"/>
        </w:rPr>
      </w:pPr>
    </w:p>
    <w:tbl>
      <w:tblPr>
        <w:tblW w:w="10500" w:type="dxa"/>
        <w:tblInd w:w="-851" w:type="dxa"/>
        <w:tblBorders>
          <w:bottom w:val="single" w:sz="8" w:space="0" w:color="FFFFFF" w:themeColor="background1"/>
          <w:right w:val="single" w:sz="8" w:space="0" w:color="FFFFFF" w:themeColor="background1"/>
          <w:insideH w:val="single" w:sz="8" w:space="0" w:color="FFFFFF" w:themeColor="background1"/>
        </w:tblBorders>
        <w:tblCellMar>
          <w:left w:w="70" w:type="dxa"/>
          <w:right w:w="70" w:type="dxa"/>
        </w:tblCellMar>
        <w:tblLook w:val="04A0" w:firstRow="1" w:lastRow="0" w:firstColumn="1" w:lastColumn="0" w:noHBand="0" w:noVBand="1"/>
      </w:tblPr>
      <w:tblGrid>
        <w:gridCol w:w="591"/>
        <w:gridCol w:w="3672"/>
        <w:gridCol w:w="1134"/>
        <w:gridCol w:w="843"/>
        <w:gridCol w:w="1567"/>
        <w:gridCol w:w="912"/>
        <w:gridCol w:w="1781"/>
      </w:tblGrid>
      <w:tr w:rsidR="00ED1D41" w:rsidRPr="00BE681C" w:rsidTr="00DF2576">
        <w:trPr>
          <w:trHeight w:val="345"/>
        </w:trPr>
        <w:tc>
          <w:tcPr>
            <w:tcW w:w="591" w:type="dxa"/>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 </w:t>
            </w:r>
          </w:p>
        </w:tc>
        <w:tc>
          <w:tcPr>
            <w:tcW w:w="3672" w:type="dxa"/>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 </w:t>
            </w:r>
          </w:p>
        </w:tc>
        <w:tc>
          <w:tcPr>
            <w:tcW w:w="1134" w:type="dxa"/>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b/>
                <w:bCs/>
                <w:color w:val="000000"/>
                <w:position w:val="0"/>
              </w:rPr>
            </w:pPr>
            <w:r w:rsidRPr="00BE681C">
              <w:rPr>
                <w:rFonts w:ascii="Arial Narrow" w:eastAsia="Times New Roman" w:hAnsi="Arial Narrow" w:cs="Calibri"/>
                <w:b/>
                <w:bCs/>
                <w:color w:val="000000"/>
                <w:position w:val="0"/>
              </w:rPr>
              <w:t>Preu €/hora</w:t>
            </w:r>
          </w:p>
        </w:tc>
        <w:tc>
          <w:tcPr>
            <w:tcW w:w="843" w:type="dxa"/>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b/>
                <w:bCs/>
                <w:color w:val="000000"/>
                <w:position w:val="0"/>
              </w:rPr>
            </w:pPr>
            <w:r w:rsidRPr="00BE681C">
              <w:rPr>
                <w:rFonts w:ascii="Arial Narrow" w:eastAsia="Times New Roman" w:hAnsi="Arial Narrow" w:cs="Calibri"/>
                <w:b/>
                <w:bCs/>
                <w:color w:val="000000"/>
                <w:position w:val="0"/>
              </w:rPr>
              <w:t>Hores</w:t>
            </w:r>
          </w:p>
        </w:tc>
        <w:tc>
          <w:tcPr>
            <w:tcW w:w="1567" w:type="dxa"/>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b/>
                <w:bCs/>
                <w:color w:val="000000"/>
                <w:position w:val="0"/>
              </w:rPr>
            </w:pPr>
            <w:r w:rsidRPr="00BE681C">
              <w:rPr>
                <w:rFonts w:ascii="Arial Narrow" w:eastAsia="Times New Roman" w:hAnsi="Arial Narrow" w:cs="Calibri"/>
                <w:b/>
                <w:bCs/>
                <w:color w:val="000000"/>
                <w:position w:val="0"/>
              </w:rPr>
              <w:t xml:space="preserve">Import </w:t>
            </w:r>
          </w:p>
          <w:p w:rsidR="00ED1D41" w:rsidRPr="00BE681C"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b/>
                <w:bCs/>
                <w:color w:val="000000"/>
                <w:position w:val="0"/>
              </w:rPr>
            </w:pPr>
            <w:r w:rsidRPr="00BE681C">
              <w:rPr>
                <w:rFonts w:ascii="Arial Narrow" w:eastAsia="Times New Roman" w:hAnsi="Arial Narrow" w:cs="Calibri"/>
                <w:b/>
                <w:bCs/>
                <w:color w:val="000000"/>
                <w:position w:val="0"/>
              </w:rPr>
              <w:t>Licitació</w:t>
            </w:r>
          </w:p>
        </w:tc>
        <w:tc>
          <w:tcPr>
            <w:tcW w:w="912" w:type="dxa"/>
            <w:shd w:val="clear" w:color="auto" w:fill="D9E2F3" w:themeFill="accent1" w:themeFillTint="33"/>
            <w:vAlign w:val="center"/>
          </w:tcPr>
          <w:p w:rsidR="00ED1D41" w:rsidRPr="00BE681C" w:rsidRDefault="00ED1D41" w:rsidP="00DF2576">
            <w:pPr>
              <w:spacing w:line="240" w:lineRule="auto"/>
              <w:ind w:left="0" w:hanging="2"/>
              <w:jc w:val="center"/>
              <w:rPr>
                <w:rFonts w:ascii="Arial Narrow" w:hAnsi="Arial Narrow"/>
                <w:b/>
                <w:i/>
              </w:rPr>
            </w:pPr>
            <w:r w:rsidRPr="00BE681C">
              <w:rPr>
                <w:rFonts w:ascii="Arial Narrow" w:hAnsi="Arial Narrow"/>
                <w:b/>
                <w:i/>
              </w:rPr>
              <w:t>preu/h proposta</w:t>
            </w:r>
          </w:p>
        </w:tc>
        <w:tc>
          <w:tcPr>
            <w:tcW w:w="1781" w:type="dxa"/>
            <w:shd w:val="clear" w:color="auto" w:fill="D9E2F3" w:themeFill="accent1" w:themeFillTint="33"/>
            <w:vAlign w:val="center"/>
          </w:tcPr>
          <w:p w:rsidR="00ED1D41" w:rsidRPr="00BE681C" w:rsidRDefault="00ED1D41" w:rsidP="00DF2576">
            <w:pPr>
              <w:spacing w:line="240" w:lineRule="auto"/>
              <w:ind w:left="0" w:hanging="2"/>
              <w:jc w:val="center"/>
              <w:rPr>
                <w:rFonts w:ascii="Arial Narrow" w:hAnsi="Arial Narrow"/>
                <w:b/>
                <w:i/>
              </w:rPr>
            </w:pPr>
            <w:r w:rsidRPr="00BE681C">
              <w:rPr>
                <w:rFonts w:ascii="Arial Narrow" w:hAnsi="Arial Narrow"/>
                <w:b/>
                <w:i/>
              </w:rPr>
              <w:t xml:space="preserve">Import </w:t>
            </w:r>
          </w:p>
          <w:p w:rsidR="00ED1D41" w:rsidRPr="00BE681C" w:rsidRDefault="00ED1D41" w:rsidP="00DF2576">
            <w:pPr>
              <w:spacing w:line="240" w:lineRule="auto"/>
              <w:ind w:left="0" w:hanging="2"/>
              <w:jc w:val="center"/>
              <w:rPr>
                <w:rFonts w:ascii="Arial Narrow" w:hAnsi="Arial Narrow"/>
                <w:b/>
                <w:i/>
              </w:rPr>
            </w:pPr>
            <w:r w:rsidRPr="00BE681C">
              <w:rPr>
                <w:rFonts w:ascii="Arial Narrow" w:hAnsi="Arial Narrow"/>
                <w:b/>
                <w:i/>
              </w:rPr>
              <w:t>Proposta licitador</w:t>
            </w:r>
          </w:p>
        </w:tc>
      </w:tr>
      <w:tr w:rsidR="00ED1D41" w:rsidRPr="00BE681C" w:rsidTr="00DF2576">
        <w:trPr>
          <w:trHeight w:val="330"/>
        </w:trPr>
        <w:tc>
          <w:tcPr>
            <w:tcW w:w="591" w:type="dxa"/>
            <w:shd w:val="clear" w:color="auto" w:fill="F2F2F2" w:themeFill="background1" w:themeFillShade="F2"/>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color w:val="000000"/>
                <w:position w:val="0"/>
              </w:rPr>
            </w:pPr>
            <w:r w:rsidRPr="00BE681C">
              <w:rPr>
                <w:rFonts w:ascii="Arial Narrow" w:eastAsia="Times New Roman" w:hAnsi="Arial Narrow" w:cs="Calibri"/>
                <w:b/>
                <w:color w:val="000000"/>
                <w:position w:val="0"/>
              </w:rPr>
              <w:t>E.M</w:t>
            </w:r>
          </w:p>
        </w:tc>
        <w:tc>
          <w:tcPr>
            <w:tcW w:w="3672" w:type="dxa"/>
            <w:shd w:val="clear" w:color="auto" w:fill="F2F2F2" w:themeFill="background1" w:themeFillShade="F2"/>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Equip multidisciplinari</w:t>
            </w:r>
          </w:p>
        </w:tc>
        <w:tc>
          <w:tcPr>
            <w:tcW w:w="1134"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90,61</w:t>
            </w:r>
          </w:p>
        </w:tc>
        <w:tc>
          <w:tcPr>
            <w:tcW w:w="843"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600,00</w:t>
            </w:r>
          </w:p>
        </w:tc>
        <w:tc>
          <w:tcPr>
            <w:tcW w:w="1567"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 xml:space="preserve">         54.366,00 €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r>
      <w:tr w:rsidR="00ED1D41" w:rsidRPr="00BE681C" w:rsidTr="00DF2576">
        <w:trPr>
          <w:trHeight w:val="660"/>
        </w:trPr>
        <w:tc>
          <w:tcPr>
            <w:tcW w:w="591" w:type="dxa"/>
            <w:shd w:val="clear" w:color="auto" w:fill="F2F2F2" w:themeFill="background1" w:themeFillShade="F2"/>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color w:val="000000"/>
                <w:position w:val="0"/>
              </w:rPr>
            </w:pPr>
            <w:r w:rsidRPr="00BE681C">
              <w:rPr>
                <w:rFonts w:ascii="Arial Narrow" w:eastAsia="Times New Roman" w:hAnsi="Arial Narrow" w:cs="Calibri"/>
                <w:b/>
                <w:color w:val="000000"/>
                <w:position w:val="0"/>
              </w:rPr>
              <w:t>LLIC.</w:t>
            </w:r>
          </w:p>
        </w:tc>
        <w:tc>
          <w:tcPr>
            <w:tcW w:w="3672" w:type="dxa"/>
            <w:shd w:val="clear" w:color="auto" w:fill="F2F2F2" w:themeFill="background1" w:themeFillShade="F2"/>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LLICENCIATS I TITULATS 2n I 3r CICLE UNIVERSITARI I</w:t>
            </w:r>
            <w:r w:rsidRPr="00BE681C">
              <w:rPr>
                <w:rFonts w:ascii="Arial Narrow" w:eastAsia="Times New Roman" w:hAnsi="Arial Narrow" w:cs="Calibri"/>
                <w:color w:val="000000"/>
                <w:position w:val="0"/>
              </w:rPr>
              <w:br/>
              <w:t>ANALISTA o equivalent</w:t>
            </w:r>
          </w:p>
        </w:tc>
        <w:tc>
          <w:tcPr>
            <w:tcW w:w="1134"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48,00</w:t>
            </w:r>
          </w:p>
        </w:tc>
        <w:tc>
          <w:tcPr>
            <w:tcW w:w="843"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350,00</w:t>
            </w:r>
          </w:p>
        </w:tc>
        <w:tc>
          <w:tcPr>
            <w:tcW w:w="1567"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 xml:space="preserve">         16.800,00 €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r>
      <w:tr w:rsidR="00ED1D41" w:rsidRPr="00BE681C" w:rsidTr="00DF2576">
        <w:trPr>
          <w:trHeight w:val="660"/>
        </w:trPr>
        <w:tc>
          <w:tcPr>
            <w:tcW w:w="591" w:type="dxa"/>
            <w:shd w:val="clear" w:color="auto" w:fill="F2F2F2" w:themeFill="background1" w:themeFillShade="F2"/>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color w:val="000000"/>
                <w:position w:val="0"/>
              </w:rPr>
            </w:pPr>
            <w:r w:rsidRPr="00BE681C">
              <w:rPr>
                <w:rFonts w:ascii="Arial Narrow" w:eastAsia="Times New Roman" w:hAnsi="Arial Narrow" w:cs="Calibri"/>
                <w:b/>
                <w:color w:val="000000"/>
                <w:position w:val="0"/>
              </w:rPr>
              <w:t>DIP.</w:t>
            </w:r>
          </w:p>
        </w:tc>
        <w:tc>
          <w:tcPr>
            <w:tcW w:w="3672" w:type="dxa"/>
            <w:shd w:val="clear" w:color="auto" w:fill="F2F2F2" w:themeFill="background1" w:themeFillShade="F2"/>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DIPLOMATS I TITULATS 1r CICLE UNIVERSITARI. CAP</w:t>
            </w:r>
            <w:r w:rsidRPr="00BE681C">
              <w:rPr>
                <w:rFonts w:ascii="Arial Narrow" w:eastAsia="Times New Roman" w:hAnsi="Arial Narrow" w:cs="Calibri"/>
                <w:color w:val="000000"/>
                <w:position w:val="0"/>
              </w:rPr>
              <w:br/>
              <w:t>SUPERIOR o equivalent</w:t>
            </w:r>
          </w:p>
        </w:tc>
        <w:tc>
          <w:tcPr>
            <w:tcW w:w="1134"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37,24</w:t>
            </w:r>
          </w:p>
        </w:tc>
        <w:tc>
          <w:tcPr>
            <w:tcW w:w="843"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850,00</w:t>
            </w:r>
          </w:p>
        </w:tc>
        <w:tc>
          <w:tcPr>
            <w:tcW w:w="1567"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 xml:space="preserve">         31.654,00 €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r>
      <w:tr w:rsidR="00ED1D41" w:rsidRPr="00BE681C" w:rsidTr="00DF2576">
        <w:trPr>
          <w:trHeight w:val="660"/>
        </w:trPr>
        <w:tc>
          <w:tcPr>
            <w:tcW w:w="591" w:type="dxa"/>
            <w:shd w:val="clear" w:color="auto" w:fill="F2F2F2" w:themeFill="background1" w:themeFillShade="F2"/>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color w:val="000000"/>
                <w:position w:val="0"/>
              </w:rPr>
            </w:pPr>
            <w:r w:rsidRPr="00BE681C">
              <w:rPr>
                <w:rFonts w:ascii="Arial Narrow" w:eastAsia="Times New Roman" w:hAnsi="Arial Narrow" w:cs="Calibri"/>
                <w:b/>
                <w:color w:val="000000"/>
                <w:position w:val="0"/>
              </w:rPr>
              <w:t>DIB.</w:t>
            </w:r>
          </w:p>
        </w:tc>
        <w:tc>
          <w:tcPr>
            <w:tcW w:w="3672" w:type="dxa"/>
            <w:shd w:val="clear" w:color="auto" w:fill="F2F2F2" w:themeFill="background1" w:themeFillShade="F2"/>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Dibuixant, tècnic de 2a, oficial 2a administratiu, perforista, gravador i conserge o equivalent</w:t>
            </w:r>
          </w:p>
        </w:tc>
        <w:tc>
          <w:tcPr>
            <w:tcW w:w="1134"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26,71</w:t>
            </w:r>
          </w:p>
        </w:tc>
        <w:tc>
          <w:tcPr>
            <w:tcW w:w="843"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350,00</w:t>
            </w:r>
          </w:p>
        </w:tc>
        <w:tc>
          <w:tcPr>
            <w:tcW w:w="1567"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 xml:space="preserve">           9.348,50 €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r>
      <w:tr w:rsidR="00ED1D41" w:rsidRPr="00BE681C" w:rsidTr="00DF2576">
        <w:trPr>
          <w:trHeight w:val="330"/>
        </w:trPr>
        <w:tc>
          <w:tcPr>
            <w:tcW w:w="591" w:type="dxa"/>
            <w:shd w:val="clear" w:color="auto" w:fill="F2F2F2" w:themeFill="background1" w:themeFillShade="F2"/>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color w:val="000000"/>
                <w:position w:val="0"/>
              </w:rPr>
            </w:pPr>
            <w:r w:rsidRPr="00BE681C">
              <w:rPr>
                <w:rFonts w:ascii="Arial Narrow" w:eastAsia="Times New Roman" w:hAnsi="Arial Narrow" w:cs="Calibri"/>
                <w:b/>
                <w:color w:val="000000"/>
                <w:position w:val="0"/>
              </w:rPr>
              <w:t>AJU.</w:t>
            </w:r>
          </w:p>
        </w:tc>
        <w:tc>
          <w:tcPr>
            <w:tcW w:w="3672" w:type="dxa"/>
            <w:shd w:val="clear" w:color="auto" w:fill="F2F2F2" w:themeFill="background1" w:themeFillShade="F2"/>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Ajudant oficis diversos o equivalent</w:t>
            </w:r>
          </w:p>
        </w:tc>
        <w:tc>
          <w:tcPr>
            <w:tcW w:w="1134"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23,61</w:t>
            </w:r>
          </w:p>
        </w:tc>
        <w:tc>
          <w:tcPr>
            <w:tcW w:w="843"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center"/>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350,00</w:t>
            </w:r>
          </w:p>
        </w:tc>
        <w:tc>
          <w:tcPr>
            <w:tcW w:w="1567" w:type="dxa"/>
            <w:shd w:val="clear" w:color="auto" w:fill="F2F2F2" w:themeFill="background1" w:themeFillShade="F2"/>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1A3440">
              <w:rPr>
                <w:rFonts w:ascii="Arial Narrow" w:eastAsia="Times New Roman" w:hAnsi="Arial Narrow" w:cs="Calibri"/>
                <w:color w:val="000000"/>
                <w:position w:val="0"/>
              </w:rPr>
              <w:t xml:space="preserve">           8.263,50 €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r>
      <w:tr w:rsidR="00ED1D41" w:rsidRPr="00BE681C" w:rsidTr="00DF2576">
        <w:trPr>
          <w:trHeight w:val="345"/>
        </w:trPr>
        <w:tc>
          <w:tcPr>
            <w:tcW w:w="591" w:type="dxa"/>
            <w:shd w:val="clear" w:color="auto" w:fill="auto"/>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r w:rsidRPr="00BE681C">
              <w:rPr>
                <w:rFonts w:ascii="Arial Narrow" w:eastAsia="Times New Roman" w:hAnsi="Arial Narrow" w:cs="Calibri"/>
                <w:color w:val="000000"/>
                <w:position w:val="0"/>
              </w:rPr>
              <w:t> </w:t>
            </w:r>
          </w:p>
        </w:tc>
        <w:tc>
          <w:tcPr>
            <w:tcW w:w="4806" w:type="dxa"/>
            <w:gridSpan w:val="2"/>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r w:rsidRPr="00BE681C">
              <w:rPr>
                <w:rFonts w:ascii="Arial Narrow" w:eastAsia="Times New Roman" w:hAnsi="Arial Narrow" w:cs="Calibri"/>
                <w:b/>
                <w:bCs/>
                <w:position w:val="0"/>
              </w:rPr>
              <w:t>TOTAL</w:t>
            </w:r>
          </w:p>
        </w:tc>
        <w:tc>
          <w:tcPr>
            <w:tcW w:w="843" w:type="dxa"/>
            <w:shd w:val="clear" w:color="auto" w:fill="D9E2F3" w:themeFill="accent1" w:themeFillTint="33"/>
            <w:noWrap/>
            <w:vAlign w:val="center"/>
            <w:hideMark/>
          </w:tcPr>
          <w:p w:rsidR="00ED1D41" w:rsidRPr="001A3440"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bCs/>
                <w:position w:val="0"/>
              </w:rPr>
            </w:pPr>
            <w:r w:rsidRPr="001A3440">
              <w:rPr>
                <w:rFonts w:ascii="Arial Narrow" w:eastAsia="Times New Roman" w:hAnsi="Arial Narrow" w:cs="Calibri"/>
                <w:b/>
                <w:bCs/>
                <w:position w:val="0"/>
              </w:rPr>
              <w:t>2.500,00</w:t>
            </w:r>
          </w:p>
        </w:tc>
        <w:tc>
          <w:tcPr>
            <w:tcW w:w="1567" w:type="dxa"/>
            <w:shd w:val="clear" w:color="auto" w:fill="D9E2F3" w:themeFill="accent1" w:themeFillTint="33"/>
            <w:noWrap/>
            <w:vAlign w:val="center"/>
          </w:tcPr>
          <w:p w:rsidR="00ED1D41" w:rsidRPr="001A3440"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r w:rsidRPr="001A3440">
              <w:rPr>
                <w:rFonts w:ascii="Arial Narrow" w:eastAsia="Times New Roman" w:hAnsi="Arial Narrow" w:cs="Calibri"/>
                <w:b/>
                <w:bCs/>
                <w:position w:val="0"/>
              </w:rPr>
              <w:t xml:space="preserve">       120.432,00 €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p>
        </w:tc>
      </w:tr>
      <w:tr w:rsidR="00ED1D41" w:rsidRPr="00BE681C" w:rsidTr="00DF2576">
        <w:trPr>
          <w:trHeight w:val="345"/>
        </w:trPr>
        <w:tc>
          <w:tcPr>
            <w:tcW w:w="591" w:type="dxa"/>
            <w:shd w:val="clear" w:color="auto" w:fill="auto"/>
            <w:noWrap/>
            <w:vAlign w:val="center"/>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color w:val="000000"/>
                <w:position w:val="0"/>
              </w:rPr>
            </w:pPr>
          </w:p>
        </w:tc>
        <w:tc>
          <w:tcPr>
            <w:tcW w:w="4806" w:type="dxa"/>
            <w:gridSpan w:val="2"/>
            <w:shd w:val="clear" w:color="auto" w:fill="D9E2F3" w:themeFill="accent1" w:themeFillTint="33"/>
            <w:noWrap/>
            <w:vAlign w:val="center"/>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r w:rsidRPr="00BE681C">
              <w:rPr>
                <w:rFonts w:ascii="Arial Narrow" w:eastAsia="Times New Roman" w:hAnsi="Arial Narrow" w:cs="Calibri"/>
                <w:b/>
                <w:bCs/>
                <w:position w:val="0"/>
              </w:rPr>
              <w:t>21% IVA</w:t>
            </w:r>
          </w:p>
        </w:tc>
        <w:tc>
          <w:tcPr>
            <w:tcW w:w="843" w:type="dxa"/>
            <w:shd w:val="clear" w:color="auto" w:fill="D9E2F3" w:themeFill="accent1" w:themeFillTint="33"/>
            <w:noWrap/>
            <w:vAlign w:val="center"/>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bCs/>
                <w:position w:val="0"/>
              </w:rPr>
            </w:pPr>
          </w:p>
        </w:tc>
        <w:tc>
          <w:tcPr>
            <w:tcW w:w="1567" w:type="dxa"/>
            <w:shd w:val="clear" w:color="auto" w:fill="D9E2F3" w:themeFill="accent1" w:themeFillTint="33"/>
            <w:noWrap/>
            <w:vAlign w:val="center"/>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hAnsi="Arial Narrow" w:cs="Calibri"/>
                <w:b/>
                <w:bCs/>
                <w:position w:val="0"/>
              </w:rPr>
            </w:pPr>
            <w:r w:rsidRPr="00BE681C">
              <w:rPr>
                <w:rFonts w:ascii="Arial Narrow" w:hAnsi="Arial Narrow" w:cs="Calibri"/>
                <w:b/>
                <w:bCs/>
              </w:rPr>
              <w:t xml:space="preserve">         25.290,72 €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rPr>
            </w:pPr>
          </w:p>
        </w:tc>
      </w:tr>
      <w:tr w:rsidR="00ED1D41" w:rsidRPr="00BE681C" w:rsidTr="00DF2576">
        <w:trPr>
          <w:trHeight w:val="345"/>
        </w:trPr>
        <w:tc>
          <w:tcPr>
            <w:tcW w:w="591" w:type="dxa"/>
            <w:shd w:val="clear" w:color="auto" w:fill="auto"/>
            <w:noWrap/>
            <w:vAlign w:val="center"/>
            <w:hideMark/>
          </w:tcPr>
          <w:p w:rsidR="00ED1D41" w:rsidRPr="00BE681C" w:rsidRDefault="00ED1D41" w:rsidP="00DF2576">
            <w:pPr>
              <w:suppressAutoHyphens w:val="0"/>
              <w:spacing w:line="240" w:lineRule="auto"/>
              <w:ind w:leftChars="0" w:left="0" w:firstLineChars="0" w:firstLine="0"/>
              <w:jc w:val="left"/>
              <w:textDirection w:val="lrTb"/>
              <w:textAlignment w:val="auto"/>
              <w:outlineLvl w:val="9"/>
              <w:rPr>
                <w:rFonts w:ascii="Arial Narrow" w:eastAsia="Times New Roman" w:hAnsi="Arial Narrow" w:cs="Calibri"/>
                <w:b/>
                <w:bCs/>
                <w:position w:val="0"/>
              </w:rPr>
            </w:pPr>
          </w:p>
        </w:tc>
        <w:tc>
          <w:tcPr>
            <w:tcW w:w="5649" w:type="dxa"/>
            <w:gridSpan w:val="3"/>
            <w:shd w:val="clear" w:color="auto" w:fill="D9E2F3" w:themeFill="accent1" w:themeFillTint="33"/>
            <w:noWrap/>
            <w:vAlign w:val="center"/>
            <w:hideMark/>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sz w:val="24"/>
                <w:szCs w:val="24"/>
              </w:rPr>
            </w:pPr>
            <w:r w:rsidRPr="00BE681C">
              <w:rPr>
                <w:rFonts w:ascii="Arial Narrow" w:eastAsia="Times New Roman" w:hAnsi="Arial Narrow" w:cs="Calibri"/>
                <w:b/>
                <w:bCs/>
                <w:position w:val="0"/>
                <w:sz w:val="24"/>
                <w:szCs w:val="24"/>
              </w:rPr>
              <w:t>TOTAL amb IVA</w:t>
            </w:r>
          </w:p>
        </w:tc>
        <w:tc>
          <w:tcPr>
            <w:tcW w:w="1567" w:type="dxa"/>
            <w:shd w:val="clear" w:color="auto" w:fill="D9E2F3" w:themeFill="accent1" w:themeFillTint="33"/>
            <w:noWrap/>
            <w:vAlign w:val="center"/>
            <w:hideMark/>
          </w:tcPr>
          <w:p w:rsidR="00ED1D41" w:rsidRPr="001A3440"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sz w:val="24"/>
                <w:szCs w:val="24"/>
              </w:rPr>
            </w:pPr>
            <w:r w:rsidRPr="001A3440">
              <w:rPr>
                <w:rFonts w:ascii="Arial Narrow" w:eastAsia="Times New Roman" w:hAnsi="Arial Narrow" w:cs="Calibri"/>
                <w:b/>
                <w:bCs/>
                <w:position w:val="0"/>
                <w:sz w:val="24"/>
                <w:szCs w:val="24"/>
              </w:rPr>
              <w:t>145.722,72 €</w:t>
            </w:r>
          </w:p>
        </w:tc>
        <w:tc>
          <w:tcPr>
            <w:tcW w:w="912"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sz w:val="24"/>
                <w:szCs w:val="24"/>
              </w:rPr>
            </w:pPr>
          </w:p>
        </w:tc>
        <w:tc>
          <w:tcPr>
            <w:tcW w:w="1781" w:type="dxa"/>
            <w:shd w:val="clear" w:color="auto" w:fill="EDEDED" w:themeFill="accent3" w:themeFillTint="33"/>
          </w:tcPr>
          <w:p w:rsidR="00ED1D41" w:rsidRPr="00BE681C" w:rsidRDefault="00ED1D41" w:rsidP="00DF2576">
            <w:pPr>
              <w:suppressAutoHyphens w:val="0"/>
              <w:spacing w:line="240" w:lineRule="auto"/>
              <w:ind w:leftChars="0" w:left="0" w:firstLineChars="0" w:firstLine="0"/>
              <w:jc w:val="right"/>
              <w:textDirection w:val="lrTb"/>
              <w:textAlignment w:val="auto"/>
              <w:outlineLvl w:val="9"/>
              <w:rPr>
                <w:rFonts w:ascii="Arial Narrow" w:eastAsia="Times New Roman" w:hAnsi="Arial Narrow" w:cs="Calibri"/>
                <w:b/>
                <w:bCs/>
                <w:position w:val="0"/>
                <w:sz w:val="24"/>
                <w:szCs w:val="24"/>
              </w:rPr>
            </w:pPr>
          </w:p>
        </w:tc>
      </w:tr>
    </w:tbl>
    <w:p w:rsidR="00ED1D41" w:rsidRPr="00BE681C" w:rsidRDefault="00ED1D41" w:rsidP="00ED1D41">
      <w:pPr>
        <w:spacing w:line="240" w:lineRule="auto"/>
        <w:ind w:left="0" w:hanging="2"/>
        <w:rPr>
          <w:rFonts w:ascii="Arial Narrow" w:hAnsi="Arial Narrow"/>
          <w:b/>
          <w:sz w:val="20"/>
          <w:szCs w:val="20"/>
        </w:rPr>
      </w:pPr>
      <w:r w:rsidRPr="00BE681C">
        <w:rPr>
          <w:rFonts w:ascii="Arial Narrow" w:hAnsi="Arial Narrow"/>
          <w:b/>
          <w:sz w:val="20"/>
          <w:szCs w:val="20"/>
        </w:rPr>
        <w:t>*En verd a omplir per l’empresa licitadora</w:t>
      </w:r>
    </w:p>
    <w:p w:rsidR="00ED1D41" w:rsidRDefault="00ED1D41" w:rsidP="00ED1D41">
      <w:pPr>
        <w:spacing w:line="240" w:lineRule="auto"/>
        <w:ind w:left="0" w:hanging="2"/>
        <w:rPr>
          <w:rFonts w:ascii="Arial Narrow" w:hAnsi="Arial Narrow"/>
        </w:rPr>
      </w:pPr>
      <w:bookmarkStart w:id="0" w:name="_heading=h.1fob9te" w:colFirst="0" w:colLast="0"/>
      <w:bookmarkEnd w:id="0"/>
    </w:p>
    <w:p w:rsidR="00ED1D41" w:rsidRPr="00BE681C" w:rsidRDefault="00ED1D41" w:rsidP="00ED1D41">
      <w:pPr>
        <w:spacing w:line="240" w:lineRule="auto"/>
        <w:ind w:left="0" w:hanging="2"/>
        <w:rPr>
          <w:rFonts w:ascii="Arial Narrow" w:hAnsi="Arial Narrow"/>
        </w:rPr>
      </w:pPr>
      <w:r w:rsidRPr="00BE681C">
        <w:rPr>
          <w:rFonts w:ascii="Arial Narrow" w:hAnsi="Arial Narrow"/>
        </w:rPr>
        <w:t>La proposta d’imports a realitzar pels licitadors corresponents amb aquest concepte no podran ser, en cap cas, superiors a allò indicat al PCAP de l’ACM.</w:t>
      </w:r>
    </w:p>
    <w:p w:rsidR="00ED1D41" w:rsidRDefault="00ED1D41" w:rsidP="00ED1D41">
      <w:pPr>
        <w:spacing w:line="240" w:lineRule="auto"/>
        <w:ind w:left="0" w:hanging="2"/>
        <w:rPr>
          <w:rFonts w:ascii="Arial Narrow" w:hAnsi="Arial Narrow"/>
          <w:b/>
        </w:rPr>
      </w:pPr>
    </w:p>
    <w:p w:rsidR="00ED1D41" w:rsidRPr="00BE681C" w:rsidRDefault="00ED1D41" w:rsidP="00ED1D41">
      <w:pPr>
        <w:spacing w:line="240" w:lineRule="auto"/>
        <w:ind w:left="0" w:hanging="2"/>
        <w:rPr>
          <w:rFonts w:ascii="Arial Narrow" w:hAnsi="Arial Narrow"/>
          <w:b/>
        </w:rPr>
      </w:pPr>
      <w:r w:rsidRPr="00BE681C">
        <w:rPr>
          <w:rFonts w:ascii="Arial Narrow" w:hAnsi="Arial Narrow"/>
          <w:b/>
        </w:rPr>
        <w:t>L’import total resultant del pressupost indicat anteriorment segons el preu/hora ofert per l’empresa licitadora serà el preu d’adjudicació del contracte, sent les hores indicades estimatives als únics efectes de determinar el preu del contracte. Per tant, en cas que fossin necessàries més hores de les estimades inicialment per a l’execució de les diferents prestacions contractuals, aquestes no seran retribuïdes.</w:t>
      </w:r>
    </w:p>
    <w:p w:rsidR="00ED1D41" w:rsidRDefault="00ED1D41" w:rsidP="00ED1D41">
      <w:pPr>
        <w:spacing w:line="240" w:lineRule="auto"/>
        <w:ind w:left="0" w:hanging="2"/>
        <w:jc w:val="left"/>
        <w:rPr>
          <w:rFonts w:ascii="Arial Narrow" w:hAnsi="Arial Narrow"/>
        </w:rPr>
      </w:pPr>
    </w:p>
    <w:p w:rsidR="00ED1D41" w:rsidRPr="00BE681C" w:rsidRDefault="00ED1D41" w:rsidP="00ED1D41">
      <w:pPr>
        <w:spacing w:line="240" w:lineRule="auto"/>
        <w:ind w:left="0" w:hanging="2"/>
        <w:jc w:val="left"/>
        <w:rPr>
          <w:rFonts w:ascii="Arial Narrow" w:hAnsi="Arial Narrow"/>
        </w:rPr>
      </w:pPr>
      <w:r w:rsidRPr="00BE681C">
        <w:rPr>
          <w:rFonts w:ascii="Arial Narrow" w:hAnsi="Arial Narrow"/>
        </w:rPr>
        <w:t>(Data i signatura)."</w:t>
      </w:r>
    </w:p>
    <w:p w:rsidR="00783C2D" w:rsidRDefault="00783C2D">
      <w:pPr>
        <w:ind w:left="0" w:hanging="2"/>
      </w:pPr>
    </w:p>
    <w:sectPr w:rsidR="00783C2D" w:rsidSect="00ED1D4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D41" w:rsidRDefault="00ED1D41" w:rsidP="00ED1D41">
      <w:pPr>
        <w:spacing w:line="240" w:lineRule="auto"/>
        <w:ind w:left="0" w:hanging="2"/>
      </w:pPr>
      <w:r>
        <w:separator/>
      </w:r>
    </w:p>
  </w:endnote>
  <w:endnote w:type="continuationSeparator" w:id="0">
    <w:p w:rsidR="00ED1D41" w:rsidRDefault="00ED1D41" w:rsidP="00ED1D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D41" w:rsidRDefault="00ED1D41" w:rsidP="00ED1D41">
      <w:pPr>
        <w:spacing w:line="240" w:lineRule="auto"/>
        <w:ind w:left="0" w:hanging="2"/>
      </w:pPr>
      <w:r>
        <w:separator/>
      </w:r>
    </w:p>
  </w:footnote>
  <w:footnote w:type="continuationSeparator" w:id="0">
    <w:p w:rsidR="00ED1D41" w:rsidRDefault="00ED1D41" w:rsidP="00ED1D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Encabezado"/>
      <w:ind w:left="0" w:hanging="2"/>
    </w:pPr>
    <w:bookmarkStart w:id="1" w:name="_GoBack"/>
    <w:bookmarkEnd w:id="1"/>
    <w:r>
      <w:rPr>
        <w:noProof/>
        <w:color w:val="000000"/>
      </w:rPr>
      <w:drawing>
        <wp:anchor distT="0" distB="0" distL="0" distR="0" simplePos="0" relativeHeight="251659264" behindDoc="1" locked="0" layoutInCell="1" hidden="0" allowOverlap="1" wp14:anchorId="5594CCD1" wp14:editId="488245AB">
          <wp:simplePos x="0" y="0"/>
          <wp:positionH relativeFrom="page">
            <wp:posOffset>1080135</wp:posOffset>
          </wp:positionH>
          <wp:positionV relativeFrom="page">
            <wp:posOffset>448945</wp:posOffset>
          </wp:positionV>
          <wp:extent cx="1309370" cy="621030"/>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09370" cy="6210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D41" w:rsidRDefault="00ED1D41">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41"/>
    <w:rsid w:val="00783C2D"/>
    <w:rsid w:val="009B2B6F"/>
    <w:rsid w:val="00ED1D4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6BB65D-EED0-45CB-80B8-C55E0B2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D41"/>
    <w:pPr>
      <w:suppressAutoHyphens/>
      <w:spacing w:after="0" w:line="1" w:lineRule="atLeast"/>
      <w:ind w:leftChars="-1" w:left="-1" w:hangingChars="1" w:hanging="1"/>
      <w:jc w:val="both"/>
      <w:textDirection w:val="btLr"/>
      <w:textAlignment w:val="top"/>
      <w:outlineLvl w:val="0"/>
    </w:pPr>
    <w:rPr>
      <w:rFonts w:ascii="Arial" w:eastAsia="Arial" w:hAnsi="Arial" w:cs="Arial"/>
      <w:position w:val="-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D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D1D41"/>
    <w:rPr>
      <w:rFonts w:ascii="Arial" w:eastAsia="Arial" w:hAnsi="Arial" w:cs="Arial"/>
      <w:position w:val="-1"/>
      <w:lang w:eastAsia="es-ES"/>
    </w:rPr>
  </w:style>
  <w:style w:type="paragraph" w:styleId="Piedepgina">
    <w:name w:val="footer"/>
    <w:basedOn w:val="Normal"/>
    <w:link w:val="PiedepginaCar"/>
    <w:uiPriority w:val="99"/>
    <w:unhideWhenUsed/>
    <w:rsid w:val="00ED1D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D1D41"/>
    <w:rPr>
      <w:rFonts w:ascii="Arial" w:eastAsia="Arial" w:hAnsi="Arial" w:cs="Arial"/>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
      <vt:lpstr>ANNEX I</vt:lpstr>
      <vt:lpstr/>
      <vt:lpstr>MODEL DE PROPOSICIÓ. CRITERIS AVALUABLES DE FORMA AUTOMÀTICA.</vt:lpstr>
      <vt:lpstr/>
      <vt:lpstr>Per al Criteri Automàtic 1 (fins a 20 punts):</vt:lpstr>
      <vt:lpstr>"El Sr./La Sra.......... amb NIF núm.........., en nom propi / en representació </vt:lpstr>
      <vt:lpstr/>
      <vt:lpstr>*En verd a omplir per l’empresa licitadora</vt:lpstr>
      <vt:lpstr/>
      <vt:lpstr>La proposta d’imports a realitzar pels licitadors corresponents amb aquest conce</vt:lpstr>
      <vt:lpstr/>
      <vt:lpstr>L’import total resultant del pressupost indicat anteriorment segons el preu/hora</vt:lpstr>
      <vt:lpstr/>
      <vt:lpstr>(Data i signatura)."</vt:lpstr>
      <vt:lpstr/>
    </vt:vector>
  </TitlesOfParts>
  <Company>Ajuntament d Esplugues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1</cp:revision>
  <dcterms:created xsi:type="dcterms:W3CDTF">2025-07-07T08:25:00Z</dcterms:created>
  <dcterms:modified xsi:type="dcterms:W3CDTF">2025-07-07T08:26:00Z</dcterms:modified>
</cp:coreProperties>
</file>