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E59D0" w:rsidRDefault="009E59D0">
      <w:bookmarkStart w:id="0" w:name="_GoBack"/>
      <w:bookmarkEnd w:id="0"/>
    </w:p>
    <w:p w:rsidR="009E59D0" w:rsidRDefault="00DC241A">
      <w:pPr>
        <w:pBdr>
          <w:bottom w:val="single" w:sz="12" w:space="1" w:color="000000"/>
        </w:pBdr>
        <w:jc w:val="both"/>
        <w:rPr>
          <w:b/>
          <w:sz w:val="24"/>
        </w:rPr>
      </w:pPr>
      <w:r>
        <w:rPr>
          <w:b/>
          <w:sz w:val="24"/>
        </w:rPr>
        <w:t>PLIEGO DE CLÁUSULAS ADMINISTRATIVAS PARTICULARES PARA EL SUMINISTRO Y EL SERVICIO DE REPARACIÓN DE NEUMÁTICOS DE LA FLOTA DE VEHÍCULOS DE ECO-EQUIPO SAM</w:t>
      </w:r>
      <w:bookmarkStart w:id="1" w:name="_Hlk201924519"/>
      <w:bookmarkStart w:id="2" w:name="_Hlk200380832"/>
      <w:bookmarkEnd w:id="1"/>
    </w:p>
    <w:bookmarkEnd w:id="2"/>
    <w:p w:rsidR="009E59D0" w:rsidRDefault="009E59D0">
      <w:pPr>
        <w:jc w:val="both"/>
        <w:rPr>
          <w:b/>
          <w:sz w:val="22"/>
        </w:rPr>
      </w:pPr>
    </w:p>
    <w:p w:rsidR="009E59D0" w:rsidRDefault="009E59D0">
      <w:pPr>
        <w:jc w:val="both"/>
        <w:rPr>
          <w:b/>
          <w:caps/>
          <w:color w:val="800000"/>
          <w:sz w:val="22"/>
        </w:rPr>
      </w:pPr>
    </w:p>
    <w:p w:rsidR="009E59D0" w:rsidRDefault="00DC241A">
      <w:pPr>
        <w:jc w:val="both"/>
      </w:pPr>
      <w:r>
        <w:rPr>
          <w:b/>
          <w:sz w:val="22"/>
        </w:rPr>
        <w:t>PRIMERA.-</w:t>
      </w:r>
      <w:r>
        <w:rPr>
          <w:sz w:val="22"/>
        </w:rPr>
        <w:t>Objeto del contrato</w:t>
      </w:r>
    </w:p>
    <w:p w:rsidR="009E59D0" w:rsidRDefault="009E59D0">
      <w:pPr>
        <w:jc w:val="both"/>
        <w:rPr>
          <w:sz w:val="22"/>
          <w:szCs w:val="22"/>
        </w:rPr>
      </w:pPr>
    </w:p>
    <w:p w:rsidR="009E59D0" w:rsidRDefault="00DC241A">
      <w:pPr>
        <w:widowControl w:val="0"/>
        <w:jc w:val="both"/>
      </w:pPr>
      <w:r>
        <w:rPr>
          <w:color w:val="000000"/>
          <w:sz w:val="22"/>
          <w:szCs w:val="22"/>
        </w:rPr>
        <w:t>El objeto del contrato es el suministro</w:t>
      </w:r>
      <w:r>
        <w:t xml:space="preserve"> </w:t>
      </w:r>
      <w:r>
        <w:rPr>
          <w:color w:val="000000"/>
          <w:sz w:val="22"/>
          <w:szCs w:val="22"/>
        </w:rPr>
        <w:t>de neumáticos y los servicios d</w:t>
      </w:r>
      <w:r>
        <w:rPr>
          <w:color w:val="000000"/>
          <w:sz w:val="22"/>
          <w:szCs w:val="22"/>
        </w:rPr>
        <w:t>e reparación y montaje de los neumáticos en la flota de vehículos de ECO-EQUIP, SAM.</w:t>
      </w:r>
    </w:p>
    <w:p w:rsidR="009E59D0" w:rsidRDefault="009E59D0">
      <w:pPr>
        <w:widowControl w:val="0"/>
        <w:jc w:val="both"/>
        <w:rPr>
          <w:color w:val="000000"/>
          <w:sz w:val="22"/>
          <w:szCs w:val="22"/>
        </w:rPr>
      </w:pPr>
    </w:p>
    <w:p w:rsidR="009E59D0" w:rsidRDefault="00DC241A">
      <w:pPr>
        <w:jc w:val="both"/>
        <w:rPr>
          <w:rFonts w:eastAsia="MS Mincho;ＭＳ 明朝"/>
          <w:color w:val="000000"/>
          <w:sz w:val="22"/>
          <w:szCs w:val="22"/>
          <w:lang w:eastAsia="ja-JP"/>
        </w:rPr>
      </w:pPr>
      <w:r>
        <w:rPr>
          <w:rFonts w:eastAsia="MS Mincho;ＭＳ 明朝"/>
          <w:color w:val="000000"/>
          <w:sz w:val="22"/>
          <w:szCs w:val="22"/>
          <w:lang w:eastAsia="ja-JP"/>
        </w:rPr>
        <w:t>La principal razón por la que se ha decidido no dividir en lotes el contrato es que el objeto del contrato es una unidad funcional y no puede preverse su realización sepa</w:t>
      </w:r>
      <w:r>
        <w:rPr>
          <w:rFonts w:eastAsia="MS Mincho;ＭＳ 明朝"/>
          <w:color w:val="000000"/>
          <w:sz w:val="22"/>
          <w:szCs w:val="22"/>
          <w:lang w:eastAsia="ja-JP"/>
        </w:rPr>
        <w:t>rada.</w:t>
      </w:r>
    </w:p>
    <w:p w:rsidR="009E59D0" w:rsidRDefault="009E59D0">
      <w:pPr>
        <w:widowControl w:val="0"/>
        <w:jc w:val="both"/>
        <w:rPr>
          <w:rFonts w:ascii="Times New Roman" w:eastAsia="MS Mincho;ＭＳ 明朝" w:hAnsi="Times New Roman" w:cs="Times New Roman"/>
          <w:color w:val="000000"/>
          <w:sz w:val="22"/>
          <w:szCs w:val="22"/>
          <w:lang w:val="es-ES" w:eastAsia="ja-JP"/>
        </w:rPr>
      </w:pPr>
    </w:p>
    <w:p w:rsidR="009E59D0" w:rsidRDefault="00DC241A">
      <w:pPr>
        <w:jc w:val="both"/>
        <w:rPr>
          <w:sz w:val="22"/>
        </w:rPr>
      </w:pPr>
      <w:r>
        <w:rPr>
          <w:sz w:val="22"/>
        </w:rPr>
        <w:t>El objeto del contrato se detalla en el pliego de prescripciones técnicas (PPT).</w:t>
      </w:r>
    </w:p>
    <w:p w:rsidR="009E59D0" w:rsidRDefault="009E59D0">
      <w:pPr>
        <w:jc w:val="both"/>
        <w:rPr>
          <w:sz w:val="22"/>
        </w:rPr>
      </w:pPr>
    </w:p>
    <w:p w:rsidR="009E59D0" w:rsidRDefault="009E59D0">
      <w:pPr>
        <w:jc w:val="both"/>
        <w:rPr>
          <w:color w:val="000000"/>
          <w:sz w:val="22"/>
          <w:szCs w:val="24"/>
        </w:rPr>
      </w:pPr>
    </w:p>
    <w:p w:rsidR="009E59D0" w:rsidRDefault="00DC241A">
      <w:pPr>
        <w:pStyle w:val="Ttol7"/>
      </w:pPr>
      <w:r>
        <w:t>SEGUNDA.- Codificación del objeto del contrato</w:t>
      </w:r>
    </w:p>
    <w:p w:rsidR="009E59D0" w:rsidRDefault="009E59D0">
      <w:pPr>
        <w:jc w:val="both"/>
        <w:rPr>
          <w:b/>
          <w:sz w:val="22"/>
        </w:rPr>
      </w:pPr>
    </w:p>
    <w:p w:rsidR="009E59D0" w:rsidRDefault="00DC241A">
      <w:pPr>
        <w:jc w:val="both"/>
      </w:pPr>
      <w:r>
        <w:rPr>
          <w:sz w:val="22"/>
        </w:rPr>
        <w:t>Reglamento (CE) nº. 2195/2008 de la Comisión, de 28 de noviembre de 2007, que modifica el Reglamento (CE) núm. 2195/2002 del Parlamento Europeo y del Consejo, por el que se aprueba el Vocabulario común de contratos públicos (CPV), y de las Directivas 2004/</w:t>
      </w:r>
      <w:r>
        <w:rPr>
          <w:sz w:val="22"/>
        </w:rPr>
        <w:t>17/CE y 2004/18/CE del Parlamento Europeo y del Consejo sobre los procedimientos de los contratos públicos, en lo referente a la CPV:</w:t>
      </w:r>
    </w:p>
    <w:p w:rsidR="009E59D0" w:rsidRDefault="009E59D0">
      <w:pPr>
        <w:jc w:val="both"/>
        <w:rPr>
          <w:sz w:val="22"/>
          <w:szCs w:val="22"/>
        </w:rPr>
      </w:pPr>
    </w:p>
    <w:p w:rsidR="009E59D0" w:rsidRDefault="00DC241A">
      <w:pPr>
        <w:jc w:val="both"/>
        <w:rPr>
          <w:sz w:val="22"/>
        </w:rPr>
      </w:pPr>
      <w:r>
        <w:rPr>
          <w:sz w:val="22"/>
        </w:rPr>
        <w:t>Código nº. 34350000-5 Neumáticos para vehículos ligeros y vehículos pesados.</w:t>
      </w:r>
    </w:p>
    <w:p w:rsidR="009E59D0" w:rsidRDefault="00DC241A">
      <w:pPr>
        <w:jc w:val="both"/>
        <w:rPr>
          <w:sz w:val="22"/>
        </w:rPr>
      </w:pPr>
      <w:r>
        <w:rPr>
          <w:sz w:val="22"/>
        </w:rPr>
        <w:t>Código nº. 50116500-6 Servicios de reparació</w:t>
      </w:r>
      <w:r>
        <w:rPr>
          <w:sz w:val="22"/>
        </w:rPr>
        <w:t>n de neumáticos, incluidos los ajustes y equilibrado de ruedas.</w:t>
      </w:r>
    </w:p>
    <w:p w:rsidR="009E59D0" w:rsidRDefault="009E59D0">
      <w:pPr>
        <w:jc w:val="both"/>
        <w:rPr>
          <w:sz w:val="22"/>
        </w:rPr>
      </w:pPr>
    </w:p>
    <w:p w:rsidR="009E59D0" w:rsidRDefault="009E59D0">
      <w:pPr>
        <w:pStyle w:val="Ttol7"/>
      </w:pPr>
    </w:p>
    <w:p w:rsidR="009E59D0" w:rsidRDefault="00DC241A">
      <w:pPr>
        <w:pStyle w:val="Ttol7"/>
      </w:pPr>
      <w:r>
        <w:t>TERCERA.- Necesidad e idoneidad del contrato</w:t>
      </w:r>
    </w:p>
    <w:p w:rsidR="009E59D0" w:rsidRDefault="009E59D0">
      <w:pPr>
        <w:rPr>
          <w:sz w:val="22"/>
        </w:rPr>
      </w:pPr>
    </w:p>
    <w:p w:rsidR="009E59D0" w:rsidRDefault="00DC241A">
      <w:pPr>
        <w:pStyle w:val="Textoindependiente2"/>
        <w:rPr>
          <w:rFonts w:ascii="Arial" w:hAnsi="Arial" w:cs="Arial"/>
          <w:sz w:val="22"/>
          <w:lang w:val="ca-ES"/>
        </w:rPr>
      </w:pPr>
      <w:r>
        <w:rPr>
          <w:rFonts w:ascii="Arial" w:hAnsi="Arial" w:cs="Arial"/>
          <w:sz w:val="22"/>
          <w:lang w:val="ca-ES"/>
        </w:rPr>
        <w:t xml:space="preserve">Este contrato es necesario para el cumplimiento y realización de los fines institucionales de la empresa Eco-equip, SAM. A tal efecto, la </w:t>
      </w:r>
      <w:r>
        <w:rPr>
          <w:rFonts w:ascii="Arial" w:hAnsi="Arial" w:cs="Arial"/>
          <w:sz w:val="22"/>
          <w:lang w:val="ca-ES"/>
        </w:rPr>
        <w:t>naturaleza y extensión de las necesidades que pretenden cubrirse mediante este contrato, así como la idoneidad de su objeto y contenido para satisfacerlas, se concreta en la adquisición y tareas de montaje y reparación de neumáticos por los vehículos de la</w:t>
      </w:r>
      <w:r>
        <w:rPr>
          <w:rFonts w:ascii="Arial" w:hAnsi="Arial" w:cs="Arial"/>
          <w:sz w:val="22"/>
          <w:lang w:val="ca-ES"/>
        </w:rPr>
        <w:t xml:space="preserve"> flota de ECO-EQUIP, SAM.</w:t>
      </w:r>
      <w:bookmarkStart w:id="3" w:name="_Hlk200371630"/>
      <w:bookmarkStart w:id="4" w:name="_Hlk200380921"/>
    </w:p>
    <w:bookmarkEnd w:id="3"/>
    <w:bookmarkEnd w:id="4"/>
    <w:p w:rsidR="009E59D0" w:rsidRDefault="009E59D0">
      <w:pPr>
        <w:pStyle w:val="Textindependent21"/>
        <w:rPr>
          <w:b/>
          <w:sz w:val="22"/>
          <w:szCs w:val="22"/>
        </w:rPr>
      </w:pPr>
    </w:p>
    <w:p w:rsidR="009E59D0" w:rsidRDefault="009E59D0">
      <w:pPr>
        <w:jc w:val="both"/>
        <w:rPr>
          <w:b/>
          <w:sz w:val="22"/>
          <w:szCs w:val="22"/>
        </w:rPr>
      </w:pPr>
    </w:p>
    <w:p w:rsidR="009E59D0" w:rsidRDefault="00DC241A">
      <w:pPr>
        <w:jc w:val="both"/>
        <w:rPr>
          <w:b/>
          <w:sz w:val="22"/>
          <w:szCs w:val="22"/>
        </w:rPr>
      </w:pPr>
      <w:r>
        <w:rPr>
          <w:b/>
          <w:sz w:val="22"/>
          <w:szCs w:val="22"/>
        </w:rPr>
        <w:t>CUARTA.- Régimen jurídico</w:t>
      </w:r>
    </w:p>
    <w:p w:rsidR="009E59D0" w:rsidRDefault="009E59D0">
      <w:pPr>
        <w:jc w:val="both"/>
        <w:rPr>
          <w:b/>
          <w:sz w:val="22"/>
          <w:szCs w:val="22"/>
        </w:rPr>
      </w:pPr>
    </w:p>
    <w:p w:rsidR="009E59D0" w:rsidRDefault="00DC241A">
      <w:pPr>
        <w:pStyle w:val="Textsenseformat1"/>
        <w:jc w:val="both"/>
        <w:rPr>
          <w:rFonts w:ascii="Arial" w:hAnsi="Arial" w:cs="Arial"/>
          <w:sz w:val="22"/>
        </w:rPr>
      </w:pPr>
      <w:r>
        <w:rPr>
          <w:rFonts w:ascii="Arial" w:hAnsi="Arial" w:cs="Arial"/>
          <w:sz w:val="22"/>
        </w:rPr>
        <w:t>El contrato se tipifica de mixto, de suministro y servicios, según lo establecido en el artículo 18 de la LCSP, para la determinación de las normas que deben observarse en su adjudicación.</w:t>
      </w:r>
    </w:p>
    <w:p w:rsidR="009E59D0" w:rsidRDefault="009E59D0">
      <w:pPr>
        <w:pStyle w:val="Textsenseformat1"/>
        <w:jc w:val="both"/>
        <w:rPr>
          <w:rFonts w:ascii="Arial" w:hAnsi="Arial" w:cs="Arial"/>
          <w:sz w:val="22"/>
        </w:rPr>
      </w:pPr>
    </w:p>
    <w:p w:rsidR="009E59D0" w:rsidRDefault="00DC241A">
      <w:pPr>
        <w:pStyle w:val="Textsenseformat1"/>
        <w:jc w:val="both"/>
      </w:pPr>
      <w:r>
        <w:rPr>
          <w:rFonts w:ascii="Arial" w:hAnsi="Arial" w:cs="Arial"/>
          <w:sz w:val="22"/>
          <w:szCs w:val="22"/>
        </w:rPr>
        <w:t>El contrato</w:t>
      </w:r>
      <w:r>
        <w:rPr>
          <w:rFonts w:ascii="Arial" w:hAnsi="Arial" w:cs="Arial"/>
          <w:sz w:val="22"/>
          <w:szCs w:val="22"/>
        </w:rPr>
        <w:t xml:space="preserve"> se rige por este pliego de cláusulas administrativas particulares (PCAP); por la LCSP; en lo que no esté derogado por la Ley por el Reglamento general de la Ley de contratos de las administraciones públicas (RGLCAP); por el Decreto ley 3/2016, de 31 de ma</w:t>
      </w:r>
      <w:r>
        <w:rPr>
          <w:rFonts w:ascii="Arial" w:hAnsi="Arial" w:cs="Arial"/>
          <w:sz w:val="22"/>
          <w:szCs w:val="22"/>
        </w:rPr>
        <w:t>yo, de medidas urgentes en materia de contratación pública; por la Ley 16/2015, de 21 de julio, de simplificación de la actividad administrativa de la Administración de la Generalidad y de los gobiernos locales de Cataluña y de impulso de la actividad econ</w:t>
      </w:r>
      <w:r>
        <w:rPr>
          <w:rFonts w:ascii="Arial" w:hAnsi="Arial" w:cs="Arial"/>
          <w:sz w:val="22"/>
          <w:szCs w:val="22"/>
        </w:rPr>
        <w:t>ómica; por el Reglamento de obras, actividades y servicios de las corporaciones locales (ROAS), y demás normas de derecho administrativo, normativa sectorial y, supletoriamente, de derecho privado aplicables en su caso.</w:t>
      </w:r>
    </w:p>
    <w:p w:rsidR="009E59D0" w:rsidRDefault="009E59D0">
      <w:pPr>
        <w:widowControl w:val="0"/>
        <w:jc w:val="both"/>
        <w:rPr>
          <w:b/>
          <w:sz w:val="22"/>
          <w:szCs w:val="22"/>
        </w:rPr>
      </w:pPr>
    </w:p>
    <w:p w:rsidR="009E59D0" w:rsidRDefault="00DC241A">
      <w:pPr>
        <w:jc w:val="both"/>
      </w:pPr>
      <w:r>
        <w:rPr>
          <w:sz w:val="22"/>
          <w:szCs w:val="22"/>
        </w:rPr>
        <w:t>En caso de contradicción entre este</w:t>
      </w:r>
      <w:r>
        <w:rPr>
          <w:sz w:val="22"/>
          <w:szCs w:val="22"/>
        </w:rPr>
        <w:t xml:space="preserve"> pliego y la normativa vigente, se aplicará preferentemente la normativa vigente, que también suplirá las omisiones, carencias o deficiencias de este pliego.</w:t>
      </w:r>
    </w:p>
    <w:p w:rsidR="009E59D0" w:rsidRDefault="009E59D0">
      <w:pPr>
        <w:jc w:val="both"/>
        <w:rPr>
          <w:sz w:val="22"/>
          <w:szCs w:val="22"/>
          <w:lang w:val="es-ES"/>
        </w:rPr>
      </w:pPr>
    </w:p>
    <w:p w:rsidR="009E59D0" w:rsidRDefault="00DC241A">
      <w:pPr>
        <w:widowControl w:val="0"/>
        <w:jc w:val="both"/>
        <w:rPr>
          <w:sz w:val="22"/>
          <w:szCs w:val="22"/>
        </w:rPr>
      </w:pPr>
      <w:r>
        <w:rPr>
          <w:sz w:val="22"/>
          <w:szCs w:val="22"/>
        </w:rPr>
        <w:t>El contenido del pliego de prescripciones técnicas (PPT) forma parte del PCAP. En caso de que exi</w:t>
      </w:r>
      <w:r>
        <w:rPr>
          <w:sz w:val="22"/>
          <w:szCs w:val="22"/>
        </w:rPr>
        <w:t>stan contradicciones entre las cláusulas del PPT y del PCAP, prevalecerá lo que disponga este último.</w:t>
      </w:r>
    </w:p>
    <w:p w:rsidR="009E59D0" w:rsidRDefault="009E59D0">
      <w:pPr>
        <w:widowControl w:val="0"/>
        <w:jc w:val="both"/>
        <w:rPr>
          <w:sz w:val="22"/>
          <w:szCs w:val="22"/>
        </w:rPr>
      </w:pPr>
    </w:p>
    <w:p w:rsidR="009E59D0" w:rsidRDefault="00DC241A">
      <w:pPr>
        <w:widowControl w:val="0"/>
        <w:jc w:val="both"/>
      </w:pPr>
      <w:r>
        <w:rPr>
          <w:rFonts w:eastAsia="MS Mincho;ＭＳ 明朝"/>
          <w:sz w:val="22"/>
          <w:szCs w:val="22"/>
          <w:lang w:eastAsia="ja-JP"/>
        </w:rPr>
        <w:t>De conformidad con lo que establecen los artículos 19 y 22.1b de la LCSP, el contrato está sujeto a regulación armonizada.</w:t>
      </w:r>
    </w:p>
    <w:p w:rsidR="009E59D0" w:rsidRDefault="009E59D0">
      <w:pPr>
        <w:widowControl w:val="0"/>
        <w:jc w:val="both"/>
        <w:rPr>
          <w:rFonts w:eastAsia="MS Mincho;ＭＳ 明朝"/>
          <w:sz w:val="22"/>
          <w:szCs w:val="22"/>
          <w:lang w:eastAsia="ja-JP"/>
        </w:rPr>
      </w:pPr>
    </w:p>
    <w:p w:rsidR="009E59D0" w:rsidRDefault="00DC241A">
      <w:pPr>
        <w:widowControl w:val="0"/>
        <w:jc w:val="both"/>
        <w:rPr>
          <w:color w:val="000000"/>
          <w:sz w:val="22"/>
          <w:szCs w:val="22"/>
          <w:lang w:eastAsia="es-ES"/>
        </w:rPr>
      </w:pPr>
      <w:r>
        <w:rPr>
          <w:color w:val="000000"/>
          <w:sz w:val="22"/>
          <w:szCs w:val="22"/>
          <w:lang w:eastAsia="es-ES"/>
        </w:rPr>
        <w:t xml:space="preserve">La normativa identificada en el PCAP y en el PPT es la que viene vigente en todo caso, de modo que en caso de modificación, sustitución y/o derogación, deberá entenderse que ha sido modificada, sustituida y/o derogada respectivamente por la norma concreta </w:t>
      </w:r>
      <w:r>
        <w:rPr>
          <w:color w:val="000000"/>
          <w:sz w:val="22"/>
          <w:szCs w:val="22"/>
          <w:lang w:eastAsia="es-ES"/>
        </w:rPr>
        <w:t>correspondiente.</w:t>
      </w:r>
    </w:p>
    <w:p w:rsidR="009E59D0" w:rsidRDefault="009E59D0">
      <w:pPr>
        <w:widowControl w:val="0"/>
        <w:jc w:val="both"/>
        <w:rPr>
          <w:sz w:val="22"/>
          <w:szCs w:val="22"/>
        </w:rPr>
      </w:pPr>
    </w:p>
    <w:p w:rsidR="009E59D0" w:rsidRDefault="009E59D0">
      <w:pPr>
        <w:pStyle w:val="Ttol7"/>
        <w:rPr>
          <w:szCs w:val="22"/>
        </w:rPr>
      </w:pPr>
    </w:p>
    <w:p w:rsidR="009E59D0" w:rsidRDefault="00DC241A">
      <w:pPr>
        <w:pStyle w:val="Ttol7"/>
      </w:pPr>
      <w:r>
        <w:t>QUINTA.- El órgano de contratación</w:t>
      </w:r>
    </w:p>
    <w:p w:rsidR="009E59D0" w:rsidRDefault="009E59D0">
      <w:pPr>
        <w:jc w:val="both"/>
        <w:rPr>
          <w:sz w:val="22"/>
        </w:rPr>
      </w:pPr>
    </w:p>
    <w:p w:rsidR="009E59D0" w:rsidRDefault="00DC241A">
      <w:pPr>
        <w:jc w:val="both"/>
      </w:pPr>
      <w:r>
        <w:rPr>
          <w:sz w:val="22"/>
          <w:lang w:val="af-ZA"/>
        </w:rPr>
        <w:t>El órgano de contratación será la Consejera Delegada de Eco-equip, SAM.</w:t>
      </w:r>
    </w:p>
    <w:p w:rsidR="009E59D0" w:rsidRDefault="009E59D0">
      <w:pPr>
        <w:jc w:val="both"/>
        <w:rPr>
          <w:sz w:val="22"/>
        </w:rPr>
      </w:pPr>
    </w:p>
    <w:p w:rsidR="009E59D0" w:rsidRDefault="009E59D0">
      <w:pPr>
        <w:jc w:val="both"/>
        <w:rPr>
          <w:sz w:val="22"/>
        </w:rPr>
      </w:pPr>
    </w:p>
    <w:p w:rsidR="009E59D0" w:rsidRDefault="00DC241A">
      <w:pPr>
        <w:jc w:val="both"/>
        <w:rPr>
          <w:b/>
          <w:sz w:val="22"/>
        </w:rPr>
      </w:pPr>
      <w:r>
        <w:rPr>
          <w:b/>
          <w:sz w:val="22"/>
        </w:rPr>
        <w:t>SEXTA.- Responsable del contrato</w:t>
      </w:r>
    </w:p>
    <w:p w:rsidR="009E59D0" w:rsidRDefault="009E59D0">
      <w:pPr>
        <w:jc w:val="both"/>
        <w:rPr>
          <w:b/>
          <w:sz w:val="22"/>
        </w:rPr>
      </w:pPr>
    </w:p>
    <w:p w:rsidR="009E59D0" w:rsidRDefault="00DC241A">
      <w:pPr>
        <w:jc w:val="both"/>
        <w:rPr>
          <w:sz w:val="22"/>
        </w:rPr>
      </w:pPr>
      <w:r>
        <w:rPr>
          <w:sz w:val="22"/>
        </w:rPr>
        <w:t>La responsable del contrato a que se refiere el artículo 62 de la LCSP es la gerenta de la em</w:t>
      </w:r>
      <w:r>
        <w:rPr>
          <w:sz w:val="22"/>
        </w:rPr>
        <w:t>presa municipal Eco-equip, SAM al que corresponderá supervisar su ejecución y adoptar las decisiones y dictar las instrucciones necesarias con el fin de asegurar que la prestación pactada se realiza correctamente.</w:t>
      </w:r>
    </w:p>
    <w:p w:rsidR="009E59D0" w:rsidRDefault="009E59D0">
      <w:pPr>
        <w:jc w:val="both"/>
        <w:rPr>
          <w:sz w:val="22"/>
        </w:rPr>
      </w:pPr>
    </w:p>
    <w:p w:rsidR="009E59D0" w:rsidRDefault="009E59D0">
      <w:pPr>
        <w:jc w:val="both"/>
        <w:rPr>
          <w:sz w:val="22"/>
        </w:rPr>
      </w:pPr>
    </w:p>
    <w:p w:rsidR="009E59D0" w:rsidRDefault="00DC241A">
      <w:pPr>
        <w:pStyle w:val="Ttol7"/>
      </w:pPr>
      <w:r>
        <w:t>SÉPTIMA.- Perfil de contratante</w:t>
      </w:r>
    </w:p>
    <w:p w:rsidR="009E59D0" w:rsidRDefault="009E59D0">
      <w:pPr>
        <w:jc w:val="both"/>
        <w:rPr>
          <w:b/>
          <w:sz w:val="22"/>
        </w:rPr>
      </w:pPr>
    </w:p>
    <w:p w:rsidR="009E59D0" w:rsidRDefault="00DC241A">
      <w:pPr>
        <w:widowControl w:val="0"/>
        <w:jc w:val="both"/>
        <w:rPr>
          <w:sz w:val="22"/>
        </w:rPr>
      </w:pPr>
      <w:r>
        <w:rPr>
          <w:sz w:val="22"/>
        </w:rPr>
        <w:t xml:space="preserve">La </w:t>
      </w:r>
      <w:r>
        <w:rPr>
          <w:sz w:val="22"/>
        </w:rPr>
        <w:t>forma de acceso público al perfil del contratante de Eco-equip SAM es a través de la Plataforma de Servicios de Contratación Pública (PSCP) en el siguiente enlace :</w:t>
      </w:r>
    </w:p>
    <w:p w:rsidR="009E59D0" w:rsidRDefault="00DC241A">
      <w:pPr>
        <w:jc w:val="both"/>
        <w:rPr>
          <w:sz w:val="22"/>
        </w:rPr>
      </w:pPr>
      <w:r>
        <w:rPr>
          <w:rFonts w:eastAsia="Arial"/>
          <w:sz w:val="22"/>
        </w:rPr>
        <w:t xml:space="preserve"> </w:t>
      </w:r>
      <w:hyperlink r:id="rId7">
        <w:r>
          <w:rPr>
            <w:rStyle w:val="Enlla"/>
            <w:sz w:val="22"/>
          </w:rPr>
          <w:t>https://contractaciopublica.gencat.cat/ecofin_pscp/AppJava/cap.pscp?reqCode=viewDetail&amp;keyword=eco-equip&amp;idCap=11534561&amp;ambit</w:t>
        </w:r>
      </w:hyperlink>
    </w:p>
    <w:p w:rsidR="009E59D0" w:rsidRDefault="009E59D0">
      <w:pPr>
        <w:jc w:val="both"/>
        <w:rPr>
          <w:sz w:val="22"/>
        </w:rPr>
      </w:pPr>
    </w:p>
    <w:p w:rsidR="009E59D0" w:rsidRDefault="00DC241A">
      <w:pPr>
        <w:jc w:val="both"/>
      </w:pPr>
      <w:r>
        <w:rPr>
          <w:rStyle w:val="hps"/>
          <w:color w:val="000000"/>
          <w:sz w:val="22"/>
          <w:szCs w:val="22"/>
          <w:lang w:val="af-ZA"/>
        </w:rPr>
        <w:t xml:space="preserve">A través del perfil de contratante el órgano de contratación facilitará a </w:t>
      </w:r>
      <w:r>
        <w:rPr>
          <w:rStyle w:val="hps"/>
          <w:color w:val="000000"/>
          <w:sz w:val="22"/>
          <w:szCs w:val="22"/>
          <w:lang w:val="af-ZA"/>
        </w:rPr>
        <w:t>todos los interesados en el procedimiento de licitación, a más tardar 6 días antes de que finalice el plazo fijado para la presentación de ofertas, la información adicional sobre los pliegos y otra documentación complementaria que éstos soliciten, a condic</w:t>
      </w:r>
      <w:r>
        <w:rPr>
          <w:rStyle w:val="hps"/>
          <w:color w:val="000000"/>
          <w:sz w:val="22"/>
          <w:szCs w:val="22"/>
          <w:lang w:val="af-ZA"/>
        </w:rPr>
        <w:t>ión de que lo hayan solicitado al menos 12 días antes del transcurso del plazo de presentación de las proposiciones</w:t>
      </w:r>
      <w:r>
        <w:rPr>
          <w:rStyle w:val="hps"/>
          <w:sz w:val="22"/>
          <w:szCs w:val="22"/>
          <w:lang w:val="af-ZA"/>
        </w:rPr>
        <w:t>.</w:t>
      </w:r>
    </w:p>
    <w:p w:rsidR="009E59D0" w:rsidRDefault="009E59D0">
      <w:pPr>
        <w:jc w:val="both"/>
        <w:rPr>
          <w:sz w:val="22"/>
          <w:szCs w:val="22"/>
        </w:rPr>
      </w:pPr>
    </w:p>
    <w:p w:rsidR="009E59D0" w:rsidRDefault="009E59D0">
      <w:pPr>
        <w:jc w:val="both"/>
        <w:rPr>
          <w:sz w:val="22"/>
          <w:szCs w:val="22"/>
        </w:rPr>
      </w:pPr>
    </w:p>
    <w:p w:rsidR="009E59D0" w:rsidRDefault="00DC241A">
      <w:pPr>
        <w:jc w:val="both"/>
      </w:pPr>
      <w:r>
        <w:rPr>
          <w:b/>
          <w:sz w:val="22"/>
        </w:rPr>
        <w:t>OCTAVA.-</w:t>
      </w:r>
      <w:r>
        <w:rPr>
          <w:sz w:val="22"/>
        </w:rPr>
        <w:t>Presupuesto base de licitación y valor estimado del contrato.</w:t>
      </w:r>
    </w:p>
    <w:p w:rsidR="009E59D0" w:rsidRDefault="009E59D0">
      <w:pPr>
        <w:jc w:val="both"/>
        <w:rPr>
          <w:b/>
          <w:sz w:val="22"/>
        </w:rPr>
      </w:pPr>
    </w:p>
    <w:p w:rsidR="009E59D0" w:rsidRDefault="00DC241A">
      <w:pPr>
        <w:jc w:val="both"/>
      </w:pPr>
      <w:r>
        <w:rPr>
          <w:rStyle w:val="Lletraperdefectedelpargraf2"/>
          <w:bCs/>
          <w:sz w:val="22"/>
          <w:szCs w:val="22"/>
        </w:rPr>
        <w:t>El presupuesto base de licitación, calculado en base a su duración</w:t>
      </w:r>
      <w:r>
        <w:rPr>
          <w:rStyle w:val="Lletraperdefectedelpargraf2"/>
          <w:bCs/>
          <w:sz w:val="22"/>
          <w:szCs w:val="22"/>
        </w:rPr>
        <w:t xml:space="preserve"> inicial de dos años, es de trescientos diez mil ciento noventa y dos euros (310.192 €), IVA excluido.</w:t>
      </w:r>
      <w:r>
        <w:rPr>
          <w:bCs/>
          <w:sz w:val="22"/>
          <w:szCs w:val="22"/>
        </w:rPr>
        <w:t xml:space="preserve">Este cálculo está estimado en función de los consumos históricos de ECO-EQUIP, SAM de los neumáticos y los distintos servicios de reparación incluidos en </w:t>
      </w:r>
      <w:r>
        <w:rPr>
          <w:bCs/>
          <w:sz w:val="22"/>
          <w:szCs w:val="22"/>
        </w:rPr>
        <w:t>estos pliegos.</w:t>
      </w:r>
    </w:p>
    <w:p w:rsidR="009E59D0" w:rsidRDefault="009E59D0">
      <w:pPr>
        <w:jc w:val="both"/>
        <w:rPr>
          <w:bCs/>
          <w:sz w:val="22"/>
          <w:szCs w:val="22"/>
        </w:rPr>
      </w:pPr>
    </w:p>
    <w:p w:rsidR="009E59D0" w:rsidRDefault="00DC241A">
      <w:pPr>
        <w:autoSpaceDE w:val="0"/>
        <w:jc w:val="both"/>
      </w:pPr>
      <w:r>
        <w:rPr>
          <w:sz w:val="22"/>
          <w:szCs w:val="22"/>
        </w:rPr>
        <w:t>El precio del contrato se formula en términos de precios unitarios referidos a los distintos componentes de la prestación oa las unidades de la prestación que se entreguen o los servicios que se presten. La cuantía total del contrato no se define con exact</w:t>
      </w:r>
      <w:r>
        <w:rPr>
          <w:sz w:val="22"/>
          <w:szCs w:val="22"/>
        </w:rPr>
        <w:t>itud, pues las entregas y servicios estarán subordinados a las necesidades de ECO-EQUIP, SAM.</w:t>
      </w:r>
    </w:p>
    <w:p w:rsidR="009E59D0" w:rsidRDefault="009E59D0">
      <w:pPr>
        <w:jc w:val="both"/>
        <w:rPr>
          <w:sz w:val="22"/>
          <w:szCs w:val="22"/>
        </w:rPr>
      </w:pPr>
    </w:p>
    <w:p w:rsidR="009E59D0" w:rsidRDefault="00DC241A">
      <w:pPr>
        <w:jc w:val="both"/>
      </w:pPr>
      <w:r>
        <w:rPr>
          <w:sz w:val="22"/>
          <w:szCs w:val="22"/>
          <w:lang w:bidi="en-US"/>
        </w:rPr>
        <w:t>De acuerdo con lo establecido en la LCSP, se prevé expresamente la posibilidad de que pueda modificarse el contrato como consecuencia de mayores necesidades deri</w:t>
      </w:r>
      <w:r>
        <w:rPr>
          <w:sz w:val="22"/>
          <w:szCs w:val="22"/>
          <w:lang w:bidi="en-US"/>
        </w:rPr>
        <w:t xml:space="preserve">vadas del incremento de la flota de vehículos y/o el incremento del kilometraje motivado por un cambio en la logística </w:t>
      </w:r>
      <w:r>
        <w:rPr>
          <w:sz w:val="22"/>
          <w:szCs w:val="22"/>
          <w:lang w:bidi="en-US"/>
        </w:rPr>
        <w:lastRenderedPageBreak/>
        <w:t xml:space="preserve">del servicio o del establecimiento de nuevas normativas que modifiquen los requisitos legalmente exigibles, con un incremento máximo del </w:t>
      </w:r>
      <w:r>
        <w:rPr>
          <w:sz w:val="22"/>
          <w:szCs w:val="22"/>
          <w:lang w:bidi="en-US"/>
        </w:rPr>
        <w:t>2.</w:t>
      </w:r>
    </w:p>
    <w:p w:rsidR="009E59D0" w:rsidRDefault="00DC241A">
      <w:pPr>
        <w:jc w:val="both"/>
      </w:pPr>
      <w:r>
        <w:rPr>
          <w:sz w:val="22"/>
          <w:szCs w:val="22"/>
        </w:rPr>
        <w:t>El valor estimado del contrato, a efectos de determinar el procedimiento de adjudicación, la publicidad y la competencia del órgano de contratación, de acuerdo con lo que establece el artículo 101 de la LCSP, calculando su duración inicial, las prórroga</w:t>
      </w:r>
      <w:r>
        <w:rPr>
          <w:sz w:val="22"/>
          <w:szCs w:val="22"/>
        </w:rPr>
        <w:t>s eventuales del contrato y las modificaciones previstas es de quinientos cincuenta y ocho mil trescientos y cinco mil trescientos cuatro. el IVA.</w:t>
      </w:r>
    </w:p>
    <w:p w:rsidR="009E59D0" w:rsidRDefault="009E59D0">
      <w:pPr>
        <w:pStyle w:val="Default"/>
        <w:jc w:val="both"/>
        <w:rPr>
          <w:sz w:val="22"/>
          <w:szCs w:val="22"/>
          <w:lang w:val="ca-ES"/>
        </w:rPr>
      </w:pPr>
    </w:p>
    <w:tbl>
      <w:tblPr>
        <w:tblW w:w="9080" w:type="dxa"/>
        <w:tblInd w:w="-2" w:type="dxa"/>
        <w:tblLayout w:type="fixed"/>
        <w:tblCellMar>
          <w:top w:w="55" w:type="dxa"/>
          <w:left w:w="55" w:type="dxa"/>
          <w:bottom w:w="55" w:type="dxa"/>
          <w:right w:w="55" w:type="dxa"/>
        </w:tblCellMar>
        <w:tblLook w:val="0000" w:firstRow="0" w:lastRow="0" w:firstColumn="0" w:lastColumn="0" w:noHBand="0" w:noVBand="0"/>
      </w:tblPr>
      <w:tblGrid>
        <w:gridCol w:w="1695"/>
        <w:gridCol w:w="1933"/>
        <w:gridCol w:w="1630"/>
        <w:gridCol w:w="1629"/>
        <w:gridCol w:w="2193"/>
      </w:tblGrid>
      <w:tr w:rsidR="009E59D0">
        <w:tc>
          <w:tcPr>
            <w:tcW w:w="1695" w:type="dxa"/>
            <w:tcBorders>
              <w:top w:val="single" w:sz="2" w:space="0" w:color="000000"/>
              <w:left w:val="single" w:sz="2" w:space="0" w:color="000000"/>
              <w:bottom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Presupuesto máximo</w:t>
            </w:r>
          </w:p>
        </w:tc>
        <w:tc>
          <w:tcPr>
            <w:tcW w:w="1933" w:type="dxa"/>
            <w:tcBorders>
              <w:top w:val="single" w:sz="2" w:space="0" w:color="000000"/>
              <w:left w:val="single" w:sz="2" w:space="0" w:color="000000"/>
              <w:bottom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Eventuales prórrogas</w:t>
            </w:r>
          </w:p>
        </w:tc>
        <w:tc>
          <w:tcPr>
            <w:tcW w:w="3259" w:type="dxa"/>
            <w:gridSpan w:val="2"/>
            <w:tcBorders>
              <w:top w:val="single" w:sz="2" w:space="0" w:color="000000"/>
              <w:left w:val="single" w:sz="2" w:space="0" w:color="000000"/>
              <w:bottom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Eventuales incrementos</w:t>
            </w:r>
          </w:p>
        </w:tc>
        <w:tc>
          <w:tcPr>
            <w:tcW w:w="2193" w:type="dxa"/>
            <w:tcBorders>
              <w:top w:val="single" w:sz="2" w:space="0" w:color="000000"/>
              <w:left w:val="single" w:sz="2" w:space="0" w:color="000000"/>
              <w:bottom w:val="single" w:sz="2" w:space="0" w:color="000000"/>
              <w:right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Importe total estimado</w:t>
            </w:r>
          </w:p>
        </w:tc>
      </w:tr>
      <w:tr w:rsidR="009E59D0">
        <w:tc>
          <w:tcPr>
            <w:tcW w:w="1695" w:type="dxa"/>
            <w:vMerge w:val="restart"/>
            <w:tcBorders>
              <w:left w:val="single" w:sz="2" w:space="0" w:color="000000"/>
              <w:bottom w:val="single" w:sz="2" w:space="0" w:color="000000"/>
            </w:tcBorders>
          </w:tcPr>
          <w:p w:rsidR="009E59D0" w:rsidRDefault="009E59D0">
            <w:pPr>
              <w:pStyle w:val="Contenidodelatabla"/>
              <w:widowControl w:val="0"/>
              <w:snapToGrid w:val="0"/>
              <w:jc w:val="center"/>
              <w:rPr>
                <w:sz w:val="22"/>
                <w:szCs w:val="22"/>
              </w:rPr>
            </w:pPr>
          </w:p>
          <w:p w:rsidR="009E59D0" w:rsidRDefault="009E59D0">
            <w:pPr>
              <w:pStyle w:val="Contenidodelatabla"/>
              <w:widowControl w:val="0"/>
              <w:jc w:val="center"/>
              <w:rPr>
                <w:sz w:val="22"/>
                <w:szCs w:val="22"/>
              </w:rPr>
            </w:pPr>
          </w:p>
          <w:p w:rsidR="009E59D0" w:rsidRDefault="00DC241A">
            <w:pPr>
              <w:pStyle w:val="Contenidodelatabla"/>
              <w:widowControl w:val="0"/>
              <w:jc w:val="center"/>
              <w:rPr>
                <w:sz w:val="22"/>
                <w:szCs w:val="22"/>
              </w:rPr>
            </w:pPr>
            <w:r>
              <w:rPr>
                <w:sz w:val="22"/>
                <w:szCs w:val="22"/>
              </w:rPr>
              <w:t>310.192 €</w:t>
            </w:r>
          </w:p>
        </w:tc>
        <w:tc>
          <w:tcPr>
            <w:tcW w:w="1933" w:type="dxa"/>
            <w:vMerge w:val="restart"/>
            <w:tcBorders>
              <w:left w:val="single" w:sz="2" w:space="0" w:color="000000"/>
              <w:bottom w:val="single" w:sz="2" w:space="0" w:color="000000"/>
            </w:tcBorders>
          </w:tcPr>
          <w:p w:rsidR="009E59D0" w:rsidRDefault="009E59D0">
            <w:pPr>
              <w:pStyle w:val="Contenidodelatabla"/>
              <w:widowControl w:val="0"/>
              <w:snapToGrid w:val="0"/>
              <w:jc w:val="center"/>
              <w:rPr>
                <w:sz w:val="22"/>
                <w:szCs w:val="22"/>
              </w:rPr>
            </w:pPr>
          </w:p>
          <w:p w:rsidR="009E59D0" w:rsidRDefault="009E59D0">
            <w:pPr>
              <w:pStyle w:val="Contenidodelatabla"/>
              <w:widowControl w:val="0"/>
              <w:jc w:val="center"/>
              <w:rPr>
                <w:sz w:val="22"/>
                <w:szCs w:val="22"/>
              </w:rPr>
            </w:pPr>
          </w:p>
          <w:p w:rsidR="009E59D0" w:rsidRDefault="00DC241A">
            <w:pPr>
              <w:pStyle w:val="Contenidodelatabla"/>
              <w:widowControl w:val="0"/>
              <w:jc w:val="center"/>
              <w:rPr>
                <w:sz w:val="22"/>
                <w:szCs w:val="22"/>
              </w:rPr>
            </w:pPr>
            <w:r>
              <w:rPr>
                <w:sz w:val="22"/>
                <w:szCs w:val="22"/>
              </w:rPr>
              <w:t>155.096</w:t>
            </w:r>
            <w:r>
              <w:rPr>
                <w:sz w:val="22"/>
                <w:szCs w:val="22"/>
              </w:rPr>
              <w:t xml:space="preserve"> €</w:t>
            </w:r>
          </w:p>
        </w:tc>
        <w:tc>
          <w:tcPr>
            <w:tcW w:w="1630" w:type="dxa"/>
            <w:tcBorders>
              <w:left w:val="single" w:sz="2" w:space="0" w:color="000000"/>
              <w:bottom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Duración inicial</w:t>
            </w:r>
          </w:p>
        </w:tc>
        <w:tc>
          <w:tcPr>
            <w:tcW w:w="1629" w:type="dxa"/>
            <w:tcBorders>
              <w:left w:val="single" w:sz="2" w:space="0" w:color="000000"/>
              <w:bottom w:val="single" w:sz="2" w:space="0" w:color="000000"/>
            </w:tcBorders>
            <w:shd w:val="clear" w:color="auto" w:fill="B2B2B2"/>
          </w:tcPr>
          <w:p w:rsidR="009E59D0" w:rsidRDefault="00DC241A">
            <w:pPr>
              <w:pStyle w:val="Contenidodelatabla"/>
              <w:widowControl w:val="0"/>
              <w:jc w:val="center"/>
              <w:rPr>
                <w:b/>
                <w:bCs/>
                <w:sz w:val="22"/>
                <w:szCs w:val="22"/>
              </w:rPr>
            </w:pPr>
            <w:r>
              <w:rPr>
                <w:b/>
                <w:bCs/>
                <w:sz w:val="22"/>
                <w:szCs w:val="22"/>
              </w:rPr>
              <w:t>Eventual prórroga</w:t>
            </w:r>
          </w:p>
        </w:tc>
        <w:tc>
          <w:tcPr>
            <w:tcW w:w="2193" w:type="dxa"/>
            <w:vMerge w:val="restart"/>
            <w:tcBorders>
              <w:left w:val="single" w:sz="2" w:space="0" w:color="000000"/>
              <w:bottom w:val="single" w:sz="2" w:space="0" w:color="000000"/>
              <w:right w:val="single" w:sz="2" w:space="0" w:color="000000"/>
            </w:tcBorders>
          </w:tcPr>
          <w:p w:rsidR="009E59D0" w:rsidRDefault="009E59D0">
            <w:pPr>
              <w:pStyle w:val="Contenidodelatabla"/>
              <w:widowControl w:val="0"/>
              <w:snapToGrid w:val="0"/>
              <w:jc w:val="center"/>
              <w:rPr>
                <w:sz w:val="22"/>
                <w:szCs w:val="22"/>
              </w:rPr>
            </w:pPr>
          </w:p>
          <w:p w:rsidR="009E59D0" w:rsidRDefault="009E59D0">
            <w:pPr>
              <w:pStyle w:val="Contenidodelatabla"/>
              <w:widowControl w:val="0"/>
              <w:jc w:val="center"/>
              <w:rPr>
                <w:sz w:val="22"/>
                <w:szCs w:val="22"/>
              </w:rPr>
            </w:pPr>
          </w:p>
          <w:p w:rsidR="009E59D0" w:rsidRDefault="00DC241A">
            <w:pPr>
              <w:pStyle w:val="Contenidodelatabla"/>
              <w:widowControl w:val="0"/>
              <w:jc w:val="center"/>
              <w:rPr>
                <w:sz w:val="22"/>
                <w:szCs w:val="22"/>
              </w:rPr>
            </w:pPr>
            <w:r>
              <w:rPr>
                <w:sz w:val="22"/>
                <w:szCs w:val="22"/>
              </w:rPr>
              <w:t>558.346 €</w:t>
            </w:r>
          </w:p>
        </w:tc>
      </w:tr>
      <w:tr w:rsidR="009E59D0">
        <w:trPr>
          <w:trHeight w:val="581"/>
        </w:trPr>
        <w:tc>
          <w:tcPr>
            <w:tcW w:w="1695" w:type="dxa"/>
            <w:vMerge/>
            <w:tcBorders>
              <w:left w:val="single" w:sz="2" w:space="0" w:color="000000"/>
              <w:bottom w:val="single" w:sz="2" w:space="0" w:color="000000"/>
            </w:tcBorders>
          </w:tcPr>
          <w:p w:rsidR="009E59D0" w:rsidRDefault="009E59D0">
            <w:pPr>
              <w:snapToGrid w:val="0"/>
            </w:pPr>
          </w:p>
        </w:tc>
        <w:tc>
          <w:tcPr>
            <w:tcW w:w="1933" w:type="dxa"/>
            <w:vMerge/>
            <w:tcBorders>
              <w:left w:val="single" w:sz="2" w:space="0" w:color="000000"/>
              <w:bottom w:val="single" w:sz="2" w:space="0" w:color="000000"/>
            </w:tcBorders>
          </w:tcPr>
          <w:p w:rsidR="009E59D0" w:rsidRDefault="009E59D0">
            <w:pPr>
              <w:snapToGrid w:val="0"/>
            </w:pPr>
          </w:p>
        </w:tc>
        <w:tc>
          <w:tcPr>
            <w:tcW w:w="1630" w:type="dxa"/>
            <w:tcBorders>
              <w:left w:val="single" w:sz="2" w:space="0" w:color="000000"/>
              <w:bottom w:val="single" w:sz="2" w:space="0" w:color="000000"/>
            </w:tcBorders>
          </w:tcPr>
          <w:p w:rsidR="009E59D0" w:rsidRDefault="00DC241A">
            <w:pPr>
              <w:pStyle w:val="Contenidodelatabla"/>
              <w:widowControl w:val="0"/>
              <w:jc w:val="center"/>
            </w:pPr>
            <w:r>
              <w:t>62.038 €</w:t>
            </w:r>
          </w:p>
        </w:tc>
        <w:tc>
          <w:tcPr>
            <w:tcW w:w="1629" w:type="dxa"/>
            <w:tcBorders>
              <w:left w:val="single" w:sz="2" w:space="0" w:color="000000"/>
              <w:bottom w:val="single" w:sz="2" w:space="0" w:color="000000"/>
            </w:tcBorders>
          </w:tcPr>
          <w:p w:rsidR="009E59D0" w:rsidRDefault="00DC241A">
            <w:pPr>
              <w:pStyle w:val="Contenidodelatabla"/>
              <w:widowControl w:val="0"/>
              <w:jc w:val="center"/>
            </w:pPr>
            <w:r>
              <w:t>31.019 €</w:t>
            </w:r>
          </w:p>
        </w:tc>
        <w:tc>
          <w:tcPr>
            <w:tcW w:w="2193" w:type="dxa"/>
            <w:vMerge/>
            <w:tcBorders>
              <w:left w:val="single" w:sz="2" w:space="0" w:color="000000"/>
              <w:bottom w:val="single" w:sz="2" w:space="0" w:color="000000"/>
              <w:right w:val="single" w:sz="2" w:space="0" w:color="000000"/>
            </w:tcBorders>
          </w:tcPr>
          <w:p w:rsidR="009E59D0" w:rsidRDefault="009E59D0">
            <w:pPr>
              <w:snapToGrid w:val="0"/>
            </w:pPr>
          </w:p>
        </w:tc>
      </w:tr>
    </w:tbl>
    <w:p w:rsidR="009E59D0" w:rsidRDefault="009E59D0">
      <w:pPr>
        <w:pStyle w:val="Default"/>
        <w:jc w:val="both"/>
        <w:rPr>
          <w:sz w:val="22"/>
          <w:szCs w:val="22"/>
          <w:lang w:val="ca-ES"/>
        </w:rPr>
      </w:pPr>
      <w:bookmarkStart w:id="5" w:name="_Hlk100679678"/>
      <w:bookmarkEnd w:id="5"/>
    </w:p>
    <w:p w:rsidR="009E59D0" w:rsidRDefault="00DC241A">
      <w:pPr>
        <w:jc w:val="both"/>
        <w:rPr>
          <w:sz w:val="22"/>
        </w:rPr>
      </w:pPr>
      <w:bookmarkStart w:id="6" w:name="_Hlk200366708"/>
      <w:bookmarkEnd w:id="6"/>
      <w:r>
        <w:rPr>
          <w:sz w:val="22"/>
        </w:rPr>
        <w:t>El precio de los neumáticos y servicios de reparación se formulan en términos de precios unitarios referidos a las unidades de la prestación que se ejecuten.</w:t>
      </w:r>
    </w:p>
    <w:p w:rsidR="009E59D0" w:rsidRDefault="009E59D0">
      <w:pPr>
        <w:jc w:val="both"/>
        <w:rPr>
          <w:sz w:val="22"/>
        </w:rPr>
      </w:pPr>
    </w:p>
    <w:p w:rsidR="009E59D0" w:rsidRDefault="009E59D0">
      <w:pPr>
        <w:pStyle w:val="Default"/>
        <w:jc w:val="both"/>
        <w:rPr>
          <w:sz w:val="22"/>
          <w:lang w:val="ca-ES"/>
        </w:rPr>
      </w:pPr>
      <w:bookmarkStart w:id="7" w:name="_Hlk179361787"/>
      <w:bookmarkEnd w:id="7"/>
    </w:p>
    <w:p w:rsidR="009E59D0" w:rsidRDefault="00DC241A">
      <w:pPr>
        <w:jc w:val="both"/>
      </w:pPr>
      <w:r>
        <w:rPr>
          <w:b/>
          <w:sz w:val="22"/>
        </w:rPr>
        <w:t>NOVENA.-</w:t>
      </w:r>
      <w:r>
        <w:rPr>
          <w:sz w:val="22"/>
        </w:rPr>
        <w:t>Financiación y consignación presupuestaria</w:t>
      </w:r>
    </w:p>
    <w:p w:rsidR="009E59D0" w:rsidRDefault="009E59D0">
      <w:pPr>
        <w:jc w:val="both"/>
        <w:rPr>
          <w:sz w:val="22"/>
        </w:rPr>
      </w:pPr>
    </w:p>
    <w:p w:rsidR="009E59D0" w:rsidRDefault="00DC241A">
      <w:pPr>
        <w:jc w:val="both"/>
        <w:rPr>
          <w:color w:val="000000"/>
          <w:sz w:val="22"/>
        </w:rPr>
      </w:pPr>
      <w:r>
        <w:rPr>
          <w:color w:val="000000"/>
          <w:sz w:val="22"/>
        </w:rPr>
        <w:t>La financiación de las obligaciones económicas derivadas del cumplimiento del contrato se realizará con cargo al presupuesto de Eco-equip, SAM de cada uno de los ejercicios.</w:t>
      </w:r>
    </w:p>
    <w:p w:rsidR="009E59D0" w:rsidRDefault="009E59D0">
      <w:pPr>
        <w:jc w:val="both"/>
        <w:rPr>
          <w:b/>
          <w:color w:val="000000"/>
          <w:sz w:val="22"/>
        </w:rPr>
      </w:pPr>
    </w:p>
    <w:p w:rsidR="009E59D0" w:rsidRDefault="009E59D0">
      <w:pPr>
        <w:jc w:val="both"/>
        <w:rPr>
          <w:b/>
          <w:color w:val="000000"/>
          <w:sz w:val="22"/>
        </w:rPr>
      </w:pPr>
    </w:p>
    <w:p w:rsidR="009E59D0" w:rsidRDefault="00DC241A">
      <w:pPr>
        <w:jc w:val="both"/>
        <w:rPr>
          <w:b/>
          <w:sz w:val="22"/>
        </w:rPr>
      </w:pPr>
      <w:r>
        <w:rPr>
          <w:b/>
          <w:sz w:val="22"/>
        </w:rPr>
        <w:t>DÉCIMA.- Duración del contrato</w:t>
      </w:r>
    </w:p>
    <w:p w:rsidR="009E59D0" w:rsidRDefault="009E59D0">
      <w:pPr>
        <w:jc w:val="both"/>
        <w:rPr>
          <w:b/>
          <w:sz w:val="22"/>
        </w:rPr>
      </w:pPr>
    </w:p>
    <w:p w:rsidR="009E59D0" w:rsidRDefault="00DC241A">
      <w:pPr>
        <w:jc w:val="both"/>
      </w:pPr>
      <w:r>
        <w:rPr>
          <w:color w:val="000000"/>
          <w:sz w:val="22"/>
        </w:rPr>
        <w:t>El c</w:t>
      </w:r>
      <w:r>
        <w:rPr>
          <w:color w:val="000000"/>
          <w:sz w:val="22"/>
        </w:rPr>
        <w:t>ontrato tendrá un plazo de vigencia de dos años a contar desde su formalización, prorrogable por un año mes hasta un máximo de tres años, la prórroga se entenderá aceptada si ninguna de las dos partes renuncia expresamente notificándolo a la otra parte con</w:t>
      </w:r>
      <w:r>
        <w:rPr>
          <w:color w:val="000000"/>
          <w:sz w:val="22"/>
        </w:rPr>
        <w:t xml:space="preserve"> una antelación mínima de tres meses antes del vencimiento del contrato.</w:t>
      </w:r>
      <w:bookmarkStart w:id="8" w:name="_Hlk201924761"/>
      <w:bookmarkEnd w:id="8"/>
    </w:p>
    <w:p w:rsidR="009E59D0" w:rsidRDefault="009E59D0">
      <w:pPr>
        <w:jc w:val="both"/>
        <w:rPr>
          <w:color w:val="000000"/>
          <w:sz w:val="22"/>
        </w:rPr>
      </w:pPr>
    </w:p>
    <w:p w:rsidR="009E59D0" w:rsidRDefault="00DC241A">
      <w:pPr>
        <w:autoSpaceDE w:val="0"/>
        <w:jc w:val="both"/>
        <w:rPr>
          <w:color w:val="000000"/>
          <w:sz w:val="22"/>
          <w:szCs w:val="22"/>
        </w:rPr>
      </w:pPr>
      <w:r>
        <w:rPr>
          <w:color w:val="000000"/>
          <w:sz w:val="22"/>
          <w:szCs w:val="22"/>
        </w:rPr>
        <w:t>No obstante lo anterior la adjudicataria deberá mantener la prestación del servicio hasta la adjudicación del siguiente contrato.</w:t>
      </w:r>
    </w:p>
    <w:p w:rsidR="009E59D0" w:rsidRDefault="009E59D0">
      <w:pPr>
        <w:pStyle w:val="Estndar"/>
        <w:jc w:val="both"/>
        <w:rPr>
          <w:rFonts w:ascii="Arial" w:hAnsi="Arial" w:cs="Arial"/>
          <w:sz w:val="22"/>
          <w:szCs w:val="22"/>
        </w:rPr>
      </w:pPr>
    </w:p>
    <w:p w:rsidR="009E59D0" w:rsidRDefault="009E59D0">
      <w:pPr>
        <w:pStyle w:val="Ttol7"/>
        <w:rPr>
          <w:szCs w:val="22"/>
        </w:rPr>
      </w:pPr>
    </w:p>
    <w:p w:rsidR="009E59D0" w:rsidRDefault="00DC241A">
      <w:pPr>
        <w:pStyle w:val="Ttol7"/>
      </w:pPr>
      <w:r>
        <w:t>UNDÉCIMA.- Tramitación del expediente</w:t>
      </w:r>
    </w:p>
    <w:p w:rsidR="009E59D0" w:rsidRDefault="009E59D0">
      <w:pPr>
        <w:jc w:val="both"/>
        <w:rPr>
          <w:b/>
          <w:sz w:val="22"/>
        </w:rPr>
      </w:pPr>
    </w:p>
    <w:p w:rsidR="009E59D0" w:rsidRDefault="00DC241A">
      <w:pPr>
        <w:widowControl w:val="0"/>
        <w:jc w:val="both"/>
        <w:rPr>
          <w:sz w:val="22"/>
        </w:rPr>
      </w:pPr>
      <w:r>
        <w:rPr>
          <w:sz w:val="22"/>
        </w:rPr>
        <w:t xml:space="preserve">El </w:t>
      </w:r>
      <w:r>
        <w:rPr>
          <w:sz w:val="22"/>
        </w:rPr>
        <w:t>expediente se tramitará de forma ordinaria sin reducción de plazos.</w:t>
      </w:r>
    </w:p>
    <w:p w:rsidR="009E59D0" w:rsidRDefault="009E59D0">
      <w:pPr>
        <w:jc w:val="both"/>
        <w:rPr>
          <w:sz w:val="22"/>
        </w:rPr>
      </w:pPr>
    </w:p>
    <w:p w:rsidR="009E59D0" w:rsidRDefault="009E59D0">
      <w:pPr>
        <w:jc w:val="both"/>
        <w:rPr>
          <w:sz w:val="22"/>
        </w:rPr>
      </w:pPr>
    </w:p>
    <w:p w:rsidR="009E59D0" w:rsidRDefault="00DC241A">
      <w:pPr>
        <w:jc w:val="both"/>
      </w:pPr>
      <w:r>
        <w:rPr>
          <w:b/>
          <w:sz w:val="22"/>
        </w:rPr>
        <w:t>DUODÉCIMA.-</w:t>
      </w:r>
      <w:r>
        <w:rPr>
          <w:sz w:val="22"/>
        </w:rPr>
        <w:t xml:space="preserve">  Procedimiento de adjudicación</w:t>
      </w:r>
    </w:p>
    <w:p w:rsidR="009E59D0" w:rsidRDefault="009E59D0">
      <w:pPr>
        <w:jc w:val="both"/>
        <w:rPr>
          <w:sz w:val="22"/>
        </w:rPr>
      </w:pPr>
    </w:p>
    <w:p w:rsidR="009E59D0" w:rsidRDefault="00DC241A">
      <w:pPr>
        <w:jc w:val="both"/>
        <w:rPr>
          <w:sz w:val="22"/>
        </w:rPr>
      </w:pPr>
      <w:r>
        <w:rPr>
          <w:sz w:val="22"/>
        </w:rPr>
        <w:t>La adjudicación del contrato se efectuará utilizando el procedimiento abierto, y se basará en el principio de mejor relación calidad-precio.</w:t>
      </w:r>
    </w:p>
    <w:p w:rsidR="009E59D0" w:rsidRDefault="009E59D0">
      <w:pPr>
        <w:jc w:val="both"/>
        <w:rPr>
          <w:sz w:val="22"/>
        </w:rPr>
      </w:pPr>
    </w:p>
    <w:p w:rsidR="009E59D0" w:rsidRDefault="00DC241A">
      <w:pPr>
        <w:jc w:val="both"/>
        <w:rPr>
          <w:sz w:val="22"/>
        </w:rPr>
      </w:pPr>
      <w:r>
        <w:rPr>
          <w:sz w:val="22"/>
        </w:rPr>
        <w:t>La licitación se publicará en:</w:t>
      </w:r>
    </w:p>
    <w:p w:rsidR="009E59D0" w:rsidRDefault="009E59D0">
      <w:pPr>
        <w:jc w:val="both"/>
        <w:rPr>
          <w:sz w:val="22"/>
        </w:rPr>
      </w:pPr>
    </w:p>
    <w:p w:rsidR="009E59D0" w:rsidRDefault="00DC241A">
      <w:pPr>
        <w:widowControl w:val="0"/>
        <w:jc w:val="both"/>
        <w:rPr>
          <w:sz w:val="22"/>
          <w:szCs w:val="22"/>
        </w:rPr>
      </w:pPr>
      <w:hyperlink r:id="rId8">
        <w:r>
          <w:rPr>
            <w:rStyle w:val="Enlla"/>
            <w:sz w:val="22"/>
          </w:rPr>
          <w:t>https://contractaciopublica.gencat.cat/ecofin_pscp/AppJava/cap.pscp?reqCode=vie</w:t>
        </w:r>
        <w:r>
          <w:rPr>
            <w:rStyle w:val="Enlla"/>
            <w:sz w:val="22"/>
          </w:rPr>
          <w:t>wDetail&amp;keyword=eco-equip&amp;idCap=11534561&amp;ambit</w:t>
        </w:r>
      </w:hyperlink>
    </w:p>
    <w:p w:rsidR="009E59D0" w:rsidRDefault="009E59D0">
      <w:pPr>
        <w:jc w:val="both"/>
        <w:rPr>
          <w:sz w:val="22"/>
          <w:szCs w:val="22"/>
        </w:rPr>
      </w:pPr>
    </w:p>
    <w:p w:rsidR="009E59D0" w:rsidRDefault="00DC241A">
      <w:pPr>
        <w:jc w:val="both"/>
        <w:rPr>
          <w:sz w:val="22"/>
        </w:rPr>
      </w:pPr>
      <w:r>
        <w:rPr>
          <w:sz w:val="22"/>
        </w:rPr>
        <w:t>La licitación se publicará además en el Diario Oficial de la Unión Europea (DOUE).</w:t>
      </w:r>
      <w:r>
        <w:br w:type="page"/>
      </w:r>
    </w:p>
    <w:p w:rsidR="009E59D0" w:rsidRDefault="00DC241A">
      <w:pPr>
        <w:jc w:val="both"/>
        <w:rPr>
          <w:b/>
          <w:sz w:val="22"/>
        </w:rPr>
      </w:pPr>
      <w:r>
        <w:rPr>
          <w:b/>
          <w:sz w:val="22"/>
        </w:rPr>
        <w:lastRenderedPageBreak/>
        <w:t>DECIMOTERCERA.- Criterios de adjudicación</w:t>
      </w:r>
    </w:p>
    <w:p w:rsidR="009E59D0" w:rsidRDefault="009E59D0">
      <w:pPr>
        <w:jc w:val="both"/>
        <w:rPr>
          <w:b/>
          <w:sz w:val="22"/>
        </w:rPr>
      </w:pPr>
    </w:p>
    <w:p w:rsidR="009E59D0" w:rsidRDefault="00DC241A">
      <w:pPr>
        <w:numPr>
          <w:ilvl w:val="1"/>
          <w:numId w:val="8"/>
        </w:numPr>
        <w:tabs>
          <w:tab w:val="left" w:pos="851"/>
        </w:tabs>
        <w:autoSpaceDE w:val="0"/>
        <w:jc w:val="both"/>
      </w:pPr>
      <w:r>
        <w:rPr>
          <w:rFonts w:eastAsia="Arial"/>
          <w:b/>
          <w:sz w:val="22"/>
          <w:u w:val="single"/>
        </w:rPr>
        <w:t>Criterios</w:t>
      </w:r>
      <w:r>
        <w:rPr>
          <w:b/>
          <w:color w:val="000000"/>
          <w:sz w:val="22"/>
          <w:u w:val="single"/>
        </w:rPr>
        <w:t>que se pueden valorar mediante cifras o porcentajes obtenidos a través d</w:t>
      </w:r>
      <w:r>
        <w:rPr>
          <w:b/>
          <w:color w:val="000000"/>
          <w:sz w:val="22"/>
          <w:u w:val="single"/>
        </w:rPr>
        <w:t>e la mera aplicación de fórmulas</w:t>
      </w:r>
      <w:r>
        <w:rPr>
          <w:b/>
          <w:sz w:val="22"/>
          <w:u w:val="single"/>
        </w:rPr>
        <w:t>.- hasta un máximo de cien (100) puntos:</w:t>
      </w:r>
    </w:p>
    <w:p w:rsidR="009E59D0" w:rsidRDefault="009E59D0">
      <w:pPr>
        <w:jc w:val="both"/>
        <w:rPr>
          <w:b/>
          <w:bCs/>
          <w:sz w:val="22"/>
          <w:u w:val="single"/>
        </w:rPr>
      </w:pPr>
    </w:p>
    <w:p w:rsidR="009E59D0" w:rsidRDefault="00DC241A">
      <w:pPr>
        <w:numPr>
          <w:ilvl w:val="2"/>
          <w:numId w:val="9"/>
        </w:numPr>
        <w:jc w:val="both"/>
      </w:pPr>
      <w:r>
        <w:rPr>
          <w:b/>
          <w:sz w:val="22"/>
          <w:u w:val="single"/>
        </w:rPr>
        <w:t>Precio</w:t>
      </w:r>
      <w:r>
        <w:rPr>
          <w:b/>
          <w:sz w:val="22"/>
        </w:rPr>
        <w:t>.- hasta un máximo de ochenta (80) puntos:</w:t>
      </w:r>
    </w:p>
    <w:p w:rsidR="009E59D0" w:rsidRDefault="009E59D0">
      <w:pPr>
        <w:ind w:left="720"/>
        <w:jc w:val="both"/>
        <w:rPr>
          <w:b/>
          <w:sz w:val="22"/>
        </w:rPr>
      </w:pPr>
    </w:p>
    <w:p w:rsidR="009E59D0" w:rsidRDefault="00DC241A">
      <w:pPr>
        <w:numPr>
          <w:ilvl w:val="3"/>
          <w:numId w:val="9"/>
        </w:numPr>
        <w:jc w:val="both"/>
        <w:rPr>
          <w:b/>
          <w:sz w:val="22"/>
        </w:rPr>
      </w:pPr>
      <w:r>
        <w:rPr>
          <w:b/>
          <w:sz w:val="22"/>
        </w:rPr>
        <w:t>Precio de los neumáticos suministrados, hasta un máximo de sesenta y cinco (65) puntos.</w:t>
      </w:r>
    </w:p>
    <w:p w:rsidR="009E59D0" w:rsidRDefault="009E59D0">
      <w:pPr>
        <w:jc w:val="both"/>
        <w:rPr>
          <w:b/>
          <w:sz w:val="22"/>
        </w:rPr>
      </w:pPr>
    </w:p>
    <w:p w:rsidR="009E59D0" w:rsidRDefault="00DC241A">
      <w:pPr>
        <w:jc w:val="both"/>
        <w:rPr>
          <w:sz w:val="22"/>
        </w:rPr>
      </w:pPr>
      <w:r>
        <w:rPr>
          <w:sz w:val="22"/>
        </w:rPr>
        <w:t>Los licitadores llenarán una declaración económica y concretarán sus precios unitarios (anexo 1).</w:t>
      </w:r>
    </w:p>
    <w:p w:rsidR="009E59D0" w:rsidRDefault="009E59D0">
      <w:pPr>
        <w:jc w:val="both"/>
        <w:rPr>
          <w:sz w:val="22"/>
        </w:rPr>
      </w:pPr>
    </w:p>
    <w:p w:rsidR="009E59D0" w:rsidRDefault="00DC241A">
      <w:pPr>
        <w:jc w:val="both"/>
        <w:rPr>
          <w:sz w:val="22"/>
        </w:rPr>
      </w:pPr>
      <w:r>
        <w:rPr>
          <w:sz w:val="22"/>
        </w:rPr>
        <w:t>Se calculará el valor de cada uno de los suministros multiplicando su volumetría (anexo 1) por el precio unitario, excluido el IVA. El precio del licitador s</w:t>
      </w:r>
      <w:r>
        <w:rPr>
          <w:sz w:val="22"/>
        </w:rPr>
        <w:t>erá la suma de los importes.</w:t>
      </w:r>
    </w:p>
    <w:p w:rsidR="009E59D0" w:rsidRDefault="009E59D0">
      <w:pPr>
        <w:ind w:left="709"/>
        <w:jc w:val="both"/>
      </w:pPr>
    </w:p>
    <w:p w:rsidR="009E59D0" w:rsidRDefault="00DC241A">
      <w:pPr>
        <w:jc w:val="both"/>
        <w:rPr>
          <w:sz w:val="22"/>
        </w:rPr>
      </w:pPr>
      <w:r>
        <w:rPr>
          <w:sz w:val="22"/>
        </w:rPr>
        <w:t>La ponderación del criterio de adjudicación referido a la proposición económica se efectuará otorgando la puntuación máxima a la oferta económica más baja, y al resto, de forma inversamente proporcional por el procedimiento de</w:t>
      </w:r>
      <w:r>
        <w:rPr>
          <w:sz w:val="22"/>
        </w:rPr>
        <w:t xml:space="preserve"> regla de tres simple:</w:t>
      </w:r>
    </w:p>
    <w:p w:rsidR="009E59D0" w:rsidRDefault="009E59D0">
      <w:pPr>
        <w:ind w:left="709"/>
        <w:jc w:val="both"/>
        <w:rPr>
          <w:b/>
          <w:sz w:val="22"/>
        </w:rPr>
      </w:pPr>
    </w:p>
    <w:p w:rsidR="009E59D0" w:rsidRDefault="00DC241A">
      <w:pPr>
        <w:jc w:val="both"/>
        <w:rPr>
          <w:sz w:val="22"/>
        </w:rPr>
      </w:pPr>
      <w:r>
        <w:rPr>
          <w:sz w:val="22"/>
        </w:rPr>
        <w:t>Puntuación obtenida = 65* (oferta más baja/oferta del licitador).</w:t>
      </w:r>
    </w:p>
    <w:p w:rsidR="009E59D0" w:rsidRDefault="009E59D0">
      <w:pPr>
        <w:ind w:left="709"/>
        <w:jc w:val="both"/>
        <w:rPr>
          <w:sz w:val="22"/>
        </w:rPr>
      </w:pPr>
    </w:p>
    <w:p w:rsidR="009E59D0" w:rsidRDefault="00DC241A">
      <w:pPr>
        <w:jc w:val="both"/>
        <w:rPr>
          <w:sz w:val="22"/>
        </w:rPr>
      </w:pPr>
      <w:r>
        <w:rPr>
          <w:sz w:val="22"/>
        </w:rPr>
        <w:t>Se tendrán en cuenta dos decimales.</w:t>
      </w:r>
    </w:p>
    <w:p w:rsidR="009E59D0" w:rsidRDefault="009E59D0">
      <w:pPr>
        <w:jc w:val="both"/>
        <w:rPr>
          <w:b/>
          <w:sz w:val="22"/>
        </w:rPr>
      </w:pPr>
    </w:p>
    <w:p w:rsidR="009E59D0" w:rsidRDefault="009E59D0">
      <w:pPr>
        <w:jc w:val="both"/>
        <w:rPr>
          <w:b/>
          <w:sz w:val="22"/>
        </w:rPr>
      </w:pPr>
    </w:p>
    <w:p w:rsidR="009E59D0" w:rsidRDefault="00DC241A">
      <w:pPr>
        <w:numPr>
          <w:ilvl w:val="3"/>
          <w:numId w:val="9"/>
        </w:numPr>
        <w:jc w:val="both"/>
        <w:rPr>
          <w:b/>
          <w:sz w:val="22"/>
        </w:rPr>
      </w:pPr>
      <w:r>
        <w:rPr>
          <w:b/>
          <w:sz w:val="22"/>
        </w:rPr>
        <w:t>Precio de los servicios de mantenimiento y reparación hasta un máximo de quince (15) puntos.</w:t>
      </w:r>
    </w:p>
    <w:p w:rsidR="009E59D0" w:rsidRDefault="009E59D0">
      <w:pPr>
        <w:jc w:val="both"/>
        <w:rPr>
          <w:b/>
          <w:sz w:val="22"/>
        </w:rPr>
      </w:pPr>
    </w:p>
    <w:p w:rsidR="009E59D0" w:rsidRDefault="00DC241A">
      <w:pPr>
        <w:jc w:val="both"/>
        <w:rPr>
          <w:sz w:val="22"/>
        </w:rPr>
      </w:pPr>
      <w:r>
        <w:rPr>
          <w:sz w:val="22"/>
        </w:rPr>
        <w:t>Los licitadores llenarán una declaración económica y concretarán sus precios unitarios (anexo 1).</w:t>
      </w:r>
    </w:p>
    <w:p w:rsidR="009E59D0" w:rsidRDefault="009E59D0">
      <w:pPr>
        <w:jc w:val="both"/>
        <w:rPr>
          <w:sz w:val="22"/>
        </w:rPr>
      </w:pPr>
    </w:p>
    <w:p w:rsidR="009E59D0" w:rsidRDefault="00DC241A">
      <w:pPr>
        <w:jc w:val="both"/>
        <w:rPr>
          <w:sz w:val="22"/>
        </w:rPr>
      </w:pPr>
      <w:r>
        <w:rPr>
          <w:sz w:val="22"/>
        </w:rPr>
        <w:t>Se calculará el valor de cada uno de los servicios multiplicando su volumetría (anexo 1) por el precio unitario, excluido el IVA. El precio del licitador ser</w:t>
      </w:r>
      <w:r>
        <w:rPr>
          <w:sz w:val="22"/>
        </w:rPr>
        <w:t>á la suma de los importes.</w:t>
      </w:r>
    </w:p>
    <w:p w:rsidR="009E59D0" w:rsidRDefault="009E59D0">
      <w:pPr>
        <w:ind w:left="709"/>
        <w:jc w:val="both"/>
      </w:pPr>
    </w:p>
    <w:p w:rsidR="009E59D0" w:rsidRDefault="00DC241A">
      <w:pPr>
        <w:jc w:val="both"/>
        <w:rPr>
          <w:sz w:val="22"/>
        </w:rPr>
      </w:pPr>
      <w:r>
        <w:rPr>
          <w:sz w:val="22"/>
        </w:rPr>
        <w:t>La ponderación del criterio de adjudicación referido a la proposición económica se efectuará otorgando la puntuación máxima a la oferta económica más baja, y al resto, de forma inversamente proporcional por el procedimiento de r</w:t>
      </w:r>
      <w:r>
        <w:rPr>
          <w:sz w:val="22"/>
        </w:rPr>
        <w:t>egla de tres simple:</w:t>
      </w:r>
    </w:p>
    <w:p w:rsidR="009E59D0" w:rsidRDefault="009E59D0">
      <w:pPr>
        <w:ind w:left="709"/>
        <w:jc w:val="both"/>
        <w:rPr>
          <w:b/>
          <w:sz w:val="22"/>
        </w:rPr>
      </w:pPr>
    </w:p>
    <w:p w:rsidR="009E59D0" w:rsidRDefault="00DC241A">
      <w:pPr>
        <w:jc w:val="both"/>
        <w:rPr>
          <w:sz w:val="22"/>
        </w:rPr>
      </w:pPr>
      <w:r>
        <w:rPr>
          <w:sz w:val="22"/>
        </w:rPr>
        <w:t>Puntuación obtenida = 15* (oferta más baja/oferta del licitador).</w:t>
      </w:r>
    </w:p>
    <w:p w:rsidR="009E59D0" w:rsidRDefault="009E59D0">
      <w:pPr>
        <w:ind w:left="709"/>
        <w:jc w:val="both"/>
        <w:rPr>
          <w:sz w:val="22"/>
        </w:rPr>
      </w:pPr>
    </w:p>
    <w:p w:rsidR="009E59D0" w:rsidRDefault="00DC241A">
      <w:pPr>
        <w:jc w:val="both"/>
        <w:rPr>
          <w:sz w:val="22"/>
        </w:rPr>
      </w:pPr>
      <w:r>
        <w:rPr>
          <w:sz w:val="22"/>
        </w:rPr>
        <w:t>Se tendrán en cuenta dos decimales.</w:t>
      </w:r>
    </w:p>
    <w:p w:rsidR="009E59D0" w:rsidRDefault="009E59D0">
      <w:pPr>
        <w:jc w:val="both"/>
        <w:rPr>
          <w:b/>
          <w:sz w:val="22"/>
        </w:rPr>
      </w:pPr>
    </w:p>
    <w:p w:rsidR="009E59D0" w:rsidRDefault="00DC241A">
      <w:pPr>
        <w:jc w:val="both"/>
        <w:rPr>
          <w:sz w:val="22"/>
        </w:rPr>
      </w:pPr>
      <w:r>
        <w:rPr>
          <w:sz w:val="22"/>
        </w:rPr>
        <w:t>A efectos de lo establecido en el artículo 149 de la LCSP, de acuerdo con lo que establece el artículo 85 del Reglamento de la Ley</w:t>
      </w:r>
      <w:r>
        <w:rPr>
          <w:sz w:val="22"/>
        </w:rPr>
        <w:t xml:space="preserve"> de contratos de las administraciones públicas, la consideración de una oferta u ofertas de precio con valores anormales o desproporcionados se apreciará en los siguientes supuestos:</w:t>
      </w:r>
    </w:p>
    <w:p w:rsidR="009E59D0" w:rsidRDefault="009E59D0">
      <w:pPr>
        <w:jc w:val="both"/>
        <w:rPr>
          <w:sz w:val="22"/>
        </w:rPr>
      </w:pPr>
    </w:p>
    <w:p w:rsidR="009E59D0" w:rsidRDefault="00DC241A">
      <w:pPr>
        <w:jc w:val="both"/>
        <w:rPr>
          <w:sz w:val="22"/>
        </w:rPr>
      </w:pPr>
      <w:r>
        <w:rPr>
          <w:sz w:val="22"/>
        </w:rPr>
        <w:t>1.Cuando, en caso de que concurra un solo licitador, sea inferior al pre</w:t>
      </w:r>
      <w:r>
        <w:rPr>
          <w:sz w:val="22"/>
        </w:rPr>
        <w:t>supuesto base de licitación en más de 25 unidades porcentuales.</w:t>
      </w:r>
      <w:r>
        <w:rPr>
          <w:sz w:val="22"/>
        </w:rPr>
        <w:tab/>
      </w:r>
    </w:p>
    <w:p w:rsidR="009E59D0" w:rsidRDefault="00DC241A">
      <w:pPr>
        <w:jc w:val="both"/>
        <w:rPr>
          <w:sz w:val="22"/>
        </w:rPr>
      </w:pPr>
      <w:r>
        <w:rPr>
          <w:sz w:val="22"/>
        </w:rPr>
        <w:t>2.Cuando concurran dos licitadores, la que sea inferior en más de 20 unidades porcentuales a la otra oferta.</w:t>
      </w:r>
      <w:r>
        <w:rPr>
          <w:sz w:val="22"/>
        </w:rPr>
        <w:tab/>
      </w:r>
    </w:p>
    <w:p w:rsidR="009E59D0" w:rsidRDefault="00DC241A">
      <w:pPr>
        <w:jc w:val="both"/>
        <w:rPr>
          <w:sz w:val="22"/>
        </w:rPr>
      </w:pPr>
      <w:r>
        <w:rPr>
          <w:sz w:val="22"/>
        </w:rPr>
        <w:t xml:space="preserve">3.Cuando concurran tres licitadores, las que sean inferiores en más de 10 </w:t>
      </w:r>
      <w:r>
        <w:rPr>
          <w:sz w:val="22"/>
        </w:rPr>
        <w:t>unidades porcentuales a la media aritmética de las ofertas presentadas. No obstante, para el cómputo de esta media se excluirá la oferta que sea de mayor cuantía cuando sea superior en más de 10 unidades porcentuales a la media. En cualquier caso, se consi</w:t>
      </w:r>
      <w:r>
        <w:rPr>
          <w:sz w:val="22"/>
        </w:rPr>
        <w:t>derará desproporcionada la baja superior a 25 unidades porcentuales respecto al presupuesto base de licitación.</w:t>
      </w:r>
      <w:r>
        <w:rPr>
          <w:sz w:val="22"/>
        </w:rPr>
        <w:tab/>
      </w:r>
    </w:p>
    <w:p w:rsidR="009E59D0" w:rsidRDefault="00DC241A">
      <w:pPr>
        <w:jc w:val="both"/>
        <w:rPr>
          <w:sz w:val="22"/>
        </w:rPr>
      </w:pPr>
      <w:r>
        <w:rPr>
          <w:sz w:val="22"/>
        </w:rPr>
        <w:lastRenderedPageBreak/>
        <w:t>4.Cuando concurran cuatro o más licitadores, las que sean inferiores en más de 10 unidades porcentuales a la media aritmética de las ofertas pr</w:t>
      </w:r>
      <w:r>
        <w:rPr>
          <w:sz w:val="22"/>
        </w:rPr>
        <w:t>esentadas. No obstante, si entre ellas existen ofertas superiores a la media en más de 10 unidades porcentuales, se calculará una nueva media sólo con las ofertas que no se encuentren en el caso indicado. En todo caso, si el número de las demás ofertas fue</w:t>
      </w:r>
      <w:r>
        <w:rPr>
          <w:sz w:val="22"/>
        </w:rPr>
        <w:t>ra inferior a tres, la nueva media se calculará sobre las tres ofertas de menor cuantía. En cualquier caso, se considerará desproporcionada la baja superior a 25 unidades porcentuales respecto al presupuesto base de licitación.</w:t>
      </w:r>
      <w:r>
        <w:rPr>
          <w:sz w:val="22"/>
        </w:rPr>
        <w:tab/>
      </w:r>
    </w:p>
    <w:p w:rsidR="009E59D0" w:rsidRDefault="00DC241A">
      <w:pPr>
        <w:jc w:val="both"/>
        <w:rPr>
          <w:sz w:val="22"/>
        </w:rPr>
      </w:pPr>
      <w:r>
        <w:rPr>
          <w:sz w:val="22"/>
        </w:rPr>
        <w:t>Cuando se identifique una p</w:t>
      </w:r>
      <w:r>
        <w:rPr>
          <w:sz w:val="22"/>
        </w:rPr>
        <w:t xml:space="preserve">roposición que pueda ser considerada desproporcionada o anormal, se dará audiencia al licitador que la haya presentado para que justifique la valoración de la oferta y precise sus condiciones, en particular en cuanto al ahorro que permita el procedimiento </w:t>
      </w:r>
      <w:r>
        <w:rPr>
          <w:sz w:val="22"/>
        </w:rPr>
        <w:t>de ejecución del contrato, las soluciones técnicas adoptadas y las condiciones excepcionalmente favorables de que disponga para ejecutar disposiciones relativas a la protección del empleo y las condiciones de trabajo vigentes en el lugar en que deba realiz</w:t>
      </w:r>
      <w:r>
        <w:rPr>
          <w:sz w:val="22"/>
        </w:rPr>
        <w:t>arse la prestación, o la posible obtención de una ayuda de Estado.</w:t>
      </w:r>
    </w:p>
    <w:p w:rsidR="009E59D0" w:rsidRDefault="00DC241A">
      <w:pPr>
        <w:jc w:val="both"/>
        <w:rPr>
          <w:sz w:val="22"/>
        </w:rPr>
      </w:pPr>
      <w:r>
        <w:rPr>
          <w:sz w:val="22"/>
        </w:rPr>
        <w:t>En el procedimiento deberá solicitarse el asesoramiento técnico del servicio correspondiente.</w:t>
      </w:r>
    </w:p>
    <w:p w:rsidR="009E59D0" w:rsidRDefault="00DC241A">
      <w:pPr>
        <w:jc w:val="both"/>
        <w:rPr>
          <w:sz w:val="22"/>
        </w:rPr>
      </w:pPr>
      <w:r>
        <w:rPr>
          <w:sz w:val="22"/>
        </w:rPr>
        <w:t xml:space="preserve">Si el órgano de contratación, teniendo en cuenta la justificación efectuada por el licitador y </w:t>
      </w:r>
      <w:r>
        <w:rPr>
          <w:sz w:val="22"/>
        </w:rPr>
        <w:t>los informes mencionados en el apartado anterior, estimase que la oferta no puede ser cumplida como consecuencia de la inclusión de valores anormales o desproporcionados, deberá excluirla de la clasificación y acordar la adjudicación a favor de la proposic</w:t>
      </w:r>
      <w:r>
        <w:rPr>
          <w:sz w:val="22"/>
        </w:rPr>
        <w:t>ión económicamente más ventajosa, de acuerdo.</w:t>
      </w:r>
    </w:p>
    <w:p w:rsidR="009E59D0" w:rsidRDefault="00DC241A">
      <w:pPr>
        <w:jc w:val="both"/>
        <w:rPr>
          <w:sz w:val="22"/>
        </w:rPr>
      </w:pPr>
      <w:r>
        <w:rPr>
          <w:sz w:val="22"/>
        </w:rPr>
        <w:t>De conformidad con lo establecido en el artículo 69 la Directiva 2014/24/UE sobre contratación pública, el órgano de contratación rechazará la oferta si comprueba que es anormalmente baja por no cumplir las obl</w:t>
      </w:r>
      <w:r>
        <w:rPr>
          <w:sz w:val="22"/>
        </w:rPr>
        <w:t>igaciones aplicables en materia medioambiental, social o laboral establecidas en el Derecho de la Unión, el Derecho nacional, los convenios colectivos y por las disposiciones de Viena, Basilea, Estocolmo y Rotterdam).</w:t>
      </w:r>
    </w:p>
    <w:p w:rsidR="009E59D0" w:rsidRDefault="009E59D0">
      <w:pPr>
        <w:jc w:val="both"/>
        <w:rPr>
          <w:sz w:val="22"/>
        </w:rPr>
      </w:pPr>
    </w:p>
    <w:p w:rsidR="009E59D0" w:rsidRDefault="00DC241A">
      <w:pPr>
        <w:numPr>
          <w:ilvl w:val="3"/>
          <w:numId w:val="9"/>
        </w:numPr>
        <w:jc w:val="both"/>
        <w:rPr>
          <w:b/>
          <w:sz w:val="22"/>
        </w:rPr>
      </w:pPr>
      <w:r>
        <w:rPr>
          <w:b/>
          <w:sz w:val="22"/>
        </w:rPr>
        <w:t>Mejora en la frecuencia de revisión d</w:t>
      </w:r>
      <w:r>
        <w:rPr>
          <w:b/>
          <w:sz w:val="22"/>
        </w:rPr>
        <w:t>e todos los neumáticos de la flota, establecida en los pliegos como mensual, hasta un máximo de diez (10) puntos.</w:t>
      </w:r>
    </w:p>
    <w:p w:rsidR="009E59D0" w:rsidRDefault="009E59D0">
      <w:pPr>
        <w:ind w:left="1080"/>
        <w:jc w:val="both"/>
        <w:rPr>
          <w:b/>
          <w:sz w:val="22"/>
        </w:rPr>
      </w:pPr>
    </w:p>
    <w:p w:rsidR="009E59D0" w:rsidRDefault="00DC241A">
      <w:pPr>
        <w:jc w:val="both"/>
        <w:rPr>
          <w:sz w:val="22"/>
        </w:rPr>
      </w:pPr>
      <w:r>
        <w:rPr>
          <w:sz w:val="22"/>
        </w:rPr>
        <w:t>Frecuencia mensual.- 0 puntos</w:t>
      </w:r>
    </w:p>
    <w:p w:rsidR="009E59D0" w:rsidRDefault="00DC241A">
      <w:pPr>
        <w:jc w:val="both"/>
        <w:rPr>
          <w:sz w:val="22"/>
        </w:rPr>
      </w:pPr>
      <w:r>
        <w:rPr>
          <w:sz w:val="22"/>
        </w:rPr>
        <w:t>Frecuencia quincenal.-5 puntos</w:t>
      </w:r>
    </w:p>
    <w:p w:rsidR="009E59D0" w:rsidRDefault="00DC241A">
      <w:pPr>
        <w:jc w:val="both"/>
        <w:rPr>
          <w:sz w:val="22"/>
        </w:rPr>
      </w:pPr>
      <w:r>
        <w:rPr>
          <w:sz w:val="22"/>
        </w:rPr>
        <w:t>Frecuencia semanal.- 10 puntos</w:t>
      </w:r>
    </w:p>
    <w:p w:rsidR="009E59D0" w:rsidRDefault="009E59D0">
      <w:pPr>
        <w:jc w:val="both"/>
        <w:rPr>
          <w:b/>
          <w:sz w:val="22"/>
        </w:rPr>
      </w:pPr>
    </w:p>
    <w:p w:rsidR="009E59D0" w:rsidRDefault="00DC241A">
      <w:pPr>
        <w:jc w:val="both"/>
        <w:rPr>
          <w:sz w:val="22"/>
        </w:rPr>
      </w:pPr>
      <w:r>
        <w:rPr>
          <w:sz w:val="22"/>
        </w:rPr>
        <w:t>La adjudicataria tendrá que presentar un informe</w:t>
      </w:r>
      <w:r>
        <w:rPr>
          <w:sz w:val="22"/>
        </w:rPr>
        <w:t xml:space="preserve"> indicando el estado de todos los neumáticos de la flota de Eco-equipo con la periodicidad indicada, en caso de incumplimiento, al ser un elemento de valoración, se considerará una falta grave, que podrá dar lugar a la rescisión del contrato.</w:t>
      </w:r>
    </w:p>
    <w:p w:rsidR="009E59D0" w:rsidRDefault="009E59D0">
      <w:pPr>
        <w:ind w:left="1080"/>
        <w:jc w:val="both"/>
        <w:rPr>
          <w:b/>
          <w:sz w:val="22"/>
        </w:rPr>
      </w:pPr>
    </w:p>
    <w:p w:rsidR="009E59D0" w:rsidRDefault="009E59D0">
      <w:pPr>
        <w:ind w:left="1080"/>
        <w:jc w:val="both"/>
        <w:rPr>
          <w:b/>
          <w:sz w:val="22"/>
        </w:rPr>
      </w:pPr>
    </w:p>
    <w:p w:rsidR="009E59D0" w:rsidRDefault="00DC241A">
      <w:pPr>
        <w:numPr>
          <w:ilvl w:val="3"/>
          <w:numId w:val="9"/>
        </w:numPr>
        <w:jc w:val="both"/>
        <w:rPr>
          <w:b/>
          <w:sz w:val="22"/>
        </w:rPr>
      </w:pPr>
      <w:r>
        <w:rPr>
          <w:b/>
          <w:sz w:val="22"/>
        </w:rPr>
        <w:t>Mejora en e</w:t>
      </w:r>
      <w:r>
        <w:rPr>
          <w:b/>
          <w:sz w:val="22"/>
        </w:rPr>
        <w:t>l plazo de respuesta frente a incidencias en ruta en horario laborable, hasta un máximo de cinco (5) puntos</w:t>
      </w:r>
    </w:p>
    <w:p w:rsidR="009E59D0" w:rsidRDefault="009E59D0">
      <w:pPr>
        <w:jc w:val="both"/>
        <w:rPr>
          <w:b/>
          <w:sz w:val="22"/>
        </w:rPr>
      </w:pPr>
    </w:p>
    <w:p w:rsidR="009E59D0" w:rsidRDefault="00DC241A">
      <w:pPr>
        <w:jc w:val="both"/>
        <w:rPr>
          <w:sz w:val="22"/>
        </w:rPr>
      </w:pPr>
      <w:r>
        <w:rPr>
          <w:sz w:val="22"/>
        </w:rPr>
        <w:t>Llegada en una hora.- 0 puntos</w:t>
      </w:r>
    </w:p>
    <w:p w:rsidR="009E59D0" w:rsidRDefault="00DC241A">
      <w:pPr>
        <w:jc w:val="both"/>
        <w:rPr>
          <w:sz w:val="22"/>
        </w:rPr>
      </w:pPr>
      <w:r>
        <w:rPr>
          <w:sz w:val="22"/>
        </w:rPr>
        <w:t>Llegada en 45 minutos.- 3 puntos</w:t>
      </w:r>
    </w:p>
    <w:p w:rsidR="009E59D0" w:rsidRDefault="00DC241A">
      <w:pPr>
        <w:jc w:val="both"/>
        <w:rPr>
          <w:sz w:val="22"/>
        </w:rPr>
      </w:pPr>
      <w:r>
        <w:rPr>
          <w:sz w:val="22"/>
        </w:rPr>
        <w:t>Llegada en media hora.- 5 puntos</w:t>
      </w:r>
    </w:p>
    <w:p w:rsidR="009E59D0" w:rsidRDefault="009E59D0">
      <w:pPr>
        <w:jc w:val="both"/>
        <w:rPr>
          <w:b/>
          <w:sz w:val="22"/>
        </w:rPr>
      </w:pPr>
    </w:p>
    <w:p w:rsidR="009E59D0" w:rsidRDefault="00DC241A">
      <w:pPr>
        <w:jc w:val="both"/>
        <w:rPr>
          <w:sz w:val="22"/>
        </w:rPr>
      </w:pPr>
      <w:r>
        <w:rPr>
          <w:sz w:val="22"/>
        </w:rPr>
        <w:t xml:space="preserve">En caso de incumplimiento, al ser un elemento de </w:t>
      </w:r>
      <w:r>
        <w:rPr>
          <w:sz w:val="22"/>
        </w:rPr>
        <w:t>valoración, se considerará falta grave, que podrá dar lugar a la rescisión del contrato.</w:t>
      </w:r>
    </w:p>
    <w:p w:rsidR="009E59D0" w:rsidRDefault="009E59D0">
      <w:pPr>
        <w:jc w:val="both"/>
        <w:rPr>
          <w:b/>
          <w:sz w:val="22"/>
        </w:rPr>
      </w:pPr>
    </w:p>
    <w:p w:rsidR="009E59D0" w:rsidRDefault="00DC241A">
      <w:pPr>
        <w:numPr>
          <w:ilvl w:val="3"/>
          <w:numId w:val="9"/>
        </w:numPr>
        <w:jc w:val="both"/>
        <w:rPr>
          <w:b/>
          <w:sz w:val="22"/>
        </w:rPr>
      </w:pPr>
      <w:r>
        <w:rPr>
          <w:b/>
          <w:sz w:val="22"/>
        </w:rPr>
        <w:t>Mejora en el plazo de respuesta frente a incidencias en ruta en horario nocturno o festivo, hasta un máximo de cinco (5) puntos</w:t>
      </w:r>
    </w:p>
    <w:p w:rsidR="009E59D0" w:rsidRDefault="009E59D0">
      <w:pPr>
        <w:jc w:val="both"/>
        <w:rPr>
          <w:b/>
          <w:sz w:val="22"/>
        </w:rPr>
      </w:pPr>
    </w:p>
    <w:p w:rsidR="009E59D0" w:rsidRDefault="00DC241A">
      <w:pPr>
        <w:jc w:val="both"/>
        <w:rPr>
          <w:sz w:val="22"/>
        </w:rPr>
      </w:pPr>
      <w:r>
        <w:rPr>
          <w:sz w:val="22"/>
        </w:rPr>
        <w:t>Llegada en dos horas.- 0 puntos</w:t>
      </w:r>
    </w:p>
    <w:p w:rsidR="009E59D0" w:rsidRDefault="00DC241A">
      <w:pPr>
        <w:jc w:val="both"/>
        <w:rPr>
          <w:sz w:val="22"/>
        </w:rPr>
      </w:pPr>
      <w:r>
        <w:rPr>
          <w:sz w:val="22"/>
        </w:rPr>
        <w:t>Llegada en hora y media (90 minutos).- 3 puntos</w:t>
      </w:r>
    </w:p>
    <w:p w:rsidR="009E59D0" w:rsidRDefault="00DC241A">
      <w:pPr>
        <w:jc w:val="both"/>
        <w:rPr>
          <w:sz w:val="22"/>
        </w:rPr>
      </w:pPr>
      <w:r>
        <w:rPr>
          <w:sz w:val="22"/>
        </w:rPr>
        <w:t>Llegada en una hora (60 minutos) - 5 puntos</w:t>
      </w:r>
    </w:p>
    <w:p w:rsidR="009E59D0" w:rsidRDefault="009E59D0">
      <w:pPr>
        <w:jc w:val="both"/>
        <w:rPr>
          <w:sz w:val="22"/>
        </w:rPr>
      </w:pPr>
    </w:p>
    <w:p w:rsidR="009E59D0" w:rsidRDefault="00DC241A">
      <w:pPr>
        <w:jc w:val="both"/>
        <w:rPr>
          <w:sz w:val="22"/>
        </w:rPr>
      </w:pPr>
      <w:r>
        <w:rPr>
          <w:sz w:val="22"/>
        </w:rPr>
        <w:t>En caso de incumplimiento, al ser un elemento de valoración, se considerará una falta muy grave, que podrá dar lugar a la rescisión del contrato.</w:t>
      </w:r>
    </w:p>
    <w:p w:rsidR="009E59D0" w:rsidRDefault="009E59D0">
      <w:pPr>
        <w:jc w:val="both"/>
        <w:rPr>
          <w:sz w:val="22"/>
        </w:rPr>
      </w:pPr>
    </w:p>
    <w:p w:rsidR="009E59D0" w:rsidRDefault="00DC241A">
      <w:pPr>
        <w:jc w:val="both"/>
        <w:rPr>
          <w:sz w:val="22"/>
          <w:szCs w:val="22"/>
        </w:rPr>
      </w:pPr>
      <w:r>
        <w:rPr>
          <w:sz w:val="22"/>
          <w:szCs w:val="22"/>
        </w:rPr>
        <w:t>La puntuación to</w:t>
      </w:r>
      <w:r>
        <w:rPr>
          <w:sz w:val="22"/>
          <w:szCs w:val="22"/>
        </w:rPr>
        <w:t>tal será la resultante de sumar los puntos correspondientes a cada uno de los apartados indicados.</w:t>
      </w:r>
    </w:p>
    <w:p w:rsidR="009E59D0" w:rsidRDefault="009E59D0">
      <w:pPr>
        <w:jc w:val="both"/>
        <w:rPr>
          <w:sz w:val="22"/>
          <w:szCs w:val="22"/>
        </w:rPr>
      </w:pPr>
    </w:p>
    <w:p w:rsidR="009E59D0" w:rsidRDefault="009E59D0">
      <w:pPr>
        <w:rPr>
          <w:sz w:val="22"/>
          <w:szCs w:val="22"/>
        </w:rPr>
      </w:pPr>
    </w:p>
    <w:p w:rsidR="009E59D0" w:rsidRDefault="00DC241A">
      <w:pPr>
        <w:numPr>
          <w:ilvl w:val="1"/>
          <w:numId w:val="8"/>
        </w:numPr>
        <w:tabs>
          <w:tab w:val="left" w:pos="851"/>
        </w:tabs>
        <w:autoSpaceDE w:val="0"/>
        <w:jc w:val="both"/>
        <w:rPr>
          <w:b/>
          <w:sz w:val="22"/>
          <w:u w:val="single"/>
        </w:rPr>
      </w:pPr>
      <w:r>
        <w:rPr>
          <w:b/>
          <w:sz w:val="22"/>
          <w:u w:val="single"/>
        </w:rPr>
        <w:t>– Criterios cuya cuantificación depende de un juicio de valor, según lo previsto en el artículo 146 de la LCSP.</w:t>
      </w:r>
    </w:p>
    <w:p w:rsidR="009E59D0" w:rsidRDefault="009E59D0">
      <w:pPr>
        <w:jc w:val="both"/>
        <w:rPr>
          <w:b/>
          <w:sz w:val="22"/>
          <w:u w:val="single"/>
        </w:rPr>
      </w:pPr>
    </w:p>
    <w:p w:rsidR="009E59D0" w:rsidRDefault="00DC241A">
      <w:pPr>
        <w:jc w:val="both"/>
        <w:rPr>
          <w:sz w:val="22"/>
        </w:rPr>
      </w:pPr>
      <w:r>
        <w:rPr>
          <w:sz w:val="22"/>
        </w:rPr>
        <w:t>No se asignará puntuación alguna por crite</w:t>
      </w:r>
      <w:r>
        <w:rPr>
          <w:sz w:val="22"/>
        </w:rPr>
        <w:t>rios que dependen de juicios de valor.</w:t>
      </w:r>
    </w:p>
    <w:p w:rsidR="009E59D0" w:rsidRDefault="009E59D0">
      <w:pPr>
        <w:jc w:val="both"/>
        <w:rPr>
          <w:sz w:val="22"/>
        </w:rPr>
      </w:pPr>
    </w:p>
    <w:p w:rsidR="009E59D0" w:rsidRDefault="00DC241A">
      <w:pPr>
        <w:jc w:val="both"/>
        <w:rPr>
          <w:sz w:val="22"/>
        </w:rPr>
      </w:pPr>
      <w:r>
        <w:rPr>
          <w:sz w:val="22"/>
        </w:rPr>
        <w:t>Por parte del órgano de contratación se realizarán las comprobaciones y pruebas que sean necesarias para validar los parámetros técnicos ofrecidos.</w:t>
      </w:r>
    </w:p>
    <w:p w:rsidR="009E59D0" w:rsidRDefault="009E59D0">
      <w:pPr>
        <w:jc w:val="both"/>
      </w:pPr>
    </w:p>
    <w:p w:rsidR="009E59D0" w:rsidRDefault="009E59D0">
      <w:pPr>
        <w:pStyle w:val="Default"/>
        <w:jc w:val="both"/>
        <w:rPr>
          <w:b/>
          <w:sz w:val="22"/>
          <w:szCs w:val="22"/>
          <w:lang w:val="ca-ES"/>
        </w:rPr>
      </w:pPr>
    </w:p>
    <w:p w:rsidR="009E59D0" w:rsidRDefault="00DC241A">
      <w:pPr>
        <w:pStyle w:val="Default"/>
        <w:jc w:val="both"/>
        <w:rPr>
          <w:b/>
          <w:sz w:val="22"/>
          <w:szCs w:val="22"/>
          <w:lang w:val="ca-ES"/>
        </w:rPr>
      </w:pPr>
      <w:r>
        <w:rPr>
          <w:b/>
          <w:sz w:val="22"/>
          <w:szCs w:val="22"/>
          <w:lang w:val="ca-ES"/>
        </w:rPr>
        <w:t xml:space="preserve">DECIMOCUARTA.- Preferencia en la adjudicación para las </w:t>
      </w:r>
      <w:r>
        <w:rPr>
          <w:b/>
          <w:sz w:val="22"/>
          <w:szCs w:val="22"/>
          <w:lang w:val="ca-ES"/>
        </w:rPr>
        <w:t>proposiciones que igualen en sus términos las más ventajosas desde el punto de vista de los criterios que sirven de base para la adjudicación</w:t>
      </w:r>
    </w:p>
    <w:p w:rsidR="009E59D0" w:rsidRDefault="009E59D0">
      <w:pPr>
        <w:pStyle w:val="Default"/>
        <w:jc w:val="both"/>
        <w:rPr>
          <w:sz w:val="22"/>
          <w:szCs w:val="22"/>
          <w:lang w:val="ca-ES"/>
        </w:rPr>
      </w:pPr>
    </w:p>
    <w:p w:rsidR="009E59D0" w:rsidRDefault="00DC241A">
      <w:pPr>
        <w:pStyle w:val="Textindependent31"/>
      </w:pPr>
      <w:r>
        <w:rPr>
          <w:sz w:val="22"/>
          <w:szCs w:val="22"/>
          <w:lang w:val="ca-ES"/>
        </w:rPr>
        <w:t>Tendrán preferencia en la adjudicación del contrato las proposiciones presentadas por las empresas que en el mome</w:t>
      </w:r>
      <w:r>
        <w:rPr>
          <w:sz w:val="22"/>
          <w:szCs w:val="22"/>
          <w:lang w:val="ca-ES"/>
        </w:rPr>
        <w:t xml:space="preserve">nto de acreditar la solvencia técnica exigida en este pliego tengan en su plantilla un número de trabajadores con discapacidad superior al 2 por 100, siempre que sus proposiciones igualen en sus términos a las más ventajosas desde el punto de vista de los </w:t>
      </w:r>
      <w:r>
        <w:rPr>
          <w:sz w:val="22"/>
          <w:szCs w:val="22"/>
          <w:lang w:val="ca-ES"/>
        </w:rPr>
        <w:t>criterios que deben servir de base por.</w:t>
      </w:r>
    </w:p>
    <w:p w:rsidR="009E59D0" w:rsidRDefault="009E59D0">
      <w:pPr>
        <w:pStyle w:val="Textindependent31"/>
        <w:rPr>
          <w:sz w:val="22"/>
          <w:lang w:val="ca-ES"/>
        </w:rPr>
      </w:pPr>
    </w:p>
    <w:p w:rsidR="009E59D0" w:rsidRDefault="00DC241A">
      <w:pPr>
        <w:pStyle w:val="Textindependent31"/>
        <w:rPr>
          <w:sz w:val="22"/>
          <w:lang w:val="ca-ES"/>
        </w:rPr>
      </w:pPr>
      <w:r>
        <w:rPr>
          <w:sz w:val="22"/>
          <w:lang w:val="ca-ES"/>
        </w:rPr>
        <w:t>Si varias empresas licitadoras de las que empaten en cuanto a la proposición más ventajosa acreditan que tienen relación laboral con personas con discapacidad en un porcentaje superior al 2 por ciento, tendrá prefer</w:t>
      </w:r>
      <w:r>
        <w:rPr>
          <w:sz w:val="22"/>
          <w:lang w:val="ca-ES"/>
        </w:rPr>
        <w:t>encia en la adjudicación del contrato el licitador que disponga del porcentaje superior de trabajadores fijos con discapacidad en su plantilla.</w:t>
      </w:r>
    </w:p>
    <w:p w:rsidR="009E59D0" w:rsidRDefault="009E59D0">
      <w:pPr>
        <w:pStyle w:val="Default"/>
        <w:jc w:val="both"/>
        <w:rPr>
          <w:sz w:val="22"/>
          <w:lang w:val="ca-ES"/>
        </w:rPr>
      </w:pPr>
    </w:p>
    <w:p w:rsidR="009E59D0" w:rsidRDefault="009E59D0">
      <w:pPr>
        <w:pStyle w:val="Ttol7"/>
      </w:pPr>
    </w:p>
    <w:p w:rsidR="009E59D0" w:rsidRDefault="00DC241A">
      <w:pPr>
        <w:pStyle w:val="Ttol7"/>
      </w:pPr>
      <w:r>
        <w:t>DECIMOQUINTA.- Capacidad</w:t>
      </w:r>
    </w:p>
    <w:p w:rsidR="009E59D0" w:rsidRDefault="009E59D0">
      <w:pPr>
        <w:jc w:val="both"/>
        <w:rPr>
          <w:sz w:val="22"/>
        </w:rPr>
      </w:pPr>
    </w:p>
    <w:p w:rsidR="009E59D0" w:rsidRDefault="00DC241A">
      <w:pPr>
        <w:jc w:val="both"/>
        <w:rPr>
          <w:color w:val="000000"/>
          <w:sz w:val="22"/>
        </w:rPr>
      </w:pPr>
      <w:r>
        <w:rPr>
          <w:color w:val="000000"/>
          <w:sz w:val="22"/>
        </w:rPr>
        <w:t>Los licitadores tendrán que acreditar su personalidad jurídica y capacidad de obrar.</w:t>
      </w:r>
    </w:p>
    <w:p w:rsidR="009E59D0" w:rsidRDefault="009E59D0">
      <w:pPr>
        <w:jc w:val="both"/>
        <w:rPr>
          <w:color w:val="000000"/>
          <w:sz w:val="22"/>
        </w:rPr>
      </w:pPr>
    </w:p>
    <w:p w:rsidR="009E59D0" w:rsidRDefault="00DC241A">
      <w:pPr>
        <w:jc w:val="both"/>
        <w:rPr>
          <w:sz w:val="22"/>
        </w:rPr>
      </w:pPr>
      <w:r>
        <w:rPr>
          <w:sz w:val="22"/>
        </w:rPr>
        <w:t xml:space="preserve">La capacidad de obrar de los empresarios que sean personas jurídicas se acreditará mediante la escritura o documento de constitución, los estatutos o el acto fundacional, en el que consten las normas por las que se regula su actividad, debidamente </w:t>
      </w:r>
      <w:r>
        <w:rPr>
          <w:sz w:val="22"/>
        </w:rPr>
        <w:t>inscritos, en su caso, en el registro público que corresponda, según el tipo de persona jurídica de que se trate.</w:t>
      </w:r>
    </w:p>
    <w:p w:rsidR="009E59D0" w:rsidRDefault="009E59D0">
      <w:pPr>
        <w:jc w:val="both"/>
        <w:rPr>
          <w:sz w:val="22"/>
        </w:rPr>
      </w:pPr>
    </w:p>
    <w:p w:rsidR="009E59D0" w:rsidRDefault="00DC241A">
      <w:pPr>
        <w:jc w:val="both"/>
        <w:rPr>
          <w:sz w:val="22"/>
        </w:rPr>
      </w:pPr>
      <w:r>
        <w:rPr>
          <w:sz w:val="22"/>
        </w:rPr>
        <w:t>La inscripción en el Registro Electrónico de Licitadores (RELI) acredita, según lo reflejado, las condiciones de aptitud del empresario en cu</w:t>
      </w:r>
      <w:r>
        <w:rPr>
          <w:sz w:val="22"/>
        </w:rPr>
        <w:t>anto a su personalidad y capacidad de obrar.</w:t>
      </w:r>
    </w:p>
    <w:p w:rsidR="009E59D0" w:rsidRDefault="009E59D0">
      <w:pPr>
        <w:jc w:val="both"/>
        <w:rPr>
          <w:color w:val="000000"/>
          <w:sz w:val="22"/>
        </w:rPr>
      </w:pPr>
    </w:p>
    <w:p w:rsidR="009E59D0" w:rsidRDefault="009E59D0">
      <w:pPr>
        <w:jc w:val="both"/>
        <w:rPr>
          <w:b/>
          <w:color w:val="000000"/>
          <w:sz w:val="22"/>
        </w:rPr>
      </w:pPr>
    </w:p>
    <w:p w:rsidR="009E59D0" w:rsidRDefault="00DC241A">
      <w:pPr>
        <w:jc w:val="both"/>
        <w:rPr>
          <w:b/>
          <w:sz w:val="22"/>
        </w:rPr>
      </w:pPr>
      <w:r>
        <w:rPr>
          <w:b/>
          <w:sz w:val="22"/>
        </w:rPr>
        <w:t>DECIMOTERCERA.- Prohibición de contratar</w:t>
      </w:r>
    </w:p>
    <w:p w:rsidR="009E59D0" w:rsidRDefault="009E59D0">
      <w:pPr>
        <w:jc w:val="both"/>
        <w:rPr>
          <w:b/>
          <w:sz w:val="22"/>
        </w:rPr>
      </w:pPr>
    </w:p>
    <w:p w:rsidR="009E59D0" w:rsidRDefault="00DC241A">
      <w:pPr>
        <w:jc w:val="both"/>
        <w:rPr>
          <w:sz w:val="22"/>
        </w:rPr>
      </w:pPr>
      <w:r>
        <w:rPr>
          <w:sz w:val="22"/>
        </w:rPr>
        <w:t xml:space="preserve">Los candidatos no tendrán que estar incursos en ninguna de las circunstancias de prohibición de contratar con la Administración Pública, previstas en el art. 71 de la </w:t>
      </w:r>
      <w:r>
        <w:rPr>
          <w:sz w:val="22"/>
        </w:rPr>
        <w:t>LCSP.</w:t>
      </w:r>
      <w:r>
        <w:br w:type="page"/>
      </w:r>
    </w:p>
    <w:p w:rsidR="009E59D0" w:rsidRDefault="00DC241A">
      <w:pPr>
        <w:pStyle w:val="Ttol7"/>
      </w:pPr>
      <w:r>
        <w:lastRenderedPageBreak/>
        <w:t>DECIMOSÉPTIMA.- Solvencia económica y financiera</w:t>
      </w:r>
    </w:p>
    <w:p w:rsidR="009E59D0" w:rsidRDefault="009E59D0">
      <w:pPr>
        <w:jc w:val="both"/>
        <w:rPr>
          <w:b/>
          <w:sz w:val="22"/>
        </w:rPr>
      </w:pPr>
    </w:p>
    <w:p w:rsidR="009E59D0" w:rsidRDefault="00DC241A">
      <w:pPr>
        <w:jc w:val="both"/>
      </w:pPr>
      <w:r>
        <w:rPr>
          <w:sz w:val="22"/>
          <w:szCs w:val="22"/>
        </w:rPr>
        <w:t>Los licitadores tendrán que acreditar la solvencia económica y financiera, mediante la presentación de documentación acreditativa de la facturación bruta de los ejercicios 2023 y 2024 resultante nece</w:t>
      </w:r>
      <w:r>
        <w:rPr>
          <w:sz w:val="22"/>
          <w:szCs w:val="22"/>
        </w:rPr>
        <w:t>sario haber obtenido como mínimo un volumen anual de negocios en el ámbito a que se refiere el contrato, por importe igual o superior a 100.000 €.</w:t>
      </w:r>
    </w:p>
    <w:p w:rsidR="009E59D0" w:rsidRDefault="009E59D0">
      <w:pPr>
        <w:jc w:val="both"/>
        <w:rPr>
          <w:sz w:val="22"/>
          <w:szCs w:val="22"/>
        </w:rPr>
      </w:pPr>
    </w:p>
    <w:p w:rsidR="009E59D0" w:rsidRDefault="00DC241A">
      <w:pPr>
        <w:jc w:val="both"/>
      </w:pPr>
      <w:r>
        <w:rPr>
          <w:sz w:val="22"/>
        </w:rPr>
        <w:t>El requerimiento de solvencia económica y financiera tiene carácter selectivo.</w:t>
      </w:r>
    </w:p>
    <w:p w:rsidR="009E59D0" w:rsidRDefault="009E59D0">
      <w:pPr>
        <w:jc w:val="both"/>
        <w:rPr>
          <w:b/>
          <w:sz w:val="22"/>
          <w:szCs w:val="22"/>
        </w:rPr>
      </w:pPr>
    </w:p>
    <w:p w:rsidR="009E59D0" w:rsidRDefault="00DC241A">
      <w:pPr>
        <w:jc w:val="both"/>
        <w:rPr>
          <w:sz w:val="22"/>
          <w:szCs w:val="22"/>
        </w:rPr>
      </w:pPr>
      <w:r>
        <w:rPr>
          <w:sz w:val="22"/>
          <w:szCs w:val="22"/>
        </w:rPr>
        <w:t>La inscripción en el Registr</w:t>
      </w:r>
      <w:r>
        <w:rPr>
          <w:sz w:val="22"/>
          <w:szCs w:val="22"/>
        </w:rPr>
        <w:t>o Electrónico de Licitadores (RELI) acredita, según lo reflejado, las condiciones de aptitud del empresario en cuanto a su solvencia económica y financiera.</w:t>
      </w:r>
    </w:p>
    <w:p w:rsidR="009E59D0" w:rsidRDefault="009E59D0">
      <w:pPr>
        <w:jc w:val="both"/>
        <w:rPr>
          <w:b/>
          <w:sz w:val="22"/>
          <w:szCs w:val="22"/>
        </w:rPr>
      </w:pPr>
    </w:p>
    <w:p w:rsidR="009E59D0" w:rsidRDefault="009E59D0">
      <w:pPr>
        <w:jc w:val="both"/>
        <w:rPr>
          <w:b/>
          <w:sz w:val="22"/>
          <w:szCs w:val="22"/>
        </w:rPr>
      </w:pPr>
    </w:p>
    <w:p w:rsidR="009E59D0" w:rsidRDefault="00DC241A">
      <w:pPr>
        <w:pStyle w:val="Ttol7"/>
      </w:pPr>
      <w:r>
        <w:t>DECIMOCTAVA.- Solvencia técnica o profesional</w:t>
      </w:r>
    </w:p>
    <w:p w:rsidR="009E59D0" w:rsidRDefault="009E59D0">
      <w:pPr>
        <w:jc w:val="both"/>
        <w:rPr>
          <w:b/>
          <w:sz w:val="22"/>
        </w:rPr>
      </w:pPr>
    </w:p>
    <w:p w:rsidR="009E59D0" w:rsidRDefault="00DC241A">
      <w:pPr>
        <w:jc w:val="both"/>
        <w:rPr>
          <w:sz w:val="22"/>
        </w:rPr>
      </w:pPr>
      <w:r>
        <w:rPr>
          <w:sz w:val="22"/>
        </w:rPr>
        <w:t>Los licitadores tendrán que acreditar la solvencia</w:t>
      </w:r>
      <w:r>
        <w:rPr>
          <w:sz w:val="22"/>
        </w:rPr>
        <w:t xml:space="preserve"> técnica o profesional. El requerimiento de solvencia técnica o profesional tendrá carácter selectivo. Los requisitos mínimos de solvencia que deben cumplir los candidatos son haber realizado servicios similares en los últimos cinco (5) años.</w:t>
      </w:r>
    </w:p>
    <w:p w:rsidR="009E59D0" w:rsidRDefault="009E59D0">
      <w:pPr>
        <w:jc w:val="both"/>
        <w:rPr>
          <w:sz w:val="22"/>
        </w:rPr>
      </w:pPr>
    </w:p>
    <w:p w:rsidR="009E59D0" w:rsidRDefault="00DC241A">
      <w:pPr>
        <w:jc w:val="both"/>
      </w:pPr>
      <w:r>
        <w:rPr>
          <w:sz w:val="22"/>
        </w:rPr>
        <w:t>La solvencia</w:t>
      </w:r>
      <w:r>
        <w:rPr>
          <w:sz w:val="22"/>
        </w:rPr>
        <w:t xml:space="preserve"> técnica de las licitadoras se acreditará mediante declaración responsable en que se incluya una relación de los principales servicios o trabajos realizados de igual o similar naturaleza que los que constituyen el objeto del contrato, en el curso de como m</w:t>
      </w:r>
      <w:r>
        <w:rPr>
          <w:sz w:val="22"/>
        </w:rPr>
        <w:t>áximo, los cinco (5) últimos años, que incluya objeto, importe, fechas y el destinatario, público o privado de éstos, firmada por el representante legal al objeto del contrato, por un importe mínimo de 100.000 € en alguno de los cinco (5) ejercicios citado</w:t>
      </w:r>
      <w:r>
        <w:rPr>
          <w:sz w:val="22"/>
        </w:rPr>
        <w:t>s</w:t>
      </w:r>
    </w:p>
    <w:p w:rsidR="009E59D0" w:rsidRDefault="009E59D0">
      <w:pPr>
        <w:tabs>
          <w:tab w:val="center" w:pos="4252"/>
          <w:tab w:val="right" w:pos="8504"/>
        </w:tabs>
        <w:suppressAutoHyphens w:val="0"/>
        <w:jc w:val="both"/>
        <w:rPr>
          <w:rFonts w:cs="Times New Roman"/>
          <w:sz w:val="22"/>
          <w:lang w:eastAsia="es-ES"/>
        </w:rPr>
      </w:pPr>
    </w:p>
    <w:p w:rsidR="009E59D0" w:rsidRDefault="00DC241A">
      <w:pPr>
        <w:tabs>
          <w:tab w:val="center" w:pos="4252"/>
          <w:tab w:val="right" w:pos="8504"/>
        </w:tabs>
        <w:jc w:val="both"/>
      </w:pPr>
      <w:r>
        <w:rPr>
          <w:sz w:val="22"/>
        </w:rPr>
        <w:t>La mesa, en caso de estimarlo necesario, podrá solicitar a la empresa adjudicataria que acrediten los suministros indicados mediante certificación de las entidades receptoras.</w:t>
      </w:r>
    </w:p>
    <w:p w:rsidR="009E59D0" w:rsidRDefault="009E59D0">
      <w:pPr>
        <w:jc w:val="both"/>
        <w:rPr>
          <w:sz w:val="22"/>
        </w:rPr>
      </w:pPr>
    </w:p>
    <w:p w:rsidR="009E59D0" w:rsidRDefault="00DC241A">
      <w:pPr>
        <w:jc w:val="both"/>
        <w:rPr>
          <w:sz w:val="22"/>
        </w:rPr>
      </w:pPr>
      <w:r>
        <w:rPr>
          <w:sz w:val="22"/>
        </w:rPr>
        <w:t xml:space="preserve">La inscripción en el Registro Electrónico de Licitadores (RELI) acredita, </w:t>
      </w:r>
      <w:r>
        <w:rPr>
          <w:sz w:val="22"/>
        </w:rPr>
        <w:t>según lo reflejado, las condiciones de aptitud del empresario en cuanto a su solvencia técnica o profesional.</w:t>
      </w:r>
    </w:p>
    <w:p w:rsidR="009E59D0" w:rsidRDefault="009E59D0">
      <w:pPr>
        <w:jc w:val="both"/>
        <w:rPr>
          <w:sz w:val="22"/>
        </w:rPr>
      </w:pPr>
    </w:p>
    <w:p w:rsidR="009E59D0" w:rsidRDefault="00DC241A">
      <w:pPr>
        <w:jc w:val="both"/>
        <w:rPr>
          <w:rFonts w:eastAsia="Arial"/>
          <w:sz w:val="22"/>
        </w:rPr>
      </w:pPr>
      <w:r>
        <w:rPr>
          <w:rFonts w:eastAsia="Arial"/>
          <w:sz w:val="22"/>
        </w:rPr>
        <w:t xml:space="preserve"> </w:t>
      </w:r>
    </w:p>
    <w:p w:rsidR="009E59D0" w:rsidRDefault="00DC241A">
      <w:pPr>
        <w:jc w:val="both"/>
        <w:rPr>
          <w:b/>
          <w:sz w:val="22"/>
        </w:rPr>
      </w:pPr>
      <w:r>
        <w:rPr>
          <w:b/>
          <w:sz w:val="22"/>
        </w:rPr>
        <w:t>DECIMOQUINTA.- Condiciones especiales de ejecución del contrato</w:t>
      </w:r>
    </w:p>
    <w:p w:rsidR="009E59D0" w:rsidRDefault="009E59D0">
      <w:pPr>
        <w:jc w:val="both"/>
        <w:rPr>
          <w:b/>
          <w:sz w:val="22"/>
        </w:rPr>
      </w:pPr>
    </w:p>
    <w:p w:rsidR="009E59D0" w:rsidRDefault="00DC241A">
      <w:pPr>
        <w:jc w:val="both"/>
        <w:rPr>
          <w:sz w:val="22"/>
          <w:szCs w:val="22"/>
        </w:rPr>
      </w:pPr>
      <w:r>
        <w:rPr>
          <w:sz w:val="22"/>
          <w:szCs w:val="22"/>
        </w:rPr>
        <w:t>Se establecen las siguientes condiciones especiales en relación a la ejecución de este contrato, a las que se atribuye el carácter de obligaciones contractuales esenciales a los efectos señalados en el artículo 211, letra g), de la LCSP:</w:t>
      </w:r>
    </w:p>
    <w:p w:rsidR="009E59D0" w:rsidRDefault="009E59D0">
      <w:pPr>
        <w:jc w:val="both"/>
        <w:rPr>
          <w:sz w:val="22"/>
          <w:szCs w:val="22"/>
        </w:rPr>
      </w:pPr>
    </w:p>
    <w:p w:rsidR="009E59D0" w:rsidRDefault="00DC241A">
      <w:pPr>
        <w:numPr>
          <w:ilvl w:val="0"/>
          <w:numId w:val="7"/>
        </w:numPr>
        <w:tabs>
          <w:tab w:val="clear" w:pos="720"/>
          <w:tab w:val="left" w:pos="426"/>
        </w:tabs>
        <w:autoSpaceDE w:val="0"/>
        <w:ind w:left="567" w:hanging="567"/>
        <w:jc w:val="both"/>
        <w:rPr>
          <w:sz w:val="22"/>
          <w:szCs w:val="22"/>
        </w:rPr>
      </w:pPr>
      <w:r>
        <w:rPr>
          <w:sz w:val="22"/>
          <w:szCs w:val="22"/>
        </w:rPr>
        <w:t>Sobre el arbitraj</w:t>
      </w:r>
      <w:r>
        <w:rPr>
          <w:sz w:val="22"/>
          <w:szCs w:val="22"/>
        </w:rPr>
        <w:t>e de consumo:</w:t>
      </w:r>
    </w:p>
    <w:p w:rsidR="009E59D0" w:rsidRDefault="009E59D0">
      <w:pPr>
        <w:tabs>
          <w:tab w:val="left" w:pos="426"/>
        </w:tabs>
        <w:autoSpaceDE w:val="0"/>
        <w:ind w:left="567" w:hanging="567"/>
        <w:jc w:val="both"/>
        <w:rPr>
          <w:sz w:val="22"/>
          <w:szCs w:val="22"/>
        </w:rPr>
      </w:pPr>
    </w:p>
    <w:p w:rsidR="009E59D0" w:rsidRDefault="00DC241A">
      <w:pPr>
        <w:tabs>
          <w:tab w:val="left" w:pos="284"/>
        </w:tabs>
        <w:autoSpaceDE w:val="0"/>
        <w:ind w:left="426"/>
        <w:jc w:val="both"/>
        <w:rPr>
          <w:sz w:val="22"/>
          <w:szCs w:val="22"/>
        </w:rPr>
      </w:pPr>
      <w:r>
        <w:rPr>
          <w:sz w:val="22"/>
          <w:szCs w:val="22"/>
        </w:rPr>
        <w:t>Los conflictos, controversias y reclamaciones que surjan entre la empresa adjudicataria y las personas usuarias, en las relaciones jurídicas de consumo que se den durante la ejecución de este contrato, deben resolverse mediante el Sistema Ar</w:t>
      </w:r>
      <w:r>
        <w:rPr>
          <w:sz w:val="22"/>
          <w:szCs w:val="22"/>
        </w:rPr>
        <w:t>bitral de Consumo si las personas consumidoras o usuarias presentan la solicitud correspondiente ante una Junta Arbitral de Consumo.</w:t>
      </w:r>
    </w:p>
    <w:p w:rsidR="009E59D0" w:rsidRDefault="009E59D0">
      <w:pPr>
        <w:autoSpaceDE w:val="0"/>
        <w:jc w:val="both"/>
        <w:rPr>
          <w:sz w:val="22"/>
          <w:szCs w:val="22"/>
        </w:rPr>
      </w:pPr>
    </w:p>
    <w:p w:rsidR="009E59D0" w:rsidRDefault="00DC241A">
      <w:pPr>
        <w:numPr>
          <w:ilvl w:val="0"/>
          <w:numId w:val="7"/>
        </w:numPr>
        <w:tabs>
          <w:tab w:val="clear" w:pos="720"/>
          <w:tab w:val="left" w:pos="426"/>
        </w:tabs>
        <w:autoSpaceDE w:val="0"/>
        <w:ind w:left="1080" w:hanging="1080"/>
        <w:jc w:val="both"/>
        <w:rPr>
          <w:sz w:val="22"/>
          <w:szCs w:val="22"/>
        </w:rPr>
      </w:pPr>
      <w:r>
        <w:rPr>
          <w:sz w:val="22"/>
          <w:szCs w:val="22"/>
        </w:rPr>
        <w:t>Sobre la adscripción de medios personales y materiales:</w:t>
      </w:r>
    </w:p>
    <w:p w:rsidR="009E59D0" w:rsidRDefault="009E59D0">
      <w:pPr>
        <w:jc w:val="both"/>
        <w:rPr>
          <w:color w:val="000000"/>
          <w:sz w:val="22"/>
          <w:szCs w:val="22"/>
        </w:rPr>
      </w:pPr>
    </w:p>
    <w:p w:rsidR="009E59D0" w:rsidRDefault="00DC241A">
      <w:pPr>
        <w:ind w:left="426"/>
        <w:jc w:val="both"/>
      </w:pPr>
      <w:r>
        <w:rPr>
          <w:color w:val="000000"/>
          <w:sz w:val="22"/>
          <w:szCs w:val="22"/>
        </w:rPr>
        <w:t>El contratista dedicará o adscribirá</w:t>
      </w:r>
      <w:r>
        <w:rPr>
          <w:sz w:val="22"/>
          <w:szCs w:val="22"/>
        </w:rPr>
        <w:t>a la ejecución del contrato l</w:t>
      </w:r>
      <w:r>
        <w:rPr>
          <w:sz w:val="22"/>
          <w:szCs w:val="22"/>
        </w:rPr>
        <w:t>os medios personales y materiales suficientes para ello.</w:t>
      </w:r>
    </w:p>
    <w:p w:rsidR="009E59D0" w:rsidRDefault="009E59D0">
      <w:pPr>
        <w:autoSpaceDE w:val="0"/>
        <w:ind w:left="567" w:hanging="567"/>
        <w:jc w:val="both"/>
        <w:rPr>
          <w:color w:val="000000"/>
          <w:sz w:val="22"/>
          <w:szCs w:val="22"/>
        </w:rPr>
      </w:pPr>
    </w:p>
    <w:p w:rsidR="009E59D0" w:rsidRDefault="00DC241A">
      <w:pPr>
        <w:numPr>
          <w:ilvl w:val="0"/>
          <w:numId w:val="7"/>
        </w:numPr>
        <w:tabs>
          <w:tab w:val="clear" w:pos="720"/>
          <w:tab w:val="left" w:pos="426"/>
          <w:tab w:val="left" w:pos="1080"/>
        </w:tabs>
        <w:autoSpaceDE w:val="0"/>
        <w:ind w:left="567" w:hanging="567"/>
        <w:jc w:val="both"/>
        <w:rPr>
          <w:sz w:val="22"/>
          <w:szCs w:val="22"/>
        </w:rPr>
      </w:pPr>
      <w:r>
        <w:rPr>
          <w:sz w:val="22"/>
          <w:szCs w:val="22"/>
        </w:rPr>
        <w:t>Sobre el personal laboral de la empresa contratista:</w:t>
      </w:r>
    </w:p>
    <w:p w:rsidR="009E59D0" w:rsidRDefault="00DC241A">
      <w:pPr>
        <w:numPr>
          <w:ilvl w:val="1"/>
          <w:numId w:val="7"/>
        </w:numPr>
        <w:tabs>
          <w:tab w:val="left" w:pos="851"/>
        </w:tabs>
        <w:autoSpaceDE w:val="0"/>
        <w:ind w:left="851" w:hanging="425"/>
        <w:jc w:val="both"/>
        <w:rPr>
          <w:sz w:val="22"/>
          <w:szCs w:val="22"/>
        </w:rPr>
      </w:pPr>
      <w:r>
        <w:rPr>
          <w:sz w:val="22"/>
          <w:szCs w:val="22"/>
        </w:rPr>
        <w:t>Corresponde exclusivamente a la empresa la selección del personal que formará parte del equipo de trabajo adscrito a la ejecución del contrato.</w:t>
      </w:r>
    </w:p>
    <w:p w:rsidR="009E59D0" w:rsidRDefault="009E59D0">
      <w:pPr>
        <w:tabs>
          <w:tab w:val="left" w:pos="851"/>
        </w:tabs>
        <w:autoSpaceDE w:val="0"/>
        <w:ind w:left="851" w:hanging="425"/>
        <w:jc w:val="both"/>
        <w:rPr>
          <w:sz w:val="22"/>
          <w:szCs w:val="22"/>
        </w:rPr>
      </w:pPr>
    </w:p>
    <w:p w:rsidR="009E59D0" w:rsidRDefault="00DC241A">
      <w:pPr>
        <w:tabs>
          <w:tab w:val="left" w:pos="851"/>
        </w:tabs>
        <w:autoSpaceDE w:val="0"/>
        <w:ind w:left="851" w:hanging="425"/>
        <w:jc w:val="both"/>
        <w:rPr>
          <w:sz w:val="22"/>
          <w:szCs w:val="22"/>
        </w:rPr>
      </w:pPr>
      <w:r>
        <w:rPr>
          <w:sz w:val="22"/>
          <w:szCs w:val="22"/>
        </w:rPr>
        <w:tab/>
        <w:t>En caso de producirse por fuerza mayor alguna variación del personal adscrito durante la ejecución del proyecto será necesario comunicarlo a Eco-equip SAM, que deberá autorizar el cambio propuesto para poder continuar el servicio contratado, en caso de no</w:t>
      </w:r>
      <w:r>
        <w:rPr>
          <w:sz w:val="22"/>
          <w:szCs w:val="22"/>
        </w:rPr>
        <w:t xml:space="preserve"> ser así, atendiendo a que el equipo técnico es objeto de valoración, podrá rescindir el contrato.</w:t>
      </w:r>
    </w:p>
    <w:p w:rsidR="009E59D0" w:rsidRDefault="009E59D0">
      <w:pPr>
        <w:tabs>
          <w:tab w:val="left" w:pos="851"/>
        </w:tabs>
        <w:autoSpaceDE w:val="0"/>
        <w:ind w:left="851" w:hanging="425"/>
        <w:jc w:val="both"/>
        <w:rPr>
          <w:sz w:val="22"/>
          <w:szCs w:val="22"/>
        </w:rPr>
      </w:pPr>
    </w:p>
    <w:p w:rsidR="009E59D0" w:rsidRDefault="00DC241A">
      <w:pPr>
        <w:numPr>
          <w:ilvl w:val="1"/>
          <w:numId w:val="7"/>
        </w:numPr>
        <w:tabs>
          <w:tab w:val="left" w:pos="851"/>
        </w:tabs>
        <w:autoSpaceDE w:val="0"/>
        <w:ind w:left="851" w:hanging="425"/>
        <w:jc w:val="both"/>
        <w:rPr>
          <w:sz w:val="22"/>
          <w:szCs w:val="22"/>
        </w:rPr>
      </w:pPr>
      <w:r>
        <w:rPr>
          <w:sz w:val="22"/>
          <w:szCs w:val="22"/>
        </w:rPr>
        <w:t>La empresa contratista asume la obligación de ejercer de forma real, efectiva y continua, sobre el personal integrante del equipo de trabajo encargado de la</w:t>
      </w:r>
      <w:r>
        <w:rPr>
          <w:sz w:val="22"/>
          <w:szCs w:val="22"/>
        </w:rPr>
        <w:t xml:space="preserve"> ejecución del contrato, el poder de dirección inherente a todo empresario. En particular, asumirá la negociación y pago de los salarios, la concesión de permisos, licencias y vacaciones, las sustituciones de los trabajadores en caso de baja o ausencia, la</w:t>
      </w:r>
      <w:r>
        <w:rPr>
          <w:sz w:val="22"/>
          <w:szCs w:val="22"/>
        </w:rPr>
        <w:t>s obligaciones legales en materia de Seguridad Social, incluso el abono de cotizaciones y el pago de prestaciones, cuando proceda, las obligaciones legales en materia de prevención de riesgos laborales, el ejercicio de potestad entre trabajador y ocupante.</w:t>
      </w:r>
    </w:p>
    <w:p w:rsidR="009E59D0" w:rsidRDefault="009E59D0">
      <w:pPr>
        <w:tabs>
          <w:tab w:val="left" w:pos="851"/>
        </w:tabs>
        <w:autoSpaceDE w:val="0"/>
        <w:ind w:left="851" w:hanging="425"/>
        <w:jc w:val="both"/>
        <w:rPr>
          <w:sz w:val="22"/>
          <w:szCs w:val="22"/>
        </w:rPr>
      </w:pPr>
    </w:p>
    <w:p w:rsidR="009E59D0" w:rsidRDefault="00DC241A">
      <w:pPr>
        <w:numPr>
          <w:ilvl w:val="1"/>
          <w:numId w:val="7"/>
        </w:numPr>
        <w:tabs>
          <w:tab w:val="left" w:pos="851"/>
        </w:tabs>
        <w:autoSpaceDE w:val="0"/>
        <w:ind w:left="851" w:hanging="425"/>
        <w:jc w:val="both"/>
        <w:rPr>
          <w:sz w:val="22"/>
          <w:szCs w:val="22"/>
        </w:rPr>
      </w:pPr>
      <w:r>
        <w:rPr>
          <w:sz w:val="22"/>
          <w:szCs w:val="22"/>
        </w:rPr>
        <w:t>La empresa contratista velará especialmente para que los trabajadores adscritos a la ejecución del contrato desarrollen su actividad sin extralimitarse en los servicios funciones desarrolladas respecto a la actividad delimitada en los pliegos como objeto</w:t>
      </w:r>
      <w:r>
        <w:rPr>
          <w:sz w:val="22"/>
          <w:szCs w:val="22"/>
        </w:rPr>
        <w:t xml:space="preserve"> del contrato.</w:t>
      </w:r>
    </w:p>
    <w:p w:rsidR="009E59D0" w:rsidRDefault="009E59D0">
      <w:pPr>
        <w:tabs>
          <w:tab w:val="left" w:pos="851"/>
        </w:tabs>
        <w:autoSpaceDE w:val="0"/>
        <w:ind w:left="851" w:hanging="425"/>
        <w:jc w:val="both"/>
        <w:rPr>
          <w:sz w:val="22"/>
          <w:szCs w:val="22"/>
        </w:rPr>
      </w:pPr>
    </w:p>
    <w:p w:rsidR="009E59D0" w:rsidRDefault="00DC241A">
      <w:pPr>
        <w:numPr>
          <w:ilvl w:val="1"/>
          <w:numId w:val="7"/>
        </w:numPr>
        <w:tabs>
          <w:tab w:val="left" w:pos="851"/>
        </w:tabs>
        <w:autoSpaceDE w:val="0"/>
        <w:ind w:left="851" w:hanging="425"/>
        <w:jc w:val="both"/>
        <w:rPr>
          <w:sz w:val="22"/>
          <w:szCs w:val="22"/>
        </w:rPr>
      </w:pPr>
      <w:r>
        <w:rPr>
          <w:sz w:val="22"/>
          <w:szCs w:val="22"/>
        </w:rPr>
        <w:t>La empresa contratista deberá designar al menos un coordinador técnico o responsable, que tendrá entre sus obligaciones:</w:t>
      </w:r>
    </w:p>
    <w:p w:rsidR="009E59D0" w:rsidRDefault="009E59D0">
      <w:pPr>
        <w:autoSpaceDE w:val="0"/>
        <w:jc w:val="both"/>
        <w:rPr>
          <w:sz w:val="22"/>
          <w:szCs w:val="22"/>
        </w:rPr>
      </w:pPr>
    </w:p>
    <w:p w:rsidR="009E59D0" w:rsidRDefault="00DC241A">
      <w:pPr>
        <w:numPr>
          <w:ilvl w:val="0"/>
          <w:numId w:val="4"/>
        </w:numPr>
        <w:tabs>
          <w:tab w:val="left" w:pos="1276"/>
        </w:tabs>
        <w:autoSpaceDE w:val="0"/>
        <w:ind w:left="1276" w:hanging="425"/>
        <w:jc w:val="both"/>
        <w:rPr>
          <w:sz w:val="22"/>
          <w:szCs w:val="22"/>
        </w:rPr>
      </w:pPr>
      <w:r>
        <w:rPr>
          <w:sz w:val="22"/>
          <w:szCs w:val="22"/>
        </w:rPr>
        <w:t xml:space="preserve">Actuar como interlocutor de la empresa contratista ante Eco equipo, SAM, canalizando la comunicación entre la empresa </w:t>
      </w:r>
      <w:r>
        <w:rPr>
          <w:sz w:val="22"/>
          <w:szCs w:val="22"/>
        </w:rPr>
        <w:t>contratista y el personal integrante del equipo de trabajo adscrito a la ejecución del contrato, por un lado, y Eco-equip, por otro, en todo lo referente a las cuestiones derivadas de la ejecución del contrato.</w:t>
      </w:r>
    </w:p>
    <w:p w:rsidR="009E59D0" w:rsidRDefault="009E59D0">
      <w:pPr>
        <w:autoSpaceDE w:val="0"/>
        <w:ind w:left="851"/>
        <w:jc w:val="both"/>
        <w:rPr>
          <w:sz w:val="22"/>
          <w:szCs w:val="22"/>
        </w:rPr>
      </w:pPr>
    </w:p>
    <w:p w:rsidR="009E59D0" w:rsidRDefault="00DC241A">
      <w:pPr>
        <w:numPr>
          <w:ilvl w:val="0"/>
          <w:numId w:val="4"/>
        </w:numPr>
        <w:tabs>
          <w:tab w:val="left" w:pos="1276"/>
        </w:tabs>
        <w:autoSpaceDE w:val="0"/>
        <w:ind w:left="1276" w:hanging="425"/>
        <w:jc w:val="both"/>
        <w:rPr>
          <w:sz w:val="22"/>
          <w:szCs w:val="22"/>
        </w:rPr>
      </w:pPr>
      <w:r>
        <w:rPr>
          <w:sz w:val="22"/>
          <w:szCs w:val="22"/>
        </w:rPr>
        <w:t>Distribuir el trabajo entre el personal enca</w:t>
      </w:r>
      <w:r>
        <w:rPr>
          <w:sz w:val="22"/>
          <w:szCs w:val="22"/>
        </w:rPr>
        <w:t>rgado de la ejecución del contrato, e impartir a estos trabajadores las órdenes e instrucciones de trabajo que sean necesarias en relación a la prestación de los servicios contratados.</w:t>
      </w:r>
    </w:p>
    <w:p w:rsidR="009E59D0" w:rsidRDefault="009E59D0">
      <w:pPr>
        <w:autoSpaceDE w:val="0"/>
        <w:jc w:val="both"/>
        <w:rPr>
          <w:sz w:val="22"/>
          <w:szCs w:val="22"/>
        </w:rPr>
      </w:pPr>
    </w:p>
    <w:p w:rsidR="009E59D0" w:rsidRDefault="00DC241A">
      <w:pPr>
        <w:numPr>
          <w:ilvl w:val="0"/>
          <w:numId w:val="4"/>
        </w:numPr>
        <w:tabs>
          <w:tab w:val="left" w:pos="1276"/>
        </w:tabs>
        <w:autoSpaceDE w:val="0"/>
        <w:ind w:left="1276" w:hanging="425"/>
        <w:jc w:val="both"/>
        <w:rPr>
          <w:sz w:val="22"/>
          <w:szCs w:val="22"/>
        </w:rPr>
      </w:pPr>
      <w:r>
        <w:rPr>
          <w:sz w:val="22"/>
          <w:szCs w:val="22"/>
        </w:rPr>
        <w:t>Supervisar el correcto desarrollo por parte del personal integrante de</w:t>
      </w:r>
      <w:r>
        <w:rPr>
          <w:sz w:val="22"/>
          <w:szCs w:val="22"/>
        </w:rPr>
        <w:t>l equipo de trabajo de las funciones que tienen encomendadas, así como controlar la asistencia de ese personal al puesto de trabajo.</w:t>
      </w:r>
    </w:p>
    <w:p w:rsidR="009E59D0" w:rsidRDefault="009E59D0">
      <w:pPr>
        <w:autoSpaceDE w:val="0"/>
        <w:jc w:val="both"/>
        <w:rPr>
          <w:sz w:val="22"/>
          <w:szCs w:val="22"/>
        </w:rPr>
      </w:pPr>
    </w:p>
    <w:p w:rsidR="009E59D0" w:rsidRDefault="00DC241A">
      <w:pPr>
        <w:numPr>
          <w:ilvl w:val="0"/>
          <w:numId w:val="4"/>
        </w:numPr>
        <w:tabs>
          <w:tab w:val="left" w:pos="1276"/>
        </w:tabs>
        <w:autoSpaceDE w:val="0"/>
        <w:ind w:left="1276" w:hanging="425"/>
        <w:jc w:val="both"/>
        <w:rPr>
          <w:sz w:val="22"/>
          <w:szCs w:val="22"/>
        </w:rPr>
      </w:pPr>
      <w:r>
        <w:rPr>
          <w:sz w:val="22"/>
          <w:szCs w:val="22"/>
        </w:rPr>
        <w:t>Pedir autorización a Eco-equip, SAM respecto de posibles variaciones, ocasionales o permanentes, en la composición del equipo de trabajo adscrito a la ejecución del contrato.</w:t>
      </w:r>
    </w:p>
    <w:p w:rsidR="009E59D0" w:rsidRDefault="009E59D0">
      <w:pPr>
        <w:autoSpaceDE w:val="0"/>
        <w:jc w:val="both"/>
        <w:rPr>
          <w:color w:val="000000"/>
          <w:sz w:val="22"/>
          <w:szCs w:val="22"/>
        </w:rPr>
      </w:pPr>
    </w:p>
    <w:p w:rsidR="009E59D0" w:rsidRDefault="00DC241A">
      <w:pPr>
        <w:numPr>
          <w:ilvl w:val="0"/>
          <w:numId w:val="7"/>
        </w:numPr>
        <w:tabs>
          <w:tab w:val="clear" w:pos="720"/>
          <w:tab w:val="left" w:pos="567"/>
        </w:tabs>
        <w:autoSpaceDE w:val="0"/>
        <w:ind w:left="567" w:hanging="567"/>
        <w:jc w:val="both"/>
        <w:rPr>
          <w:sz w:val="22"/>
          <w:szCs w:val="22"/>
        </w:rPr>
      </w:pPr>
      <w:r>
        <w:rPr>
          <w:sz w:val="22"/>
          <w:szCs w:val="22"/>
        </w:rPr>
        <w:t>Acerca del cumplimiento de las disposiciones vigentes en materia de prevención d</w:t>
      </w:r>
      <w:r>
        <w:rPr>
          <w:sz w:val="22"/>
          <w:szCs w:val="22"/>
        </w:rPr>
        <w:t>e riesgos laborales.</w:t>
      </w:r>
    </w:p>
    <w:p w:rsidR="009E59D0" w:rsidRDefault="00DC241A">
      <w:pPr>
        <w:tabs>
          <w:tab w:val="left" w:pos="567"/>
        </w:tabs>
        <w:autoSpaceDE w:val="0"/>
        <w:jc w:val="both"/>
        <w:rPr>
          <w:rFonts w:eastAsia="Arial"/>
          <w:sz w:val="22"/>
          <w:szCs w:val="22"/>
        </w:rPr>
      </w:pPr>
      <w:r>
        <w:rPr>
          <w:rFonts w:eastAsia="Arial"/>
          <w:sz w:val="22"/>
          <w:szCs w:val="22"/>
        </w:rPr>
        <w:t xml:space="preserve"> </w:t>
      </w:r>
    </w:p>
    <w:p w:rsidR="009E59D0" w:rsidRDefault="00DC241A">
      <w:pPr>
        <w:pStyle w:val="Textindependent"/>
        <w:ind w:left="567"/>
        <w:jc w:val="both"/>
        <w:rPr>
          <w:rFonts w:ascii="Arial" w:hAnsi="Arial" w:cs="Arial"/>
          <w:sz w:val="22"/>
          <w:szCs w:val="22"/>
          <w:lang w:val="ca-ES"/>
        </w:rPr>
      </w:pPr>
      <w:r>
        <w:rPr>
          <w:rFonts w:ascii="Arial" w:hAnsi="Arial" w:cs="Arial"/>
          <w:sz w:val="22"/>
          <w:szCs w:val="22"/>
          <w:lang w:val="ca-ES"/>
        </w:rPr>
        <w:t>La contratista está obligado al cumplimiento de las disposiciones vigentes en materia de prevención de riesgos laborales y, de forma especial, de las obligaciones indicadas en el capítulo III o en el capítulo IV según proceda, del Re</w:t>
      </w:r>
      <w:r>
        <w:rPr>
          <w:rFonts w:ascii="Arial" w:hAnsi="Arial" w:cs="Arial"/>
          <w:sz w:val="22"/>
          <w:szCs w:val="22"/>
          <w:lang w:val="ca-ES"/>
        </w:rPr>
        <w:t>al decreto 171/2004 de 30 de enero por el que se desarrolla el artículo 24 de la Ley 31/1995, de 8 de noviembre, de prevención.</w:t>
      </w:r>
    </w:p>
    <w:p w:rsidR="009E59D0" w:rsidRDefault="009E59D0">
      <w:pPr>
        <w:pStyle w:val="Textindependent"/>
        <w:ind w:left="567"/>
        <w:jc w:val="both"/>
        <w:rPr>
          <w:rFonts w:ascii="Arial" w:hAnsi="Arial" w:cs="Arial"/>
          <w:sz w:val="22"/>
          <w:szCs w:val="22"/>
          <w:lang w:val="ca-ES"/>
        </w:rPr>
      </w:pPr>
    </w:p>
    <w:p w:rsidR="009E59D0" w:rsidRDefault="00DC241A">
      <w:pPr>
        <w:pStyle w:val="Textindependent"/>
        <w:ind w:left="567"/>
        <w:jc w:val="both"/>
        <w:rPr>
          <w:rFonts w:ascii="Arial" w:hAnsi="Arial" w:cs="Arial"/>
          <w:sz w:val="22"/>
          <w:szCs w:val="22"/>
          <w:lang w:val="ca-ES"/>
        </w:rPr>
      </w:pPr>
      <w:r>
        <w:rPr>
          <w:rFonts w:ascii="Arial" w:hAnsi="Arial" w:cs="Arial"/>
          <w:sz w:val="22"/>
          <w:szCs w:val="22"/>
          <w:lang w:val="ca-ES"/>
        </w:rPr>
        <w:t>El contratista deberá entregar la documentación cuando le sea requerida por el Servicio de Prevención de Riesgos Laborales de Eco-equip, SAM para su comprobación y aprobación.</w:t>
      </w:r>
    </w:p>
    <w:p w:rsidR="009E59D0" w:rsidRDefault="00DC241A">
      <w:pPr>
        <w:pStyle w:val="Textindependent"/>
        <w:numPr>
          <w:ilvl w:val="0"/>
          <w:numId w:val="7"/>
        </w:numPr>
        <w:tabs>
          <w:tab w:val="clear" w:pos="284"/>
          <w:tab w:val="left" w:pos="567"/>
        </w:tabs>
        <w:ind w:left="567" w:hanging="567"/>
        <w:jc w:val="both"/>
        <w:rPr>
          <w:rFonts w:ascii="Arial" w:hAnsi="Arial" w:cs="Arial"/>
          <w:color w:val="000000"/>
          <w:sz w:val="22"/>
          <w:szCs w:val="22"/>
          <w:lang w:val="ca-ES"/>
        </w:rPr>
      </w:pPr>
      <w:r>
        <w:rPr>
          <w:rFonts w:ascii="Arial" w:hAnsi="Arial" w:cs="Arial"/>
          <w:color w:val="000000"/>
          <w:sz w:val="22"/>
          <w:szCs w:val="22"/>
          <w:lang w:val="ca-ES"/>
        </w:rPr>
        <w:t>La empresa adjudicataria cumplirá con las obligaciones establecidas en materia d</w:t>
      </w:r>
      <w:r>
        <w:rPr>
          <w:rFonts w:ascii="Arial" w:hAnsi="Arial" w:cs="Arial"/>
          <w:color w:val="000000"/>
          <w:sz w:val="22"/>
          <w:szCs w:val="22"/>
          <w:lang w:val="ca-ES"/>
        </w:rPr>
        <w:t xml:space="preserve">e igualdad de género en la Ley 17/2015, de 21 de julio, de igualdad efectiva de hombres y </w:t>
      </w:r>
      <w:r>
        <w:rPr>
          <w:rFonts w:ascii="Arial" w:hAnsi="Arial" w:cs="Arial"/>
          <w:color w:val="000000"/>
          <w:sz w:val="22"/>
          <w:szCs w:val="22"/>
          <w:lang w:val="ca-ES"/>
        </w:rPr>
        <w:lastRenderedPageBreak/>
        <w:t>mujeres. Las empresas de más de doscientos cincuenta trabajadores/ras tendrán que disponer de un plan de igualdad de género interno, que podrá ser requerido por Eco-e</w:t>
      </w:r>
      <w:r>
        <w:rPr>
          <w:rFonts w:ascii="Arial" w:hAnsi="Arial" w:cs="Arial"/>
          <w:color w:val="000000"/>
          <w:sz w:val="22"/>
          <w:szCs w:val="22"/>
          <w:lang w:val="ca-ES"/>
        </w:rPr>
        <w:t>quip SAM., de conformidad con lo establecido en el artículo 36 del mismo texto legal.</w:t>
      </w:r>
    </w:p>
    <w:p w:rsidR="009E59D0" w:rsidRDefault="009E59D0">
      <w:pPr>
        <w:pStyle w:val="Textindependent"/>
        <w:tabs>
          <w:tab w:val="clear" w:pos="284"/>
        </w:tabs>
        <w:jc w:val="both"/>
        <w:rPr>
          <w:rFonts w:ascii="Arial" w:hAnsi="Arial" w:cs="Arial"/>
          <w:color w:val="000000"/>
          <w:sz w:val="22"/>
          <w:szCs w:val="22"/>
          <w:lang w:val="ca-ES"/>
        </w:rPr>
      </w:pPr>
    </w:p>
    <w:p w:rsidR="009E59D0" w:rsidRDefault="00DC241A">
      <w:pPr>
        <w:pStyle w:val="Textindependent"/>
        <w:tabs>
          <w:tab w:val="clear" w:pos="284"/>
          <w:tab w:val="left" w:pos="567"/>
        </w:tabs>
        <w:ind w:left="567"/>
        <w:jc w:val="both"/>
        <w:rPr>
          <w:rFonts w:ascii="Arial" w:hAnsi="Arial" w:cs="Arial"/>
          <w:color w:val="000000"/>
          <w:sz w:val="22"/>
          <w:szCs w:val="22"/>
          <w:lang w:val="ca-ES"/>
        </w:rPr>
      </w:pPr>
      <w:r>
        <w:rPr>
          <w:rFonts w:ascii="Arial" w:hAnsi="Arial" w:cs="Arial"/>
          <w:color w:val="000000"/>
          <w:sz w:val="22"/>
          <w:szCs w:val="22"/>
          <w:lang w:val="ca-ES"/>
        </w:rPr>
        <w:t xml:space="preserve">La contratista presentará, antes de la liquidación del contrato, una memoria de la empresa que recoja el impacto de las cláusulas sociales sobre la igualdad efectiva de </w:t>
      </w:r>
      <w:r>
        <w:rPr>
          <w:rFonts w:ascii="Arial" w:hAnsi="Arial" w:cs="Arial"/>
          <w:color w:val="000000"/>
          <w:sz w:val="22"/>
          <w:szCs w:val="22"/>
          <w:lang w:val="ca-ES"/>
        </w:rPr>
        <w:t>mujeres y hombres, el grado de estabilidad en el empleo, la contratación de personas con dificultades particulares de inserción en el mercado laboral, etc.</w:t>
      </w:r>
    </w:p>
    <w:p w:rsidR="009E59D0" w:rsidRDefault="009E59D0">
      <w:pPr>
        <w:pStyle w:val="Textindependent"/>
        <w:tabs>
          <w:tab w:val="clear" w:pos="284"/>
        </w:tabs>
        <w:jc w:val="both"/>
        <w:rPr>
          <w:rFonts w:ascii="Arial" w:hAnsi="Arial" w:cs="Arial"/>
          <w:color w:val="000000"/>
          <w:sz w:val="22"/>
          <w:szCs w:val="22"/>
          <w:lang w:val="ca-ES"/>
        </w:rPr>
      </w:pPr>
    </w:p>
    <w:p w:rsidR="009E59D0" w:rsidRDefault="00DC241A">
      <w:pPr>
        <w:pStyle w:val="Textindependent"/>
        <w:numPr>
          <w:ilvl w:val="0"/>
          <w:numId w:val="7"/>
        </w:numPr>
        <w:tabs>
          <w:tab w:val="clear" w:pos="284"/>
          <w:tab w:val="left" w:pos="567"/>
        </w:tabs>
        <w:ind w:left="426" w:hanging="426"/>
        <w:jc w:val="both"/>
        <w:rPr>
          <w:rFonts w:ascii="Arial" w:hAnsi="Arial" w:cs="Arial"/>
          <w:color w:val="000000"/>
          <w:sz w:val="22"/>
          <w:szCs w:val="22"/>
          <w:lang w:val="ca-ES"/>
        </w:rPr>
      </w:pPr>
      <w:r>
        <w:rPr>
          <w:rFonts w:ascii="Arial" w:hAnsi="Arial" w:cs="Arial"/>
          <w:color w:val="000000"/>
          <w:sz w:val="22"/>
          <w:szCs w:val="22"/>
          <w:lang w:val="ca-ES"/>
        </w:rPr>
        <w:t>Sobre la responsabilidad fiscal o la lucha contra el fraude fiscal.</w:t>
      </w:r>
    </w:p>
    <w:p w:rsidR="009E59D0" w:rsidRDefault="009E59D0">
      <w:pPr>
        <w:pStyle w:val="Textindependent"/>
        <w:tabs>
          <w:tab w:val="clear" w:pos="284"/>
        </w:tabs>
        <w:jc w:val="both"/>
        <w:rPr>
          <w:rFonts w:ascii="Arial" w:hAnsi="Arial" w:cs="Arial"/>
          <w:color w:val="000000"/>
          <w:sz w:val="22"/>
          <w:szCs w:val="22"/>
          <w:lang w:val="ca-ES"/>
        </w:rPr>
      </w:pPr>
    </w:p>
    <w:p w:rsidR="009E59D0" w:rsidRDefault="00DC241A">
      <w:pPr>
        <w:autoSpaceDE w:val="0"/>
        <w:ind w:left="567"/>
        <w:jc w:val="both"/>
      </w:pPr>
      <w:r>
        <w:rPr>
          <w:color w:val="000000"/>
          <w:sz w:val="22"/>
          <w:szCs w:val="22"/>
        </w:rPr>
        <w:t xml:space="preserve">Las licitadoras, contratistas </w:t>
      </w:r>
      <w:r>
        <w:rPr>
          <w:color w:val="000000"/>
          <w:sz w:val="22"/>
          <w:szCs w:val="22"/>
        </w:rPr>
        <w:t>o subcontratistas o empresas filiales o empresas interpuestas no podrán realizar operaciones financieras en paraísos fiscales, según la lista de países elaborada por las Instituciones Europeas o avaladas por éstas o, en su defecto, el Estado español o fuer</w:t>
      </w:r>
      <w:r>
        <w:rPr>
          <w:color w:val="000000"/>
          <w:sz w:val="22"/>
          <w:szCs w:val="22"/>
        </w:rPr>
        <w:t>a de ellos, y que sean consideradas delictivas, en los términos legalmente establecidos, como delitos de contra.</w:t>
      </w:r>
    </w:p>
    <w:p w:rsidR="009E59D0" w:rsidRDefault="009E59D0">
      <w:pPr>
        <w:autoSpaceDE w:val="0"/>
        <w:ind w:left="567"/>
        <w:jc w:val="both"/>
      </w:pPr>
    </w:p>
    <w:p w:rsidR="009E59D0" w:rsidRDefault="00DC241A">
      <w:pPr>
        <w:autoSpaceDE w:val="0"/>
        <w:ind w:left="567" w:hanging="567"/>
        <w:jc w:val="both"/>
      </w:pPr>
      <w:r>
        <w:rPr>
          <w:color w:val="000000"/>
          <w:sz w:val="22"/>
          <w:szCs w:val="22"/>
          <w:lang w:val="es-ES"/>
        </w:rPr>
        <w:t>7.</w:t>
      </w:r>
      <w:r>
        <w:rPr>
          <w:color w:val="000000"/>
          <w:sz w:val="22"/>
          <w:szCs w:val="22"/>
          <w:lang w:val="es-ES"/>
        </w:rPr>
        <w:tab/>
      </w:r>
      <w:r>
        <w:rPr>
          <w:sz w:val="22"/>
          <w:szCs w:val="22"/>
        </w:rPr>
        <w:t>Las licitadoras, contratistas o subcontratistas o empresas filiales o empresas interpuestas deben respetar los derechos humanos en cualquie</w:t>
      </w:r>
      <w:r>
        <w:rPr>
          <w:sz w:val="22"/>
          <w:szCs w:val="22"/>
        </w:rPr>
        <w:t>r lugar donde desarrollen sus actividades, y que, por tanto, no realicen operaciones financieras, inversiones, compras, contrataciones, así como otras actividades económicas que comporten la vulneración de los Derechos Humanos.</w:t>
      </w:r>
    </w:p>
    <w:p w:rsidR="009E59D0" w:rsidRDefault="009E59D0">
      <w:pPr>
        <w:ind w:left="360"/>
        <w:jc w:val="both"/>
        <w:rPr>
          <w:sz w:val="22"/>
          <w:szCs w:val="22"/>
        </w:rPr>
      </w:pPr>
    </w:p>
    <w:p w:rsidR="009E59D0" w:rsidRDefault="00DC241A">
      <w:pPr>
        <w:ind w:left="567"/>
        <w:jc w:val="both"/>
        <w:rPr>
          <w:sz w:val="22"/>
          <w:szCs w:val="22"/>
        </w:rPr>
      </w:pPr>
      <w:r>
        <w:rPr>
          <w:sz w:val="22"/>
          <w:szCs w:val="22"/>
        </w:rPr>
        <w:t>Las licitadoras, contratist</w:t>
      </w:r>
      <w:r>
        <w:rPr>
          <w:sz w:val="22"/>
          <w:szCs w:val="22"/>
        </w:rPr>
        <w:t xml:space="preserve">as o subcontratistas o empresas filiales o empresas interpuestas y cadenas de proveedores no pueden pertenecer ni realizar operaciones financieras, inversiones, compras, contrataciones, así como otras actividades económicas que vayan en contra del Derecho </w:t>
      </w:r>
      <w:r>
        <w:rPr>
          <w:sz w:val="22"/>
          <w:szCs w:val="22"/>
        </w:rPr>
        <w:t>Internacional de Derechos Humanos y/o Derecho Internacional Humanitario en colonias (asentamientos construidos por un Estado de ocupado).</w:t>
      </w:r>
    </w:p>
    <w:p w:rsidR="009E59D0" w:rsidRDefault="009E59D0">
      <w:pPr>
        <w:jc w:val="both"/>
        <w:rPr>
          <w:b/>
          <w:sz w:val="22"/>
          <w:szCs w:val="22"/>
        </w:rPr>
      </w:pPr>
    </w:p>
    <w:p w:rsidR="009E59D0" w:rsidRDefault="00DC241A">
      <w:pPr>
        <w:pStyle w:val="Textindependent"/>
        <w:tabs>
          <w:tab w:val="clear" w:pos="284"/>
          <w:tab w:val="left" w:pos="567"/>
        </w:tabs>
        <w:ind w:left="142"/>
        <w:jc w:val="both"/>
      </w:pPr>
      <w:r>
        <w:rPr>
          <w:rFonts w:ascii="Arial" w:hAnsi="Arial" w:cs="Arial"/>
          <w:color w:val="000000"/>
          <w:sz w:val="22"/>
          <w:szCs w:val="22"/>
          <w:lang w:val="es-ES"/>
        </w:rPr>
        <w:t>8</w:t>
      </w:r>
      <w:r>
        <w:rPr>
          <w:rFonts w:ascii="Arial" w:hAnsi="Arial" w:cs="Arial"/>
          <w:color w:val="000000"/>
          <w:sz w:val="22"/>
          <w:szCs w:val="22"/>
          <w:lang w:val="ca-ES"/>
        </w:rPr>
        <w:t>.Sobre los principios éticos y reglas de conducta</w:t>
      </w:r>
      <w:r>
        <w:rPr>
          <w:rFonts w:ascii="Arial" w:hAnsi="Arial" w:cs="Arial"/>
          <w:color w:val="000000"/>
          <w:sz w:val="22"/>
          <w:szCs w:val="22"/>
          <w:lang w:val="ca-ES"/>
        </w:rPr>
        <w:tab/>
      </w:r>
    </w:p>
    <w:p w:rsidR="009E59D0" w:rsidRDefault="009E59D0">
      <w:pPr>
        <w:jc w:val="both"/>
        <w:rPr>
          <w:b/>
          <w:color w:val="000000"/>
          <w:sz w:val="22"/>
          <w:szCs w:val="22"/>
        </w:rPr>
      </w:pPr>
    </w:p>
    <w:p w:rsidR="009E59D0" w:rsidRDefault="00DC241A">
      <w:pPr>
        <w:ind w:left="567"/>
        <w:jc w:val="both"/>
      </w:pPr>
      <w:r>
        <w:rPr>
          <w:sz w:val="22"/>
          <w:szCs w:val="22"/>
        </w:rPr>
        <w:t>De conformidad con lo que prevé el artículo 55 de la Ley 19/2014</w:t>
      </w:r>
      <w:r>
        <w:rPr>
          <w:sz w:val="22"/>
          <w:szCs w:val="22"/>
        </w:rPr>
        <w:t>, de 29 de diciembre, de transparencia, acceso a la información pública y buen gobierno, las contratistas y las personas beneficiarias deben adecuar la actividad a los siguientes principios éticos y reglas de conducta:</w:t>
      </w:r>
    </w:p>
    <w:p w:rsidR="009E59D0" w:rsidRDefault="009E59D0">
      <w:pPr>
        <w:jc w:val="both"/>
        <w:rPr>
          <w:sz w:val="22"/>
          <w:szCs w:val="22"/>
        </w:rPr>
      </w:pPr>
    </w:p>
    <w:p w:rsidR="009E59D0" w:rsidRDefault="00DC241A">
      <w:pPr>
        <w:numPr>
          <w:ilvl w:val="0"/>
          <w:numId w:val="6"/>
        </w:numPr>
        <w:tabs>
          <w:tab w:val="left" w:pos="993"/>
        </w:tabs>
        <w:autoSpaceDE w:val="0"/>
        <w:ind w:left="993" w:hanging="426"/>
        <w:jc w:val="both"/>
        <w:rPr>
          <w:sz w:val="22"/>
          <w:szCs w:val="22"/>
        </w:rPr>
      </w:pPr>
      <w:r>
        <w:rPr>
          <w:sz w:val="22"/>
          <w:szCs w:val="22"/>
        </w:rPr>
        <w:t>Con carácter general:</w:t>
      </w:r>
    </w:p>
    <w:p w:rsidR="009E59D0" w:rsidRDefault="009E59D0">
      <w:pPr>
        <w:autoSpaceDE w:val="0"/>
        <w:rPr>
          <w:sz w:val="22"/>
          <w:szCs w:val="22"/>
        </w:rPr>
      </w:pPr>
    </w:p>
    <w:p w:rsidR="009E59D0" w:rsidRDefault="00DC241A">
      <w:pPr>
        <w:numPr>
          <w:ilvl w:val="1"/>
          <w:numId w:val="6"/>
        </w:numPr>
        <w:tabs>
          <w:tab w:val="left" w:pos="1276"/>
        </w:tabs>
        <w:autoSpaceDE w:val="0"/>
        <w:ind w:left="1276" w:hanging="283"/>
        <w:jc w:val="both"/>
        <w:rPr>
          <w:iCs/>
          <w:sz w:val="22"/>
          <w:szCs w:val="22"/>
        </w:rPr>
      </w:pPr>
      <w:r>
        <w:rPr>
          <w:iCs/>
          <w:sz w:val="22"/>
          <w:szCs w:val="22"/>
        </w:rPr>
        <w:t xml:space="preserve">Observar los </w:t>
      </w:r>
      <w:r>
        <w:rPr>
          <w:iCs/>
          <w:sz w:val="22"/>
          <w:szCs w:val="22"/>
        </w:rPr>
        <w:t>principios, normas y cánones éticos propios de las actividades, oficios y/o profesiones correspondientes a las prestaciones contratadas.</w:t>
      </w:r>
    </w:p>
    <w:p w:rsidR="009E59D0" w:rsidRDefault="00DC241A">
      <w:pPr>
        <w:numPr>
          <w:ilvl w:val="1"/>
          <w:numId w:val="6"/>
        </w:numPr>
        <w:tabs>
          <w:tab w:val="left" w:pos="1276"/>
        </w:tabs>
        <w:autoSpaceDE w:val="0"/>
        <w:ind w:left="1276" w:hanging="283"/>
        <w:jc w:val="both"/>
      </w:pPr>
      <w:r>
        <w:rPr>
          <w:iCs/>
          <w:sz w:val="22"/>
          <w:szCs w:val="22"/>
        </w:rPr>
        <w:t>No realizar acciones que pongan en riesgo el interés público.</w:t>
      </w:r>
    </w:p>
    <w:p w:rsidR="009E59D0" w:rsidRDefault="00DC241A">
      <w:pPr>
        <w:numPr>
          <w:ilvl w:val="1"/>
          <w:numId w:val="6"/>
        </w:numPr>
        <w:tabs>
          <w:tab w:val="left" w:pos="1276"/>
        </w:tabs>
        <w:autoSpaceDE w:val="0"/>
        <w:ind w:left="1276" w:hanging="283"/>
        <w:jc w:val="both"/>
        <w:rPr>
          <w:iCs/>
          <w:sz w:val="22"/>
          <w:szCs w:val="22"/>
        </w:rPr>
      </w:pPr>
      <w:r>
        <w:rPr>
          <w:iCs/>
          <w:sz w:val="22"/>
          <w:szCs w:val="22"/>
        </w:rPr>
        <w:t>Denunciar las situaciones irregulares que puedan presenta</w:t>
      </w:r>
      <w:r>
        <w:rPr>
          <w:iCs/>
          <w:sz w:val="22"/>
          <w:szCs w:val="22"/>
        </w:rPr>
        <w:t>rse en los procesos de contratación pública.</w:t>
      </w:r>
    </w:p>
    <w:p w:rsidR="009E59D0" w:rsidRDefault="009E59D0">
      <w:pPr>
        <w:tabs>
          <w:tab w:val="left" w:pos="1134"/>
        </w:tabs>
        <w:autoSpaceDE w:val="0"/>
        <w:ind w:left="851"/>
        <w:jc w:val="both"/>
        <w:rPr>
          <w:b/>
          <w:sz w:val="22"/>
          <w:szCs w:val="22"/>
        </w:rPr>
      </w:pPr>
    </w:p>
    <w:p w:rsidR="009E59D0" w:rsidRDefault="00DC241A">
      <w:pPr>
        <w:numPr>
          <w:ilvl w:val="0"/>
          <w:numId w:val="6"/>
        </w:numPr>
        <w:tabs>
          <w:tab w:val="left" w:pos="993"/>
        </w:tabs>
        <w:autoSpaceDE w:val="0"/>
        <w:ind w:left="993" w:hanging="426"/>
        <w:jc w:val="both"/>
        <w:rPr>
          <w:iCs/>
          <w:sz w:val="22"/>
          <w:szCs w:val="22"/>
        </w:rPr>
      </w:pPr>
      <w:r>
        <w:rPr>
          <w:iCs/>
          <w:sz w:val="22"/>
          <w:szCs w:val="22"/>
        </w:rPr>
        <w:t>En particular, las licitadoras y contratistas asumen las siguientes obligaciones, con el carácter de obligaciones contractuales esenciales:</w:t>
      </w:r>
    </w:p>
    <w:p w:rsidR="009E59D0" w:rsidRDefault="009E59D0">
      <w:pPr>
        <w:autoSpaceDE w:val="0"/>
        <w:ind w:left="426"/>
        <w:jc w:val="both"/>
        <w:rPr>
          <w:b/>
          <w:sz w:val="22"/>
          <w:szCs w:val="22"/>
        </w:rPr>
      </w:pPr>
    </w:p>
    <w:p w:rsidR="009E59D0" w:rsidRDefault="00DC241A">
      <w:pPr>
        <w:numPr>
          <w:ilvl w:val="1"/>
          <w:numId w:val="6"/>
        </w:numPr>
        <w:autoSpaceDE w:val="0"/>
        <w:ind w:left="1276" w:hanging="283"/>
        <w:jc w:val="both"/>
        <w:rPr>
          <w:iCs/>
          <w:color w:val="000000"/>
          <w:sz w:val="22"/>
          <w:szCs w:val="22"/>
        </w:rPr>
      </w:pPr>
      <w:r>
        <w:rPr>
          <w:iCs/>
          <w:color w:val="000000"/>
          <w:sz w:val="22"/>
          <w:szCs w:val="22"/>
        </w:rPr>
        <w:t xml:space="preserve">Comunicar de inmediato al órgano de contratación las posibles </w:t>
      </w:r>
      <w:r>
        <w:rPr>
          <w:iCs/>
          <w:color w:val="000000"/>
          <w:sz w:val="22"/>
          <w:szCs w:val="22"/>
        </w:rPr>
        <w:t>situaciones de conflicto de intereses.</w:t>
      </w:r>
    </w:p>
    <w:p w:rsidR="009E59D0" w:rsidRDefault="00DC241A">
      <w:pPr>
        <w:numPr>
          <w:ilvl w:val="1"/>
          <w:numId w:val="6"/>
        </w:numPr>
        <w:autoSpaceDE w:val="0"/>
        <w:ind w:left="1276" w:hanging="283"/>
        <w:jc w:val="both"/>
        <w:rPr>
          <w:iCs/>
          <w:color w:val="000000"/>
          <w:sz w:val="22"/>
          <w:szCs w:val="22"/>
        </w:rPr>
      </w:pPr>
      <w:r>
        <w:rPr>
          <w:iCs/>
          <w:color w:val="000000"/>
          <w:sz w:val="22"/>
          <w:szCs w:val="22"/>
        </w:rPr>
        <w:t>No solicitar, directa o indirectamente, que un cargo o empleado público influya en la adjudicación del contrato en interés propio.</w:t>
      </w:r>
    </w:p>
    <w:p w:rsidR="009E59D0" w:rsidRDefault="00DC241A">
      <w:pPr>
        <w:numPr>
          <w:ilvl w:val="1"/>
          <w:numId w:val="6"/>
        </w:numPr>
        <w:autoSpaceDE w:val="0"/>
        <w:ind w:left="1276" w:hanging="283"/>
        <w:jc w:val="both"/>
        <w:rPr>
          <w:iCs/>
          <w:color w:val="000000"/>
          <w:sz w:val="22"/>
          <w:szCs w:val="22"/>
        </w:rPr>
      </w:pPr>
      <w:r>
        <w:rPr>
          <w:iCs/>
          <w:color w:val="000000"/>
          <w:sz w:val="22"/>
          <w:szCs w:val="22"/>
        </w:rPr>
        <w:t>No ofrecer ni facilitar a cargos o empleados públicos ventajas personales o materiales</w:t>
      </w:r>
      <w:r>
        <w:rPr>
          <w:iCs/>
          <w:color w:val="000000"/>
          <w:sz w:val="22"/>
          <w:szCs w:val="22"/>
        </w:rPr>
        <w:t>, ni para sí mismos ni para personas vinculadas con su entorno familiar o social, con la voluntad de incidir en un procedimiento contractual.</w:t>
      </w:r>
    </w:p>
    <w:p w:rsidR="009E59D0" w:rsidRDefault="00DC241A">
      <w:pPr>
        <w:numPr>
          <w:ilvl w:val="1"/>
          <w:numId w:val="6"/>
        </w:numPr>
        <w:autoSpaceDE w:val="0"/>
        <w:ind w:left="1276" w:hanging="283"/>
        <w:jc w:val="both"/>
        <w:rPr>
          <w:iCs/>
          <w:color w:val="000000"/>
          <w:sz w:val="22"/>
          <w:szCs w:val="22"/>
        </w:rPr>
      </w:pPr>
      <w:r>
        <w:rPr>
          <w:iCs/>
          <w:color w:val="000000"/>
          <w:sz w:val="22"/>
          <w:szCs w:val="22"/>
        </w:rPr>
        <w:t>No realizar cualquier otra acción que pueda vulnerar los principios de igualdad de oportunidades y libre concurren</w:t>
      </w:r>
      <w:r>
        <w:rPr>
          <w:iCs/>
          <w:color w:val="000000"/>
          <w:sz w:val="22"/>
          <w:szCs w:val="22"/>
        </w:rPr>
        <w:t>cia.</w:t>
      </w:r>
    </w:p>
    <w:p w:rsidR="009E59D0" w:rsidRDefault="00DC241A">
      <w:pPr>
        <w:numPr>
          <w:ilvl w:val="1"/>
          <w:numId w:val="6"/>
        </w:numPr>
        <w:autoSpaceDE w:val="0"/>
        <w:ind w:left="1276" w:hanging="283"/>
        <w:jc w:val="both"/>
        <w:rPr>
          <w:iCs/>
          <w:color w:val="000000"/>
          <w:sz w:val="22"/>
          <w:szCs w:val="22"/>
        </w:rPr>
      </w:pPr>
      <w:r>
        <w:rPr>
          <w:iCs/>
          <w:color w:val="000000"/>
          <w:sz w:val="22"/>
          <w:szCs w:val="22"/>
        </w:rPr>
        <w:lastRenderedPageBreak/>
        <w:t>Respetar los principios de libre mercado y de concurrencia competitiva y abstenerse de realizar conductas que tengan por objeto o puedan producir el efecto de impedir, restringir o falsear la competencia, como por ejemplo los comportamientos colusorio</w:t>
      </w:r>
      <w:r>
        <w:rPr>
          <w:iCs/>
          <w:color w:val="000000"/>
          <w:sz w:val="22"/>
          <w:szCs w:val="22"/>
        </w:rPr>
        <w:t>s o de competencia fraudulenta (ofertas de resguardo, eliminación de ofertas, asignación de mercados, rotación de ofertas, etc.). Asimismo, denunciar cualquier acto o conducta dirigidos a aquellos fines y relacionados con la licitación o contrato de los qu</w:t>
      </w:r>
      <w:r>
        <w:rPr>
          <w:iCs/>
          <w:color w:val="000000"/>
          <w:sz w:val="22"/>
          <w:szCs w:val="22"/>
        </w:rPr>
        <w:t>e tuviera conocimiento.</w:t>
      </w:r>
    </w:p>
    <w:p w:rsidR="009E59D0" w:rsidRDefault="00DC241A">
      <w:pPr>
        <w:numPr>
          <w:ilvl w:val="1"/>
          <w:numId w:val="6"/>
        </w:numPr>
        <w:autoSpaceDE w:val="0"/>
        <w:ind w:left="1276" w:hanging="283"/>
        <w:jc w:val="both"/>
        <w:rPr>
          <w:iCs/>
          <w:color w:val="000000"/>
          <w:sz w:val="22"/>
          <w:szCs w:val="22"/>
        </w:rPr>
      </w:pPr>
      <w:r>
        <w:rPr>
          <w:iCs/>
          <w:color w:val="000000"/>
          <w:sz w:val="22"/>
          <w:szCs w:val="22"/>
        </w:rPr>
        <w:t>No utilizar información confidencial, conocida mediante el contrato, para obtener, directa o indirectamente, una ventaja o beneficio económico en interés propio.</w:t>
      </w:r>
    </w:p>
    <w:p w:rsidR="009E59D0" w:rsidRDefault="00DC241A">
      <w:pPr>
        <w:numPr>
          <w:ilvl w:val="1"/>
          <w:numId w:val="6"/>
        </w:numPr>
        <w:autoSpaceDE w:val="0"/>
        <w:ind w:left="1276" w:hanging="283"/>
        <w:jc w:val="both"/>
        <w:rPr>
          <w:iCs/>
          <w:color w:val="000000"/>
          <w:sz w:val="22"/>
          <w:szCs w:val="22"/>
        </w:rPr>
      </w:pPr>
      <w:r>
        <w:rPr>
          <w:iCs/>
          <w:color w:val="000000"/>
          <w:sz w:val="22"/>
          <w:szCs w:val="22"/>
        </w:rPr>
        <w:t>Colaborar con el órgano de contratación en las actuaciones que éste re</w:t>
      </w:r>
      <w:r>
        <w:rPr>
          <w:iCs/>
          <w:color w:val="000000"/>
          <w:sz w:val="22"/>
          <w:szCs w:val="22"/>
        </w:rPr>
        <w:t>alice para el seguimiento y/o la evaluación del cumplimiento del contrato, particularmente facilitando la información que le sea solicitada para estas finalidades.</w:t>
      </w:r>
    </w:p>
    <w:p w:rsidR="009E59D0" w:rsidRDefault="00DC241A">
      <w:pPr>
        <w:numPr>
          <w:ilvl w:val="1"/>
          <w:numId w:val="6"/>
        </w:numPr>
        <w:autoSpaceDE w:val="0"/>
        <w:ind w:left="1276" w:hanging="283"/>
        <w:jc w:val="both"/>
        <w:rPr>
          <w:iCs/>
          <w:color w:val="000000"/>
          <w:sz w:val="22"/>
          <w:szCs w:val="22"/>
        </w:rPr>
      </w:pPr>
      <w:r>
        <w:rPr>
          <w:iCs/>
          <w:color w:val="000000"/>
          <w:sz w:val="22"/>
          <w:szCs w:val="22"/>
        </w:rPr>
        <w:t xml:space="preserve">Cumplir las obligaciones de facilitar información que la legislación de transparencia y los </w:t>
      </w:r>
      <w:r>
        <w:rPr>
          <w:iCs/>
          <w:color w:val="000000"/>
          <w:sz w:val="22"/>
          <w:szCs w:val="22"/>
        </w:rPr>
        <w:t>contratos del sector público imponen a los adjudicatarios en relación con la Administración o administraciones de referencia, sin perjuicio del cumplimiento de las obligaciones de transparencia que les correspondan de forma directa por previsión legal.</w:t>
      </w:r>
    </w:p>
    <w:p w:rsidR="009E59D0" w:rsidRDefault="00DC241A">
      <w:pPr>
        <w:numPr>
          <w:ilvl w:val="1"/>
          <w:numId w:val="6"/>
        </w:numPr>
        <w:autoSpaceDE w:val="0"/>
        <w:ind w:left="1276" w:hanging="283"/>
        <w:jc w:val="both"/>
      </w:pPr>
      <w:r>
        <w:rPr>
          <w:iCs/>
          <w:color w:val="000000"/>
          <w:sz w:val="22"/>
          <w:szCs w:val="22"/>
        </w:rPr>
        <w:t>Den</w:t>
      </w:r>
      <w:r>
        <w:rPr>
          <w:iCs/>
          <w:color w:val="000000"/>
          <w:sz w:val="22"/>
          <w:szCs w:val="22"/>
        </w:rPr>
        <w:t>unciar los actos de los que tenga conocimiento y que puedan comportar una infracción de las obligaciones contenidas en esta cláusula.</w:t>
      </w:r>
    </w:p>
    <w:p w:rsidR="009E59D0" w:rsidRDefault="009E59D0">
      <w:pPr>
        <w:jc w:val="both"/>
        <w:rPr>
          <w:b/>
          <w:sz w:val="22"/>
          <w:szCs w:val="22"/>
        </w:rPr>
      </w:pPr>
    </w:p>
    <w:p w:rsidR="009E59D0" w:rsidRDefault="009E59D0">
      <w:pPr>
        <w:jc w:val="both"/>
        <w:rPr>
          <w:b/>
          <w:sz w:val="22"/>
          <w:szCs w:val="22"/>
        </w:rPr>
      </w:pPr>
    </w:p>
    <w:p w:rsidR="009E59D0" w:rsidRDefault="00DC241A">
      <w:pPr>
        <w:jc w:val="both"/>
        <w:rPr>
          <w:b/>
          <w:sz w:val="22"/>
        </w:rPr>
      </w:pPr>
      <w:r>
        <w:rPr>
          <w:b/>
          <w:sz w:val="22"/>
        </w:rPr>
        <w:t>VIGÉSIMO.- Proposiciones</w:t>
      </w:r>
    </w:p>
    <w:p w:rsidR="009E59D0" w:rsidRDefault="009E59D0">
      <w:pPr>
        <w:jc w:val="both"/>
        <w:rPr>
          <w:b/>
          <w:sz w:val="22"/>
        </w:rPr>
      </w:pPr>
    </w:p>
    <w:p w:rsidR="009E59D0" w:rsidRDefault="00DC241A">
      <w:pPr>
        <w:jc w:val="both"/>
        <w:rPr>
          <w:sz w:val="22"/>
        </w:rPr>
      </w:pPr>
      <w:r>
        <w:rPr>
          <w:sz w:val="22"/>
        </w:rPr>
        <w:t>Pueden presentar proposiciones, que serán únicas, las personas naturales o jurídicas, española</w:t>
      </w:r>
      <w:r>
        <w:rPr>
          <w:sz w:val="22"/>
        </w:rPr>
        <w:t xml:space="preserve">s o extranjeras, que tengan plena capacidad de obrar, no estén incursas en ninguna prohibición de contratar y acrediten su solvencia económica, financiera y técnica o profesional.  </w:t>
      </w:r>
    </w:p>
    <w:p w:rsidR="009E59D0" w:rsidRDefault="009E59D0">
      <w:pPr>
        <w:jc w:val="both"/>
        <w:rPr>
          <w:sz w:val="22"/>
        </w:rPr>
      </w:pPr>
    </w:p>
    <w:p w:rsidR="009E59D0" w:rsidRDefault="00DC241A">
      <w:pPr>
        <w:jc w:val="both"/>
        <w:rPr>
          <w:sz w:val="22"/>
        </w:rPr>
      </w:pPr>
      <w:r>
        <w:rPr>
          <w:sz w:val="22"/>
        </w:rPr>
        <w:t>Si alguna proposición no guardara concordancia con la documentación exami</w:t>
      </w:r>
      <w:r>
        <w:rPr>
          <w:sz w:val="22"/>
        </w:rPr>
        <w:t>nada y admitida, excediera del presupuesto base de licitación, variara sustancialmente el modelo establecido, o comportase error manifiesto en el importe de la proposición, o existiera reconocimiento por parte del licitador de incurrir en error o inconsist</w:t>
      </w:r>
      <w:r>
        <w:rPr>
          <w:sz w:val="22"/>
        </w:rPr>
        <w:t>encia que la hagan inviable, será rechazada por la mesa.</w:t>
      </w:r>
    </w:p>
    <w:p w:rsidR="009E59D0" w:rsidRDefault="009E59D0">
      <w:pPr>
        <w:jc w:val="both"/>
        <w:rPr>
          <w:sz w:val="22"/>
        </w:rPr>
      </w:pPr>
    </w:p>
    <w:p w:rsidR="009E59D0" w:rsidRDefault="009E59D0">
      <w:pPr>
        <w:jc w:val="both"/>
        <w:rPr>
          <w:sz w:val="22"/>
        </w:rPr>
      </w:pPr>
    </w:p>
    <w:p w:rsidR="009E59D0" w:rsidRDefault="00DC241A">
      <w:pPr>
        <w:jc w:val="both"/>
        <w:rPr>
          <w:b/>
          <w:sz w:val="22"/>
        </w:rPr>
      </w:pPr>
      <w:r>
        <w:rPr>
          <w:b/>
          <w:sz w:val="22"/>
        </w:rPr>
        <w:t>VIGÉSIMA PRIMERA.- Medio de presentación de las proposiciones.</w:t>
      </w:r>
    </w:p>
    <w:p w:rsidR="009E59D0" w:rsidRDefault="009E59D0">
      <w:pPr>
        <w:jc w:val="both"/>
        <w:rPr>
          <w:b/>
          <w:sz w:val="22"/>
        </w:rPr>
      </w:pPr>
    </w:p>
    <w:p w:rsidR="009E59D0" w:rsidRDefault="009E59D0">
      <w:pPr>
        <w:pStyle w:val="Ttol7"/>
        <w:rPr>
          <w:b w:val="0"/>
        </w:rPr>
      </w:pPr>
    </w:p>
    <w:p w:rsidR="009E59D0" w:rsidRDefault="00DC241A">
      <w:pPr>
        <w:pStyle w:val="Ttol7"/>
        <w:rPr>
          <w:b w:val="0"/>
        </w:rPr>
      </w:pPr>
      <w:r>
        <w:rPr>
          <w:b w:val="0"/>
        </w:rPr>
        <w:t>De conformidad con las disposiciones adicionales 15, 16 y 17 de LCSP, se establece la obligatoriedad del uso de medios electrónicos,</w:t>
      </w:r>
      <w:r>
        <w:rPr>
          <w:b w:val="0"/>
        </w:rPr>
        <w:t xml:space="preserve"> informáticos o telemáticos para desarrollar todas las fases del procedimiento de contratación, inclusivas las que corresponda realizar a las empresas licitadoras y/o candidatas como la presentación de las ofertas. Las proposiciones que no se presenten por</w:t>
      </w:r>
      <w:r>
        <w:rPr>
          <w:b w:val="0"/>
        </w:rPr>
        <w:t xml:space="preserve"> medios electrónicos en la forma que determina el presente pliego serán excluidas.</w:t>
      </w:r>
    </w:p>
    <w:p w:rsidR="009E59D0" w:rsidRDefault="009E59D0">
      <w:pPr>
        <w:pStyle w:val="Ttol7"/>
        <w:rPr>
          <w:b w:val="0"/>
        </w:rPr>
      </w:pPr>
    </w:p>
    <w:p w:rsidR="009E59D0" w:rsidRDefault="00DC241A">
      <w:pPr>
        <w:pStyle w:val="Ttol7"/>
        <w:rPr>
          <w:b w:val="0"/>
        </w:rPr>
      </w:pPr>
      <w:r>
        <w:rPr>
          <w:b w:val="0"/>
        </w:rPr>
        <w:t>La licitación se anunciará en el perfil del contratante de Eco-equipo SAM, a través de la Plataforma de Servicios de Contratación Pública.</w:t>
      </w:r>
    </w:p>
    <w:p w:rsidR="009E59D0" w:rsidRDefault="00DC241A">
      <w:pPr>
        <w:pStyle w:val="Ttol7"/>
      </w:pPr>
      <w:hyperlink r:id="rId9">
        <w:r>
          <w:rPr>
            <w:rStyle w:val="Enlla"/>
          </w:rPr>
          <w:t>https://contractaciopublica.cat/ca/perfils-contractant/detall/11534561?categoria=0</w:t>
        </w:r>
      </w:hyperlink>
    </w:p>
    <w:p w:rsidR="009E59D0" w:rsidRDefault="009E59D0">
      <w:pPr>
        <w:rPr>
          <w:b/>
        </w:rPr>
      </w:pPr>
    </w:p>
    <w:p w:rsidR="009E59D0" w:rsidRDefault="00DC241A">
      <w:pPr>
        <w:pStyle w:val="Ttol7"/>
        <w:rPr>
          <w:b w:val="0"/>
        </w:rPr>
      </w:pPr>
      <w:r>
        <w:rPr>
          <w:b w:val="0"/>
        </w:rPr>
        <w:t>La presentación de proposiciones se realizará únicamente a través de esta plataforma electrónica median</w:t>
      </w:r>
      <w:r>
        <w:rPr>
          <w:b w:val="0"/>
        </w:rPr>
        <w:t xml:space="preserve">te la herramienta de Sobre Digital, la presentación de ofertas a través de </w:t>
      </w:r>
      <w:r>
        <w:rPr>
          <w:b w:val="0"/>
        </w:rPr>
        <w:lastRenderedPageBreak/>
        <w:t>cualquier otra plataforma que no sea la anteriormente indicada se tendrá por no efectuada y quedará excluida.</w:t>
      </w:r>
    </w:p>
    <w:p w:rsidR="009E59D0" w:rsidRDefault="00DC241A">
      <w:pPr>
        <w:pStyle w:val="Ttol7"/>
        <w:rPr>
          <w:b w:val="0"/>
        </w:rPr>
      </w:pPr>
      <w:r>
        <w:rPr>
          <w:b w:val="0"/>
        </w:rPr>
        <w:t>Los documentos y el resumen de la oferta quedarán debidamente cifrados.</w:t>
      </w:r>
    </w:p>
    <w:p w:rsidR="009E59D0" w:rsidRDefault="00DC241A">
      <w:pPr>
        <w:pStyle w:val="Ttol7"/>
        <w:rPr>
          <w:b w:val="0"/>
        </w:rPr>
      </w:pPr>
      <w:r>
        <w:rPr>
          <w:b w:val="0"/>
        </w:rPr>
        <w:t>La participación en la presente licitación comporta la aceptación irrevocable de los presentes pliegos tanto técnicos como particulares, así como las condiciones legales y uso de la plataforma.</w:t>
      </w:r>
    </w:p>
    <w:p w:rsidR="009E59D0" w:rsidRDefault="00DC241A">
      <w:pPr>
        <w:pStyle w:val="Ttol7"/>
        <w:rPr>
          <w:b w:val="0"/>
        </w:rPr>
      </w:pPr>
      <w:r>
        <w:rPr>
          <w:b w:val="0"/>
        </w:rPr>
        <w:t xml:space="preserve">Una vez efectuado el registro (gratuito) en la plataforma de </w:t>
      </w:r>
      <w:r>
        <w:rPr>
          <w:b w:val="0"/>
        </w:rPr>
        <w:t>licitación electrónica, se seguirán los siguientes pasos:</w:t>
      </w:r>
    </w:p>
    <w:p w:rsidR="009E59D0" w:rsidRDefault="00DC241A">
      <w:pPr>
        <w:pStyle w:val="Ttol7"/>
        <w:rPr>
          <w:b w:val="0"/>
        </w:rPr>
      </w:pPr>
      <w:r>
        <w:rPr>
          <w:b w:val="0"/>
        </w:rPr>
        <w:t>1.Dirigirse a la página de acceso a la plataforma en el siguiente enlace:</w:t>
      </w:r>
      <w:r>
        <w:rPr>
          <w:b w:val="0"/>
        </w:rPr>
        <w:tab/>
      </w:r>
    </w:p>
    <w:p w:rsidR="009E59D0" w:rsidRDefault="00DC241A">
      <w:pPr>
        <w:pStyle w:val="Ttol7"/>
        <w:rPr>
          <w:b w:val="0"/>
        </w:rPr>
      </w:pPr>
      <w:hyperlink r:id="rId10">
        <w:r>
          <w:rPr>
            <w:rStyle w:val="Enlla"/>
          </w:rPr>
          <w:t>https://contractaciopublica.gencat.cat/ecofin_pscp/AppJava/cap.pscp?reqCode=viewDetail&amp;keyword=eco-equip&amp;idCap=11534561&amp;ambit</w:t>
        </w:r>
      </w:hyperlink>
    </w:p>
    <w:p w:rsidR="009E59D0" w:rsidRDefault="00DC241A">
      <w:pPr>
        <w:pStyle w:val="Ttol7"/>
        <w:rPr>
          <w:b w:val="0"/>
        </w:rPr>
      </w:pPr>
      <w:r>
        <w:rPr>
          <w:b w:val="0"/>
        </w:rPr>
        <w:t>2.Una vez accedan a través del enlace a la herramienta web de Sobre Digital, las empresas licitadoras tendrá</w:t>
      </w:r>
      <w:r>
        <w:rPr>
          <w:b w:val="0"/>
        </w:rPr>
        <w:t>n que rellenar un formulario para darse de alta en la herramienta y, a continuación, recibirán un mensaje, al/s correo/s electrónico/s indicado/s en este formulario de alta, de activación de la oferta.</w:t>
      </w:r>
      <w:r>
        <w:rPr>
          <w:b w:val="0"/>
        </w:rPr>
        <w:tab/>
      </w:r>
    </w:p>
    <w:p w:rsidR="009E59D0" w:rsidRDefault="00DC241A">
      <w:pPr>
        <w:pStyle w:val="Ttol7"/>
        <w:rPr>
          <w:b w:val="0"/>
        </w:rPr>
      </w:pPr>
      <w:r>
        <w:rPr>
          <w:b w:val="0"/>
        </w:rPr>
        <w:t>Las direcciones electrónicas que las empresas licitad</w:t>
      </w:r>
      <w:r>
        <w:rPr>
          <w:b w:val="0"/>
        </w:rPr>
        <w:t>oras indiquen en el formulario de inscripción de la herramienta de Sobre Digital, que serán las utilizadas para enviar correos electrónicos relacionados con el uso de la herramienta de Sobre Digital, deben ser las mismas que las que designen en su modelo d</w:t>
      </w:r>
      <w:r>
        <w:rPr>
          <w:b w:val="0"/>
        </w:rPr>
        <w:t>e declaración de aceptación de medios electrónicos (Anexo 3) para recibir los avisos de notificaciones y comunicaciones.</w:t>
      </w:r>
    </w:p>
    <w:p w:rsidR="009E59D0" w:rsidRDefault="00DC241A">
      <w:pPr>
        <w:pStyle w:val="Ttol7"/>
        <w:rPr>
          <w:b w:val="0"/>
        </w:rPr>
      </w:pPr>
      <w:r>
        <w:rPr>
          <w:b w:val="0"/>
        </w:rPr>
        <w:t>Las empresas licitadoras deben conservar este correo electrónico de activación de la oferta, dado que el enlace que se contiene en el m</w:t>
      </w:r>
      <w:r>
        <w:rPr>
          <w:b w:val="0"/>
        </w:rPr>
        <w:t>ensaje de activación es el único acceso para presentar las ofertas a través de la herramienta de Sobre Digital.</w:t>
      </w:r>
    </w:p>
    <w:p w:rsidR="009E59D0" w:rsidRDefault="00DC241A">
      <w:pPr>
        <w:pStyle w:val="Ttol7"/>
        <w:rPr>
          <w:b w:val="0"/>
        </w:rPr>
      </w:pPr>
      <w:r>
        <w:rPr>
          <w:b w:val="0"/>
        </w:rPr>
        <w:t>3.Una vez dentro del espacio web de presentación de ofertas, las empresas licitadoras deben preparar toda la documentación requerida y adjuntarl</w:t>
      </w:r>
      <w:r>
        <w:rPr>
          <w:b w:val="0"/>
        </w:rPr>
        <w:t>a en formato electrónico en los sobres o archivos correspondientes. Las empresas licitadoras pueden preparar y enviar esta documentación de forma escalonada, antes de realizar la presentación de la oferta.</w:t>
      </w:r>
      <w:r>
        <w:rPr>
          <w:b w:val="0"/>
        </w:rPr>
        <w:tab/>
      </w:r>
    </w:p>
    <w:p w:rsidR="009E59D0" w:rsidRDefault="00DC241A">
      <w:pPr>
        <w:pStyle w:val="Ttol7"/>
        <w:rPr>
          <w:b w:val="0"/>
        </w:rPr>
      </w:pPr>
      <w:r>
        <w:rPr>
          <w:b w:val="0"/>
        </w:rPr>
        <w:t xml:space="preserve">Para poder iniciar el envío de la documentación, </w:t>
      </w:r>
      <w:r>
        <w:rPr>
          <w:b w:val="0"/>
        </w:rPr>
        <w:t>la herramienta requerirá a las empresas licitadoras que introduzcan una palabra clave para cada sobre o archivo electrónico con documentación cifrada que forme parte de la licitación (por el sobre A no se requiere palabra clave, dado que la documentación n</w:t>
      </w:r>
      <w:r>
        <w:rPr>
          <w:b w:val="0"/>
        </w:rPr>
        <w:t>o está cifrada). Con esta palabra clave se cifrará, en el momento del envío de las ofertas, la documentación.</w:t>
      </w:r>
    </w:p>
    <w:p w:rsidR="009E59D0" w:rsidRDefault="00DC241A">
      <w:pPr>
        <w:pStyle w:val="Ttol7"/>
        <w:rPr>
          <w:b w:val="0"/>
        </w:rPr>
      </w:pPr>
      <w:r>
        <w:rPr>
          <w:b w:val="0"/>
        </w:rPr>
        <w:t>Asimismo, el descifrado de los documentos de las ofertas se realiza mediante la misma palabra clave, la cual deben custodiar las empresas licitado</w:t>
      </w:r>
      <w:r>
        <w:rPr>
          <w:b w:val="0"/>
        </w:rPr>
        <w:t>ras. Hay que tener en cuenta la importancia de custodiar correctamente esta o estas claves (puede ser la misma para todos los sobres o diferentes para cada uno de ellos), dado que sólo las empresas licitadoras la/las tienen (la herramienta de Sobre Digital</w:t>
      </w:r>
      <w:r>
        <w:rPr>
          <w:b w:val="0"/>
        </w:rPr>
        <w:t xml:space="preserve"> no guarda ni recuerda las contraseñas introducidas) y son imprescindibles para el descifrado de las ofertas y, por tanto, para el acceso.</w:t>
      </w:r>
    </w:p>
    <w:p w:rsidR="009E59D0" w:rsidRDefault="00DC241A">
      <w:pPr>
        <w:pStyle w:val="Ttol7"/>
        <w:rPr>
          <w:b w:val="0"/>
        </w:rPr>
      </w:pPr>
      <w:r>
        <w:rPr>
          <w:b w:val="0"/>
        </w:rPr>
        <w:t>La Entidad contratante podrá pedir a las empresas licitadoras, mediante el correo electrónico señalado en el formular</w:t>
      </w:r>
      <w:r>
        <w:rPr>
          <w:b w:val="0"/>
        </w:rPr>
        <w:t>io de inscripción a la oferta de la herramienta de Sobre Digital, que accedan a la herramienta web de Sobre Digital para introducir sus palabras clave en el momento que corresponda.</w:t>
      </w:r>
    </w:p>
    <w:p w:rsidR="009E59D0" w:rsidRDefault="00DC241A">
      <w:pPr>
        <w:pStyle w:val="Ttol7"/>
        <w:rPr>
          <w:b w:val="0"/>
        </w:rPr>
      </w:pPr>
      <w:r>
        <w:rPr>
          <w:b w:val="0"/>
        </w:rPr>
        <w:t>Cuando las empresas licitadoras introduzcan las palabras clave se iniciará</w:t>
      </w:r>
      <w:r>
        <w:rPr>
          <w:b w:val="0"/>
        </w:rPr>
        <w:t xml:space="preserve"> el proceso de descifrado de la documentación, que se encontrará guardada en un espacio virtual protegido que garantiza la inaccesibilidad a la documentación antes, en su caso, de la constitución de la mesa y del acto de apertura de los sobres, en la fecha</w:t>
      </w:r>
      <w:r>
        <w:rPr>
          <w:b w:val="0"/>
        </w:rPr>
        <w:t xml:space="preserve"> y hora establecidos.</w:t>
      </w:r>
    </w:p>
    <w:p w:rsidR="009E59D0" w:rsidRDefault="00DC241A">
      <w:pPr>
        <w:pStyle w:val="Ttol7"/>
        <w:rPr>
          <w:b w:val="0"/>
        </w:rPr>
      </w:pPr>
      <w:r>
        <w:rPr>
          <w:b w:val="0"/>
        </w:rPr>
        <w:t>Se podrá pedir a las empresas licitadoras que introduzcan la palabra clave 24 horas después de finalizado el plazo de presentación de ofertas y, en todo caso, deben introducirla dentro del plazo establecido antes de la apertura del pr</w:t>
      </w:r>
      <w:r>
        <w:rPr>
          <w:b w:val="0"/>
        </w:rPr>
        <w:t>imero sobre cifrado.</w:t>
      </w:r>
    </w:p>
    <w:p w:rsidR="009E59D0" w:rsidRDefault="00DC241A">
      <w:pPr>
        <w:pStyle w:val="Ttol7"/>
        <w:rPr>
          <w:b w:val="0"/>
        </w:rPr>
      </w:pPr>
      <w:r>
        <w:rPr>
          <w:b w:val="0"/>
        </w:rPr>
        <w:t>En caso de que alguna empresa licitadora no introduzca la palabra clave, no se podrá acceder al contenido del sobre cifrado. Así, dado que la presentación de ofertas a través de la herramienta del Sobre Digital se basa en el cifrado de</w:t>
      </w:r>
      <w:r>
        <w:rPr>
          <w:b w:val="0"/>
        </w:rPr>
        <w:t xml:space="preserve"> la documentación y requiere necesariamente la introducción por parte de las empresas licitadoras de la/s palabra/s clave, que sólo ellas custodian durante todo el proceso, para poder acceder al contenido cifrado de </w:t>
      </w:r>
      <w:r>
        <w:rPr>
          <w:b w:val="0"/>
        </w:rPr>
        <w:lastRenderedPageBreak/>
        <w:t>los sobres o archivos electrónicos, no s</w:t>
      </w:r>
      <w:r>
        <w:rPr>
          <w:b w:val="0"/>
        </w:rPr>
        <w:t>e podrá efectuar la valoración de la documentación de su oferta palabra clave.</w:t>
      </w:r>
    </w:p>
    <w:p w:rsidR="009E59D0" w:rsidRDefault="00DC241A">
      <w:pPr>
        <w:pStyle w:val="Ttol7"/>
        <w:rPr>
          <w:b w:val="0"/>
        </w:rPr>
      </w:pPr>
      <w:r>
        <w:rPr>
          <w:b w:val="0"/>
        </w:rPr>
        <w:t>4.Una vez cumplimentada toda la documentación que formará parte de la oferta y adjuntados los documentos que la conforman, se hará la presentación propiamente dicha de la oferta</w:t>
      </w:r>
      <w:r>
        <w:rPr>
          <w:b w:val="0"/>
        </w:rPr>
        <w:t>. A partir del momento en que la oferta se haya presentado, ya no podrá modificarse la documentación enviada.</w:t>
      </w:r>
      <w:r>
        <w:rPr>
          <w:b w:val="0"/>
        </w:rPr>
        <w:tab/>
      </w:r>
    </w:p>
    <w:p w:rsidR="009E59D0" w:rsidRDefault="00DC241A">
      <w:pPr>
        <w:pStyle w:val="Ttol7"/>
        <w:rPr>
          <w:b w:val="0"/>
        </w:rPr>
      </w:pPr>
      <w:r>
        <w:rPr>
          <w:b w:val="0"/>
        </w:rPr>
        <w:t>En caso de quiebra técnica que imposibilite el uso de la herramienta de Sobre Digital el último día de presentación de las proposiciones, se ampl</w:t>
      </w:r>
      <w:r>
        <w:rPr>
          <w:b w:val="0"/>
        </w:rPr>
        <w:t>iará el plazo de presentación de las mismas el tiempo que se considere imprescindible. A tal efecto, se modificará el plazo de presentación de ofertas que se publicará en el perfil del contratante y en la plataforma de servicios de contratación pública vía</w:t>
      </w:r>
      <w:r>
        <w:rPr>
          <w:b w:val="0"/>
        </w:rPr>
        <w:t xml:space="preserve"> enmienda. Este cambio de fecha se comunicará a las empresas que hubieran activado su oferta mediante correo electrónico.</w:t>
      </w:r>
    </w:p>
    <w:p w:rsidR="009E59D0" w:rsidRDefault="00DC241A">
      <w:pPr>
        <w:pStyle w:val="Ttol7"/>
        <w:rPr>
          <w:b w:val="0"/>
        </w:rPr>
      </w:pPr>
      <w:r>
        <w:rPr>
          <w:b w:val="0"/>
        </w:rPr>
        <w:t>5.El envío de las ofertas mediante la herramienta Sobre Digital se podrá realizar en dos fases, transmitiendo primero la huella electr</w:t>
      </w:r>
      <w:r>
        <w:rPr>
          <w:b w:val="0"/>
        </w:rPr>
        <w:t>ónica de la documentación de la oferta, dentro del plazo de presentación de ofertas, con cuya recepción se considerará efectuada su presentación a todos los efectos, y después de este plazo, haciendo el envío de la documentación de la oferta propia de la m</w:t>
      </w:r>
      <w:r>
        <w:rPr>
          <w:b w:val="0"/>
        </w:rPr>
        <w:t>isma. segunda remisión en el plazo de 24 horas, se considerará que la oferta ha sido retirada.</w:t>
      </w:r>
      <w:r>
        <w:rPr>
          <w:b w:val="0"/>
        </w:rPr>
        <w:tab/>
      </w:r>
    </w:p>
    <w:p w:rsidR="009E59D0" w:rsidRDefault="00DC241A">
      <w:pPr>
        <w:pStyle w:val="Ttol7"/>
        <w:rPr>
          <w:b w:val="0"/>
        </w:rPr>
      </w:pPr>
      <w:r>
        <w:rPr>
          <w:b w:val="0"/>
        </w:rPr>
        <w:t>Si se hace uso de esta posibilidad, debe tenerse en cuenta que la documentación enviada en esta segunda fase debe coincidir totalmente con aquella respecto de l</w:t>
      </w:r>
      <w:r>
        <w:rPr>
          <w:b w:val="0"/>
        </w:rPr>
        <w:t>a que se ha enviado la huella digital previamente, por lo que no se puede producir ninguna modificación de los ficheros electrónicos que configuran la documentación de la oferta. En este sentido, cabe señalar la importancia de no manipular estos archivos (</w:t>
      </w:r>
      <w:r>
        <w:rPr>
          <w:b w:val="0"/>
        </w:rPr>
        <w:t>ni, por ejemplo, realizar copias, aunque sean de contenido idéntico) para no variar su huella electrónica, que es la que se comprobará para asegurar la coincidencia de documentos en las ofertas enviadas en dos fases.</w:t>
      </w:r>
    </w:p>
    <w:p w:rsidR="009E59D0" w:rsidRDefault="00DC241A">
      <w:pPr>
        <w:pStyle w:val="Ttol7"/>
        <w:rPr>
          <w:b w:val="0"/>
        </w:rPr>
      </w:pPr>
      <w:r>
        <w:rPr>
          <w:b w:val="0"/>
        </w:rPr>
        <w:t xml:space="preserve">Las ofertas presentadas deben estar </w:t>
      </w:r>
      <w:r>
        <w:rPr>
          <w:b w:val="0"/>
        </w:rPr>
        <w:t>libres de virus informáticos y de cualquier tipo de programa o código nocivo, ya que en ningún caso se pueden abrir los documentos afectados por un virus con las herramientas corporativas de la Generalidad de Cataluña.</w:t>
      </w:r>
    </w:p>
    <w:p w:rsidR="009E59D0" w:rsidRDefault="00DC241A">
      <w:pPr>
        <w:pStyle w:val="Ttol7"/>
        <w:rPr>
          <w:b w:val="0"/>
        </w:rPr>
      </w:pPr>
      <w:r>
        <w:rPr>
          <w:b w:val="0"/>
        </w:rPr>
        <w:t>Así, es obligación de las empresas co</w:t>
      </w:r>
      <w:r>
        <w:rPr>
          <w:b w:val="0"/>
        </w:rPr>
        <w:t>ntratistas pasar los documentos por un antivirus y, en caso de llegar documentos de sus ofertas con virus, será responsabilidad de ellas que la Entidad contratante no pueda acceder al contenido de éstas.</w:t>
      </w:r>
    </w:p>
    <w:p w:rsidR="009E59D0" w:rsidRDefault="00DC241A">
      <w:pPr>
        <w:pStyle w:val="Ttol7"/>
        <w:rPr>
          <w:b w:val="0"/>
        </w:rPr>
      </w:pPr>
      <w:r>
        <w:rPr>
          <w:b w:val="0"/>
        </w:rPr>
        <w:t>En caso de que algún documento presentado por las em</w:t>
      </w:r>
      <w:r>
        <w:rPr>
          <w:b w:val="0"/>
        </w:rPr>
        <w:t>presas licitadoras esté dañado, en blanco o sea ilegible o esté afectado por algún virus informático, la mesa de contratación valorará, en función de cuál sea la documentación afectada, las consecuencias jurídicas respecto de la participación de esta empre</w:t>
      </w:r>
      <w:r>
        <w:rPr>
          <w:b w:val="0"/>
        </w:rPr>
        <w:t>sa en el procedimiento, que deban derivarse de la imposibilidad de acceder al contenido de la misma. En caso de tratarse de documentos imprescindibles para conocer o valorar la oferta, la mesa podrá acordar la exclusión de la empresa.</w:t>
      </w:r>
    </w:p>
    <w:p w:rsidR="009E59D0" w:rsidRDefault="00DC241A">
      <w:pPr>
        <w:pStyle w:val="Ttol7"/>
        <w:rPr>
          <w:b w:val="0"/>
        </w:rPr>
      </w:pPr>
      <w:r>
        <w:rPr>
          <w:b w:val="0"/>
        </w:rPr>
        <w:t>A solicitud del órgan</w:t>
      </w:r>
      <w:r>
        <w:rPr>
          <w:b w:val="0"/>
        </w:rPr>
        <w:t>o de contratación o de la mesa de contratación, en caso de necesidad para poder acceder al contenido de los documentos en caso de que estén dañados, las empresas licitadoras tendrán que presentar una copia de seguridad de los documentos electrónicos presen</w:t>
      </w:r>
      <w:r>
        <w:rPr>
          <w:b w:val="0"/>
        </w:rPr>
        <w:t>tados en soporte físico electrónico. En este sentido, cabe recordar la importancia de no manipular estos archivos para no variar su huella electrónica, que es la que se comprobará para asegurar la coincidencia de los documentos de la copia de seguridad, re</w:t>
      </w:r>
      <w:r>
        <w:rPr>
          <w:b w:val="0"/>
        </w:rPr>
        <w:t>mitidos en soporte físico electrónico, y de los remitidos en la oferta, a través de la herramienta de Sobre Digital.</w:t>
      </w:r>
    </w:p>
    <w:p w:rsidR="009E59D0" w:rsidRDefault="00DC241A">
      <w:pPr>
        <w:pStyle w:val="Ttol7"/>
        <w:rPr>
          <w:b w:val="0"/>
        </w:rPr>
      </w:pPr>
      <w:r>
        <w:rPr>
          <w:b w:val="0"/>
        </w:rPr>
        <w:t>Asimismo, debe tenerse en cuenta que esta copia no podrá ser utilizada en el caso de haber enviado documentos con virus a través de la herr</w:t>
      </w:r>
      <w:r>
        <w:rPr>
          <w:b w:val="0"/>
        </w:rPr>
        <w:t>amienta de Sobre Digital, dada la imposibilidad técnica en estos casos de poder hacer la comparación de las huellas electrónicas y, por tanto, de poder garantizar la no modificación de las ofertas una vez finalizado el plazo de presentación.</w:t>
      </w:r>
    </w:p>
    <w:p w:rsidR="009E59D0" w:rsidRDefault="00DC241A">
      <w:pPr>
        <w:pStyle w:val="Ttol7"/>
        <w:rPr>
          <w:b w:val="0"/>
        </w:rPr>
      </w:pPr>
      <w:r>
        <w:rPr>
          <w:b w:val="0"/>
        </w:rPr>
        <w:t>Las especifica</w:t>
      </w:r>
      <w:r>
        <w:rPr>
          <w:b w:val="0"/>
        </w:rPr>
        <w:t>ciones técnicas necesarias para la presentación electrónica de ofertas se encuentran disponibles en el apartado de “licitación electrónica” de la plataforma de servicios de contratación pública, en la siguiente dirección web:</w:t>
      </w:r>
    </w:p>
    <w:p w:rsidR="009E59D0" w:rsidRDefault="00DC241A">
      <w:pPr>
        <w:pStyle w:val="Ttol7"/>
      </w:pPr>
      <w:hyperlink r:id="rId11">
        <w:r>
          <w:rPr>
            <w:rStyle w:val="Enlla"/>
          </w:rPr>
          <w:t>https://contractaciopublica.cat/ecofin_sobre/AppJava/views/ayuda/empresas/index.xhtml</w:t>
        </w:r>
      </w:hyperlink>
    </w:p>
    <w:p w:rsidR="009E59D0" w:rsidRDefault="009E59D0">
      <w:pPr>
        <w:rPr>
          <w:b/>
        </w:rPr>
      </w:pPr>
    </w:p>
    <w:p w:rsidR="009E59D0" w:rsidRDefault="00DC241A">
      <w:pPr>
        <w:pStyle w:val="Ttol7"/>
        <w:rPr>
          <w:b w:val="0"/>
        </w:rPr>
      </w:pPr>
      <w:r>
        <w:rPr>
          <w:b w:val="0"/>
        </w:rPr>
        <w:lastRenderedPageBreak/>
        <w:t xml:space="preserve">En ningún caso se aceptará la presentación de propuestas en papel oa través de otro medio que </w:t>
      </w:r>
      <w:r>
        <w:rPr>
          <w:b w:val="0"/>
        </w:rPr>
        <w:t>no sea el indicado en el presente pliego.</w:t>
      </w:r>
    </w:p>
    <w:p w:rsidR="009E59D0" w:rsidRDefault="009E59D0">
      <w:pPr>
        <w:rPr>
          <w:b/>
        </w:rPr>
      </w:pPr>
    </w:p>
    <w:p w:rsidR="009E59D0" w:rsidRDefault="00DC241A">
      <w:pPr>
        <w:pStyle w:val="Ttol7"/>
        <w:rPr>
          <w:b w:val="0"/>
        </w:rPr>
      </w:pPr>
      <w:r>
        <w:rPr>
          <w:b w:val="0"/>
        </w:rPr>
        <w:t>Se recomienda que la presentación de ofertas se realice con suficiente antelación que permita resolver posibles incidencias durante la preparación o envío de la oferta.</w:t>
      </w:r>
    </w:p>
    <w:p w:rsidR="009E59D0" w:rsidRDefault="00DC241A">
      <w:pPr>
        <w:pStyle w:val="Ttol7"/>
        <w:rPr>
          <w:b w:val="0"/>
        </w:rPr>
      </w:pPr>
      <w:r>
        <w:rPr>
          <w:b w:val="0"/>
        </w:rPr>
        <w:t>Cada empresa licitadora no podrá presentar m</w:t>
      </w:r>
      <w:r>
        <w:rPr>
          <w:b w:val="0"/>
        </w:rPr>
        <w:t>ás de una propuesta.</w:t>
      </w:r>
    </w:p>
    <w:p w:rsidR="009E59D0" w:rsidRDefault="00DC241A">
      <w:pPr>
        <w:pStyle w:val="Ttol7"/>
        <w:rPr>
          <w:b w:val="0"/>
        </w:rPr>
      </w:pPr>
      <w:r>
        <w:rPr>
          <w:b w:val="0"/>
        </w:rPr>
        <w:t>La presentación de proposiciones podrá realizarse durante las 24 horas del día, todos los días del año.</w:t>
      </w:r>
    </w:p>
    <w:p w:rsidR="009E59D0" w:rsidRDefault="009E59D0">
      <w:pPr>
        <w:pStyle w:val="Ttol7"/>
        <w:rPr>
          <w:b w:val="0"/>
        </w:rPr>
      </w:pPr>
    </w:p>
    <w:p w:rsidR="009E59D0" w:rsidRDefault="009E59D0">
      <w:pPr>
        <w:rPr>
          <w:b/>
        </w:rPr>
      </w:pPr>
    </w:p>
    <w:p w:rsidR="009E59D0" w:rsidRDefault="00DC241A">
      <w:pPr>
        <w:pStyle w:val="Ttol7"/>
      </w:pPr>
      <w:r>
        <w:t>VIGÉSIMA SEGUNDA.- Contenido de las ofertas y documentación a presentar</w:t>
      </w:r>
    </w:p>
    <w:p w:rsidR="009E59D0" w:rsidRDefault="009E59D0">
      <w:pPr>
        <w:pStyle w:val="Ttol7"/>
        <w:rPr>
          <w:b w:val="0"/>
        </w:rPr>
      </w:pPr>
    </w:p>
    <w:p w:rsidR="009E59D0" w:rsidRDefault="00DC241A">
      <w:pPr>
        <w:pStyle w:val="Ttol7"/>
        <w:rPr>
          <w:b w:val="0"/>
        </w:rPr>
      </w:pPr>
      <w:r>
        <w:rPr>
          <w:b w:val="0"/>
        </w:rPr>
        <w:t>Las empresas licitadoras tendrán que presentar en format</w:t>
      </w:r>
      <w:r>
        <w:rPr>
          <w:b w:val="0"/>
        </w:rPr>
        <w:t>o electrónico la documentación general acreditativa de la empresa oferente, la documentación correspondiente a la acreditación de las características técnicas y funcionales de las soluciones presentadas de acuerdo con lo que se establece en el pliego de ca</w:t>
      </w:r>
      <w:r>
        <w:rPr>
          <w:b w:val="0"/>
        </w:rPr>
        <w:t>racterísticas técnicas y la oferta económica.</w:t>
      </w:r>
    </w:p>
    <w:p w:rsidR="009E59D0" w:rsidRDefault="009E59D0">
      <w:pPr>
        <w:pStyle w:val="Ttol7"/>
        <w:rPr>
          <w:b w:val="0"/>
        </w:rPr>
      </w:pPr>
    </w:p>
    <w:p w:rsidR="009E59D0" w:rsidRDefault="00DC241A">
      <w:pPr>
        <w:pStyle w:val="Ttol7"/>
        <w:rPr>
          <w:b w:val="0"/>
        </w:rPr>
      </w:pPr>
      <w:r>
        <w:rPr>
          <w:b w:val="0"/>
        </w:rPr>
        <w:t>1.- En cuanto a la documentación administrativa:</w:t>
      </w:r>
    </w:p>
    <w:p w:rsidR="009E59D0" w:rsidRDefault="009E59D0">
      <w:pPr>
        <w:pStyle w:val="Ttol7"/>
        <w:rPr>
          <w:b w:val="0"/>
        </w:rPr>
      </w:pPr>
    </w:p>
    <w:p w:rsidR="009E59D0" w:rsidRDefault="00DC241A">
      <w:pPr>
        <w:pStyle w:val="Ttol7"/>
        <w:rPr>
          <w:b w:val="0"/>
        </w:rPr>
      </w:pPr>
      <w:r>
        <w:rPr>
          <w:b w:val="0"/>
        </w:rPr>
        <w:t>1.1 Documento Nacional de Identidad, cuando se trate de empresas individuales</w:t>
      </w:r>
    </w:p>
    <w:p w:rsidR="009E59D0" w:rsidRDefault="00DC241A">
      <w:pPr>
        <w:pStyle w:val="Ttol7"/>
        <w:rPr>
          <w:b w:val="0"/>
        </w:rPr>
      </w:pPr>
      <w:r>
        <w:rPr>
          <w:b w:val="0"/>
        </w:rPr>
        <w:t>1.2 Los estatutos o reglas fundacionales, cuando se trate de personas jurídicas.</w:t>
      </w:r>
    </w:p>
    <w:p w:rsidR="009E59D0" w:rsidRDefault="00DC241A">
      <w:pPr>
        <w:pStyle w:val="Ttol7"/>
        <w:rPr>
          <w:b w:val="0"/>
        </w:rPr>
      </w:pPr>
      <w:r>
        <w:rPr>
          <w:b w:val="0"/>
        </w:rPr>
        <w:t>1.3 Poder notarial suficiente para comparecer y firmar proposiciones en nombre de otro</w:t>
      </w:r>
    </w:p>
    <w:p w:rsidR="009E59D0" w:rsidRDefault="00DC241A">
      <w:pPr>
        <w:pStyle w:val="Ttol7"/>
        <w:rPr>
          <w:b w:val="0"/>
        </w:rPr>
      </w:pPr>
      <w:r>
        <w:rPr>
          <w:b w:val="0"/>
        </w:rPr>
        <w:t xml:space="preserve">La documentación requerida en los puntos 1.1, 1.2 y 1.3, no será necesario ser aportada de nuevo, en el caso de que en el período de los seis meses anteriores haya sido </w:t>
      </w:r>
      <w:r>
        <w:rPr>
          <w:b w:val="0"/>
        </w:rPr>
        <w:t>aportada a Eco-equip, SAM en otra licitación.</w:t>
      </w:r>
    </w:p>
    <w:p w:rsidR="009E59D0" w:rsidRDefault="00DC241A">
      <w:pPr>
        <w:pStyle w:val="Ttol7"/>
        <w:rPr>
          <w:b w:val="0"/>
        </w:rPr>
      </w:pPr>
      <w:r>
        <w:rPr>
          <w:b w:val="0"/>
        </w:rPr>
        <w:t>1.4 Los documentos acreditativos de la solvencia económica y financiera y técnica o</w:t>
      </w:r>
    </w:p>
    <w:p w:rsidR="009E59D0" w:rsidRDefault="00DC241A">
      <w:pPr>
        <w:pStyle w:val="Ttol7"/>
        <w:rPr>
          <w:b w:val="0"/>
        </w:rPr>
      </w:pPr>
      <w:r>
        <w:rPr>
          <w:b w:val="0"/>
        </w:rPr>
        <w:t>profesional.</w:t>
      </w:r>
    </w:p>
    <w:p w:rsidR="009E59D0" w:rsidRDefault="00DC241A">
      <w:pPr>
        <w:pStyle w:val="Ttol7"/>
        <w:rPr>
          <w:b w:val="0"/>
        </w:rPr>
      </w:pPr>
      <w:r>
        <w:rPr>
          <w:b w:val="0"/>
        </w:rPr>
        <w:t>1.5 Declaración del porcentaje de trabajadores fijos con discapacidad en la plantilla (anexo 2)</w:t>
      </w:r>
    </w:p>
    <w:p w:rsidR="009E59D0" w:rsidRDefault="00DC241A">
      <w:pPr>
        <w:pStyle w:val="Ttol7"/>
        <w:rPr>
          <w:b w:val="0"/>
        </w:rPr>
      </w:pPr>
      <w:r>
        <w:rPr>
          <w:b w:val="0"/>
        </w:rPr>
        <w:t>1.6 Declaración d</w:t>
      </w:r>
      <w:r>
        <w:rPr>
          <w:b w:val="0"/>
        </w:rPr>
        <w:t>e aceptación de los medios electrónicos de comunicación (anexo 3)</w:t>
      </w:r>
    </w:p>
    <w:p w:rsidR="009E59D0" w:rsidRDefault="009E59D0">
      <w:pPr>
        <w:pStyle w:val="Ttol7"/>
        <w:rPr>
          <w:b w:val="0"/>
        </w:rPr>
      </w:pPr>
    </w:p>
    <w:p w:rsidR="009E59D0" w:rsidRDefault="00DC241A">
      <w:pPr>
        <w:pStyle w:val="Ttol7"/>
        <w:rPr>
          <w:b w:val="0"/>
        </w:rPr>
      </w:pPr>
      <w:r>
        <w:rPr>
          <w:b w:val="0"/>
        </w:rPr>
        <w:t xml:space="preserve">La inscripción en el Registro Electrónico de Licitadores (RELI) acredita las condiciones de aptitud del empresario en cuanto a su personalidad y capacidad de obrar, representación, </w:t>
      </w:r>
      <w:r>
        <w:rPr>
          <w:b w:val="0"/>
        </w:rPr>
        <w:t>habilitación profesional o empresarial, solvencia económica y financiera y clasificación, así como la concurrencia o no concurrencia de las prohibiciones de contratar que haya de constar en la misma.</w:t>
      </w:r>
    </w:p>
    <w:p w:rsidR="009E59D0" w:rsidRDefault="009E59D0">
      <w:pPr>
        <w:pStyle w:val="Ttol7"/>
        <w:rPr>
          <w:b w:val="0"/>
        </w:rPr>
      </w:pPr>
    </w:p>
    <w:p w:rsidR="009E59D0" w:rsidRDefault="00DC241A">
      <w:pPr>
        <w:pStyle w:val="Ttol7"/>
        <w:rPr>
          <w:b w:val="0"/>
        </w:rPr>
      </w:pPr>
      <w:r>
        <w:rPr>
          <w:b w:val="0"/>
        </w:rPr>
        <w:t>De conformidad con lo que establece el artículo 59 de l</w:t>
      </w:r>
      <w:r>
        <w:rPr>
          <w:b w:val="0"/>
        </w:rPr>
        <w:t>a Directiva 2014/24/UE sobre contratación electrónica, la aportación inicial de la documentación incluida en los puntos 1.1 a 1.4 se podrá sustituir por una declaración responsable del licitador indicando que cumple las condiciones de aptitud y solvencia e</w:t>
      </w:r>
      <w:r>
        <w:rPr>
          <w:b w:val="0"/>
        </w:rPr>
        <w:t>stablecidas legalmente para contratar con la Administración, cumplimentando el formulario. Si la propuesta de adjudicación recae sobre un licitador que haya sustituido aquella documentación por el DEUC, deberá acreditar ante el órgano de contratación, prev</w:t>
      </w:r>
      <w:r>
        <w:rPr>
          <w:b w:val="0"/>
        </w:rPr>
        <w:t>iamente a la adjudicación del contrato, la posesión y validez de los documentos exigidos.</w:t>
      </w:r>
    </w:p>
    <w:p w:rsidR="009E59D0" w:rsidRDefault="009E59D0">
      <w:pPr>
        <w:pStyle w:val="Ttol7"/>
        <w:rPr>
          <w:b w:val="0"/>
        </w:rPr>
      </w:pPr>
    </w:p>
    <w:p w:rsidR="009E59D0" w:rsidRDefault="00DC241A">
      <w:pPr>
        <w:pStyle w:val="Ttol7"/>
        <w:rPr>
          <w:b w:val="0"/>
        </w:rPr>
      </w:pPr>
      <w:r>
        <w:rPr>
          <w:b w:val="0"/>
        </w:rPr>
        <w:t>2.- En cuanto a la documentación técnica:</w:t>
      </w:r>
    </w:p>
    <w:p w:rsidR="009E59D0" w:rsidRDefault="009E59D0">
      <w:pPr>
        <w:pStyle w:val="Ttol7"/>
        <w:rPr>
          <w:b w:val="0"/>
        </w:rPr>
      </w:pPr>
    </w:p>
    <w:p w:rsidR="009E59D0" w:rsidRDefault="00DC241A">
      <w:pPr>
        <w:pStyle w:val="Ttol7"/>
        <w:rPr>
          <w:b w:val="0"/>
        </w:rPr>
      </w:pPr>
      <w:r>
        <w:rPr>
          <w:b w:val="0"/>
        </w:rPr>
        <w:t>Deberá incluir la documentación necesaria para acreditar que la solución planteada cumple todos los requerimientos del pli</w:t>
      </w:r>
      <w:r>
        <w:rPr>
          <w:b w:val="0"/>
        </w:rPr>
        <w:t>ego técnico, de forma que las soluciones que no acrediten este cumplimiento serán excluidas de la valoración de las ofertas, en concreto será necesario aportar documentación acreditativa de los siguientes puntos:</w:t>
      </w:r>
    </w:p>
    <w:p w:rsidR="009E59D0" w:rsidRDefault="009E59D0">
      <w:pPr>
        <w:pStyle w:val="Ttol7"/>
        <w:rPr>
          <w:b w:val="0"/>
        </w:rPr>
      </w:pPr>
    </w:p>
    <w:p w:rsidR="009E59D0" w:rsidRDefault="00DC241A">
      <w:pPr>
        <w:pStyle w:val="Estndar"/>
        <w:numPr>
          <w:ilvl w:val="0"/>
          <w:numId w:val="2"/>
        </w:numPr>
        <w:jc w:val="both"/>
        <w:rPr>
          <w:rFonts w:ascii="Arial" w:hAnsi="Arial" w:cs="Arial"/>
          <w:bCs/>
          <w:sz w:val="22"/>
          <w:szCs w:val="22"/>
        </w:rPr>
      </w:pPr>
      <w:r>
        <w:rPr>
          <w:rFonts w:ascii="Arial" w:hAnsi="Arial" w:cs="Arial"/>
          <w:bCs/>
          <w:sz w:val="22"/>
          <w:szCs w:val="22"/>
        </w:rPr>
        <w:t>- Disponer de taller propio o con relación</w:t>
      </w:r>
      <w:r>
        <w:rPr>
          <w:rFonts w:ascii="Arial" w:hAnsi="Arial" w:cs="Arial"/>
          <w:bCs/>
          <w:sz w:val="22"/>
          <w:szCs w:val="22"/>
        </w:rPr>
        <w:t xml:space="preserve"> de colaboración debidamente acreditada situado en Terrassa/Vallès Occidental, especificando la ubicación física y la relación de titularidad o colaboración.</w:t>
      </w:r>
    </w:p>
    <w:p w:rsidR="009E59D0" w:rsidRDefault="00DC241A">
      <w:pPr>
        <w:pStyle w:val="Estndar"/>
        <w:numPr>
          <w:ilvl w:val="0"/>
          <w:numId w:val="2"/>
        </w:numPr>
        <w:jc w:val="both"/>
        <w:rPr>
          <w:rFonts w:ascii="Arial" w:hAnsi="Arial" w:cs="Arial"/>
          <w:bCs/>
          <w:sz w:val="22"/>
          <w:szCs w:val="22"/>
        </w:rPr>
      </w:pPr>
      <w:r>
        <w:rPr>
          <w:rFonts w:ascii="Arial" w:hAnsi="Arial" w:cs="Arial"/>
          <w:bCs/>
          <w:sz w:val="22"/>
          <w:szCs w:val="22"/>
        </w:rPr>
        <w:lastRenderedPageBreak/>
        <w:t>- Disponer de un equipo móvil operativo para la reparación y cambio de neumáticos in situ, especif</w:t>
      </w:r>
      <w:r>
        <w:rPr>
          <w:rFonts w:ascii="Arial" w:hAnsi="Arial" w:cs="Arial"/>
          <w:bCs/>
          <w:sz w:val="22"/>
          <w:szCs w:val="22"/>
        </w:rPr>
        <w:t>icando sus características, incluyendo documentación gráfica.</w:t>
      </w:r>
    </w:p>
    <w:p w:rsidR="009E59D0" w:rsidRDefault="00DC241A">
      <w:pPr>
        <w:pStyle w:val="Estndar"/>
        <w:numPr>
          <w:ilvl w:val="0"/>
          <w:numId w:val="2"/>
        </w:numPr>
        <w:jc w:val="both"/>
        <w:rPr>
          <w:rFonts w:ascii="Arial" w:hAnsi="Arial" w:cs="Arial"/>
          <w:bCs/>
          <w:sz w:val="22"/>
          <w:szCs w:val="22"/>
        </w:rPr>
      </w:pPr>
      <w:r>
        <w:rPr>
          <w:rFonts w:ascii="Arial" w:hAnsi="Arial" w:cs="Arial"/>
          <w:bCs/>
          <w:sz w:val="22"/>
          <w:szCs w:val="22"/>
        </w:rPr>
        <w:t>- Declaración acreditativa de disponer de Servicio para reparaciones y cambios en la sede de Eco-equip 6 días a la semana, mañanas y tardes</w:t>
      </w:r>
    </w:p>
    <w:p w:rsidR="009E59D0" w:rsidRDefault="00DC241A">
      <w:pPr>
        <w:pStyle w:val="Estndar"/>
        <w:numPr>
          <w:ilvl w:val="0"/>
          <w:numId w:val="2"/>
        </w:numPr>
        <w:jc w:val="both"/>
        <w:rPr>
          <w:rFonts w:ascii="Arial" w:hAnsi="Arial" w:cs="Arial"/>
          <w:bCs/>
          <w:sz w:val="22"/>
          <w:szCs w:val="22"/>
        </w:rPr>
      </w:pPr>
      <w:r>
        <w:rPr>
          <w:rFonts w:ascii="Arial" w:hAnsi="Arial" w:cs="Arial"/>
          <w:bCs/>
          <w:sz w:val="22"/>
          <w:szCs w:val="22"/>
        </w:rPr>
        <w:t xml:space="preserve">- Declaración acreditativa de disponer de servicio 24 </w:t>
      </w:r>
      <w:r>
        <w:rPr>
          <w:rFonts w:ascii="Arial" w:hAnsi="Arial" w:cs="Arial"/>
          <w:bCs/>
          <w:sz w:val="22"/>
          <w:szCs w:val="22"/>
        </w:rPr>
        <w:t>h por servicios in situ incluyendo festivos.</w:t>
      </w:r>
    </w:p>
    <w:p w:rsidR="009E59D0" w:rsidRDefault="009E59D0">
      <w:pPr>
        <w:pStyle w:val="Ttol7"/>
        <w:rPr>
          <w:b w:val="0"/>
          <w:bCs/>
          <w:szCs w:val="22"/>
        </w:rPr>
      </w:pPr>
    </w:p>
    <w:p w:rsidR="009E59D0" w:rsidRDefault="00DC241A">
      <w:pPr>
        <w:pStyle w:val="Ttol7"/>
        <w:rPr>
          <w:b w:val="0"/>
        </w:rPr>
      </w:pPr>
      <w:r>
        <w:rPr>
          <w:b w:val="0"/>
        </w:rPr>
        <w:t>3.- La propuesta de licitación, que incluirá</w:t>
      </w:r>
    </w:p>
    <w:p w:rsidR="009E59D0" w:rsidRDefault="009E59D0">
      <w:pPr>
        <w:pStyle w:val="Ttol7"/>
        <w:rPr>
          <w:b w:val="0"/>
        </w:rPr>
      </w:pPr>
    </w:p>
    <w:p w:rsidR="009E59D0" w:rsidRDefault="00DC241A">
      <w:pPr>
        <w:pStyle w:val="Ttol7"/>
        <w:rPr>
          <w:b w:val="0"/>
        </w:rPr>
      </w:pPr>
      <w:r>
        <w:rPr>
          <w:b w:val="0"/>
        </w:rPr>
        <w:t>La oferta económica y el detalle de las características a valorar mediante fórmulas de acuerdo con el modelo incorporado como Anexo 1 al presente pliego.</w:t>
      </w:r>
    </w:p>
    <w:p w:rsidR="009E59D0" w:rsidRDefault="009E59D0">
      <w:pPr>
        <w:pStyle w:val="Ttol7"/>
        <w:rPr>
          <w:b w:val="0"/>
        </w:rPr>
      </w:pPr>
    </w:p>
    <w:p w:rsidR="009E59D0" w:rsidRDefault="009E59D0">
      <w:pPr>
        <w:pStyle w:val="Ttol7"/>
        <w:rPr>
          <w:b w:val="0"/>
        </w:rPr>
      </w:pPr>
    </w:p>
    <w:p w:rsidR="009E59D0" w:rsidRDefault="00DC241A">
      <w:pPr>
        <w:pStyle w:val="Ttol7"/>
      </w:pPr>
      <w:r>
        <w:t>VIGÉSIMA</w:t>
      </w:r>
      <w:r>
        <w:t xml:space="preserve"> TERCERA.- Plazo de presentación de ofertas</w:t>
      </w:r>
    </w:p>
    <w:p w:rsidR="009E59D0" w:rsidRDefault="009E59D0">
      <w:pPr>
        <w:pStyle w:val="Ttol7"/>
      </w:pPr>
    </w:p>
    <w:p w:rsidR="009E59D0" w:rsidRDefault="00DC241A">
      <w:pPr>
        <w:pStyle w:val="Ttol7"/>
        <w:rPr>
          <w:b w:val="0"/>
        </w:rPr>
      </w:pPr>
      <w:r>
        <w:rPr>
          <w:b w:val="0"/>
        </w:rPr>
        <w:t>El plazo de presentación de ofertas es de treinta y cinco (35) días contados desde la fecha de envío del anuncio del contrato a la Comisión Europea. En caso de que finalizara en sábado o festivo se prorrogaría h</w:t>
      </w:r>
      <w:r>
        <w:rPr>
          <w:b w:val="0"/>
        </w:rPr>
        <w:t>asta el día laborable siguiente.</w:t>
      </w:r>
    </w:p>
    <w:p w:rsidR="009E59D0" w:rsidRDefault="009E59D0">
      <w:pPr>
        <w:pStyle w:val="Ttol7"/>
        <w:rPr>
          <w:b w:val="0"/>
        </w:rPr>
      </w:pPr>
    </w:p>
    <w:p w:rsidR="009E59D0" w:rsidRDefault="00DC241A">
      <w:pPr>
        <w:pStyle w:val="Ttol7"/>
        <w:rPr>
          <w:b w:val="0"/>
        </w:rPr>
      </w:pPr>
      <w:r>
        <w:rPr>
          <w:b w:val="0"/>
        </w:rPr>
        <w:t>Asimismo, se recomienda que la presentación de ofertas se realice con suficiente antelación que permita resolver posibles incidencias durante la preparación o envío de la oferta.</w:t>
      </w:r>
    </w:p>
    <w:p w:rsidR="009E59D0" w:rsidRDefault="009E59D0">
      <w:pPr>
        <w:pStyle w:val="Ttol7"/>
        <w:rPr>
          <w:b w:val="0"/>
        </w:rPr>
      </w:pPr>
    </w:p>
    <w:p w:rsidR="009E59D0" w:rsidRDefault="00DC241A">
      <w:pPr>
        <w:pStyle w:val="Ttol7"/>
        <w:rPr>
          <w:b w:val="0"/>
        </w:rPr>
      </w:pPr>
      <w:r>
        <w:rPr>
          <w:b w:val="0"/>
        </w:rPr>
        <w:t>Las ofertas de los interesados deberán aju</w:t>
      </w:r>
      <w:r>
        <w:rPr>
          <w:b w:val="0"/>
        </w:rPr>
        <w:t>starse a lo previsto en el pliego de cláusulas administrativas particulares, y su presentación supondrá la aceptación incondicionada por el empresario del contenido de la totalidad de estas cláusulas o condiciones, así como del pliego de prescripciones téc</w:t>
      </w:r>
      <w:r>
        <w:rPr>
          <w:b w:val="0"/>
        </w:rPr>
        <w:t>nicas, sin reserva alguna.</w:t>
      </w:r>
    </w:p>
    <w:p w:rsidR="009E59D0" w:rsidRDefault="009E59D0">
      <w:pPr>
        <w:pStyle w:val="Ttol7"/>
        <w:rPr>
          <w:b w:val="0"/>
        </w:rPr>
      </w:pPr>
    </w:p>
    <w:p w:rsidR="009E59D0" w:rsidRDefault="009E59D0">
      <w:pPr>
        <w:pStyle w:val="Ttol7"/>
        <w:rPr>
          <w:b w:val="0"/>
        </w:rPr>
      </w:pPr>
    </w:p>
    <w:p w:rsidR="009E59D0" w:rsidRDefault="00DC241A">
      <w:pPr>
        <w:pStyle w:val="Ttol7"/>
      </w:pPr>
      <w:r>
        <w:t>VIGÉSIMO CUARTA.- Lugar de recepción de ofertas</w:t>
      </w:r>
    </w:p>
    <w:p w:rsidR="009E59D0" w:rsidRDefault="009E59D0">
      <w:pPr>
        <w:pStyle w:val="Ttol7"/>
      </w:pPr>
    </w:p>
    <w:p w:rsidR="009E59D0" w:rsidRDefault="00DC241A">
      <w:pPr>
        <w:pStyle w:val="Ttol7"/>
        <w:rPr>
          <w:b w:val="0"/>
        </w:rPr>
      </w:pPr>
      <w:r>
        <w:rPr>
          <w:b w:val="0"/>
        </w:rPr>
        <w:t>La licitación se anunciará en el perfil del contratante de Eco-equipo SAM, a través de la Plataforma de Servicios de Contratación Pública.</w:t>
      </w:r>
    </w:p>
    <w:p w:rsidR="009E59D0" w:rsidRDefault="00DC241A">
      <w:pPr>
        <w:pStyle w:val="Ttol7"/>
      </w:pPr>
      <w:hyperlink r:id="rId12">
        <w:r>
          <w:rPr>
            <w:rStyle w:val="Enlla"/>
          </w:rPr>
          <w:t>https://contractaciopublica.gencat.cat/ecofin_pscp/AppJava/cap.pscp?reqCode=viewDetail&amp;keyword=eco-equip&amp;idCap=11</w:t>
        </w:r>
        <w:r>
          <w:rPr>
            <w:rStyle w:val="Enlla"/>
          </w:rPr>
          <w:t>534561&amp;ambit</w:t>
        </w:r>
      </w:hyperlink>
    </w:p>
    <w:p w:rsidR="009E59D0" w:rsidRDefault="009E59D0">
      <w:pPr>
        <w:pStyle w:val="Ttol7"/>
      </w:pPr>
    </w:p>
    <w:p w:rsidR="009E59D0" w:rsidRDefault="00DC241A">
      <w:pPr>
        <w:pStyle w:val="Ttol7"/>
        <w:rPr>
          <w:b w:val="0"/>
        </w:rPr>
      </w:pPr>
      <w:r>
        <w:rPr>
          <w:b w:val="0"/>
        </w:rPr>
        <w:t>La presentación de proposiciones se realizará únicamente a través de esta plataforma electrónica mediante la herramienta de Sobre Digital, la presentación de ofertas a través de cualquier otra plataforma que no sea la anteriormente indicada s</w:t>
      </w:r>
      <w:r>
        <w:rPr>
          <w:b w:val="0"/>
        </w:rPr>
        <w:t>e tendrá por no efectuada y quedará excluida.</w:t>
      </w:r>
    </w:p>
    <w:p w:rsidR="009E59D0" w:rsidRDefault="009E59D0">
      <w:pPr>
        <w:pStyle w:val="Ttol7"/>
        <w:rPr>
          <w:b w:val="0"/>
        </w:rPr>
      </w:pPr>
    </w:p>
    <w:p w:rsidR="009E59D0" w:rsidRDefault="00DC241A">
      <w:pPr>
        <w:pStyle w:val="Ttol7"/>
        <w:rPr>
          <w:b w:val="0"/>
        </w:rPr>
      </w:pPr>
      <w:r>
        <w:rPr>
          <w:b w:val="0"/>
        </w:rPr>
        <w:t>Asimismo, todas las notificaciones y comunicaciones entre el órgano de contratación y los interesados se efectuarán, exclusivamente, por medios electrónicos.</w:t>
      </w:r>
    </w:p>
    <w:p w:rsidR="009E59D0" w:rsidRDefault="009E59D0">
      <w:pPr>
        <w:pStyle w:val="Ttol7"/>
        <w:rPr>
          <w:b w:val="0"/>
        </w:rPr>
      </w:pPr>
    </w:p>
    <w:p w:rsidR="009E59D0" w:rsidRDefault="009E59D0">
      <w:pPr>
        <w:rPr>
          <w:b/>
        </w:rPr>
      </w:pPr>
    </w:p>
    <w:p w:rsidR="009E59D0" w:rsidRDefault="00DC241A">
      <w:pPr>
        <w:pStyle w:val="Ttol7"/>
      </w:pPr>
      <w:r>
        <w:t>VIGÉSIMO QUINTA.- Mesa de contratación</w:t>
      </w:r>
    </w:p>
    <w:p w:rsidR="009E59D0" w:rsidRDefault="009E59D0">
      <w:pPr>
        <w:pStyle w:val="Ttol7"/>
      </w:pPr>
    </w:p>
    <w:p w:rsidR="009E59D0" w:rsidRDefault="00DC241A">
      <w:pPr>
        <w:pStyle w:val="Ttol7"/>
        <w:rPr>
          <w:b w:val="0"/>
        </w:rPr>
      </w:pPr>
      <w:r>
        <w:rPr>
          <w:b w:val="0"/>
        </w:rPr>
        <w:t>La mesa e</w:t>
      </w:r>
      <w:r>
        <w:rPr>
          <w:b w:val="0"/>
        </w:rPr>
        <w:t>stará constituida por:</w:t>
      </w:r>
    </w:p>
    <w:p w:rsidR="009E59D0" w:rsidRDefault="00DC241A">
      <w:pPr>
        <w:pStyle w:val="Ttol7"/>
        <w:rPr>
          <w:b w:val="0"/>
        </w:rPr>
      </w:pPr>
      <w:r>
        <w:rPr>
          <w:b w:val="0"/>
        </w:rPr>
        <w:t>Presidente: La Gerente de Eco-equipo, SAM o persona en quien delegue.</w:t>
      </w:r>
    </w:p>
    <w:p w:rsidR="009E59D0" w:rsidRDefault="00DC241A">
      <w:pPr>
        <w:pStyle w:val="Ttol7"/>
        <w:rPr>
          <w:b w:val="0"/>
        </w:rPr>
      </w:pPr>
      <w:r>
        <w:rPr>
          <w:b w:val="0"/>
        </w:rPr>
        <w:t>Secretaría: La técnica jurista de Eco-equip SAM</w:t>
      </w:r>
    </w:p>
    <w:p w:rsidR="009E59D0" w:rsidRDefault="00DC241A">
      <w:pPr>
        <w:pStyle w:val="Ttol7"/>
        <w:rPr>
          <w:b w:val="0"/>
        </w:rPr>
      </w:pPr>
      <w:r>
        <w:rPr>
          <w:b w:val="0"/>
        </w:rPr>
        <w:t>Vocales:</w:t>
      </w:r>
    </w:p>
    <w:p w:rsidR="009E59D0" w:rsidRDefault="00DC241A">
      <w:pPr>
        <w:pStyle w:val="Ttol7"/>
        <w:rPr>
          <w:b w:val="0"/>
        </w:rPr>
      </w:pPr>
      <w:r>
        <w:rPr>
          <w:b w:val="0"/>
        </w:rPr>
        <w:t>El jefe de taller de Eco-equipo, SAM o persona en quien delegue.</w:t>
      </w:r>
    </w:p>
    <w:p w:rsidR="009E59D0" w:rsidRDefault="00DC241A">
      <w:pPr>
        <w:pStyle w:val="Ttol7"/>
        <w:rPr>
          <w:b w:val="0"/>
        </w:rPr>
      </w:pPr>
      <w:r>
        <w:rPr>
          <w:b w:val="0"/>
        </w:rPr>
        <w:t>El jefe del área técnica y contratación d</w:t>
      </w:r>
      <w:r>
        <w:rPr>
          <w:b w:val="0"/>
        </w:rPr>
        <w:t>e Eco-equip, SAM, o persona en quien delegue</w:t>
      </w:r>
    </w:p>
    <w:p w:rsidR="009E59D0" w:rsidRDefault="009E59D0">
      <w:pPr>
        <w:rPr>
          <w:b/>
        </w:rPr>
      </w:pPr>
    </w:p>
    <w:p w:rsidR="009E59D0" w:rsidRDefault="00DC241A">
      <w:pPr>
        <w:pStyle w:val="Ttol7"/>
        <w:rPr>
          <w:b w:val="0"/>
        </w:rPr>
      </w:pPr>
      <w:r>
        <w:rPr>
          <w:b w:val="0"/>
        </w:rPr>
        <w:lastRenderedPageBreak/>
        <w:t>Todos los miembros de la mesa de contratación tendrán voz y voto, salvo la secretaria de la mesa, que actuará con voz pero sin voto.</w:t>
      </w:r>
    </w:p>
    <w:p w:rsidR="009E59D0" w:rsidRDefault="00DC241A">
      <w:pPr>
        <w:pStyle w:val="Ttol7"/>
        <w:rPr>
          <w:b w:val="0"/>
        </w:rPr>
      </w:pPr>
      <w:r>
        <w:rPr>
          <w:b w:val="0"/>
        </w:rPr>
        <w:t>Para la válida constitución de la mesa, tendrán que estar presentes la mayorí</w:t>
      </w:r>
      <w:r>
        <w:rPr>
          <w:b w:val="0"/>
        </w:rPr>
        <w:t>a absoluta de sus miembros.</w:t>
      </w:r>
    </w:p>
    <w:p w:rsidR="009E59D0" w:rsidRDefault="009E59D0">
      <w:pPr>
        <w:pStyle w:val="Ttol7"/>
      </w:pPr>
    </w:p>
    <w:p w:rsidR="009E59D0" w:rsidRDefault="009E59D0"/>
    <w:p w:rsidR="009E59D0" w:rsidRDefault="009E59D0"/>
    <w:p w:rsidR="009E59D0" w:rsidRDefault="009E59D0"/>
    <w:p w:rsidR="009E59D0" w:rsidRDefault="009E59D0">
      <w:pPr>
        <w:pStyle w:val="Ttol7"/>
      </w:pPr>
    </w:p>
    <w:p w:rsidR="009E59D0" w:rsidRDefault="00DC241A">
      <w:pPr>
        <w:pStyle w:val="Ttol7"/>
      </w:pPr>
      <w:r>
        <w:t>VIGÉSIMO SEXTA.- Apertura de las proposiciones</w:t>
      </w:r>
    </w:p>
    <w:p w:rsidR="009E59D0" w:rsidRDefault="009E59D0"/>
    <w:p w:rsidR="009E59D0" w:rsidRDefault="00DC241A">
      <w:pPr>
        <w:pStyle w:val="Ttol7"/>
        <w:rPr>
          <w:b w:val="0"/>
        </w:rPr>
      </w:pPr>
      <w:r>
        <w:rPr>
          <w:b w:val="0"/>
        </w:rPr>
        <w:t>La mesa de contratación calificará, en reunión interna, la documentación administrativa (sobre 1). La apertura de los sobres se realizará a través de la plataforma electrónica</w:t>
      </w:r>
      <w:r>
        <w:rPr>
          <w:b w:val="0"/>
        </w:rPr>
        <w:t xml:space="preserve"> de contratación pública. La apertura de los sobres no se realizará en acto público, dado que en la licitación se utiliza exclusivamente medios electrónicos. El sistema informático permite acreditar fehacientemente el momento de la apertura de los sobres y</w:t>
      </w:r>
      <w:r>
        <w:rPr>
          <w:b w:val="0"/>
        </w:rPr>
        <w:t xml:space="preserve"> el secreto de la información incluida en el mismo.</w:t>
      </w:r>
    </w:p>
    <w:p w:rsidR="009E59D0" w:rsidRDefault="009E59D0">
      <w:pPr>
        <w:rPr>
          <w:b/>
        </w:rPr>
      </w:pPr>
    </w:p>
    <w:p w:rsidR="009E59D0" w:rsidRDefault="00DC241A">
      <w:pPr>
        <w:pStyle w:val="Ttol7"/>
        <w:rPr>
          <w:b w:val="0"/>
        </w:rPr>
      </w:pPr>
      <w:r>
        <w:rPr>
          <w:b w:val="0"/>
        </w:rPr>
        <w:t xml:space="preserve">La fecha de apertura del sobre 1 se comunicará a través de la plataforma de contratación. La mesa, en caso de ser necesario, concederá un plazo de tres (3) días hábiles a contar desde la apertura de la </w:t>
      </w:r>
      <w:r>
        <w:rPr>
          <w:b w:val="0"/>
        </w:rPr>
        <w:t>documentación administrativa (sobre 1) para la resolución de errores u omisiones. La comunicación a los interesados se realizará mediante la herramienta de notificaciones electrónicas de la plataforma electrónica de contratación. La mesa de contratación da</w:t>
      </w:r>
      <w:r>
        <w:rPr>
          <w:b w:val="0"/>
        </w:rPr>
        <w:t>rá conocimiento en el perfil de contratante sobre la admisión o exclusión de las empresas licitadoras.</w:t>
      </w:r>
    </w:p>
    <w:p w:rsidR="009E59D0" w:rsidRDefault="009E59D0">
      <w:pPr>
        <w:rPr>
          <w:b/>
        </w:rPr>
      </w:pPr>
    </w:p>
    <w:p w:rsidR="009E59D0" w:rsidRDefault="00DC241A">
      <w:pPr>
        <w:pStyle w:val="Ttol7"/>
        <w:rPr>
          <w:b w:val="0"/>
        </w:rPr>
      </w:pPr>
      <w:r>
        <w:rPr>
          <w:b w:val="0"/>
        </w:rPr>
        <w:t>La fecha de apertura del sobre 2 se comunicará a través de la plataforma de contratación.</w:t>
      </w:r>
    </w:p>
    <w:p w:rsidR="009E59D0" w:rsidRDefault="009E59D0">
      <w:pPr>
        <w:rPr>
          <w:b/>
        </w:rPr>
      </w:pPr>
    </w:p>
    <w:p w:rsidR="009E59D0" w:rsidRDefault="00DC241A">
      <w:pPr>
        <w:pStyle w:val="Ttol7"/>
        <w:rPr>
          <w:b w:val="0"/>
        </w:rPr>
      </w:pPr>
      <w:r>
        <w:rPr>
          <w:b w:val="0"/>
        </w:rPr>
        <w:t>La apertura del sobre 3 se realizará posteriormente, previa c</w:t>
      </w:r>
      <w:r>
        <w:rPr>
          <w:b w:val="0"/>
        </w:rPr>
        <w:t>omunicación de la fecha de apertura a través de la plataforma de contratación.</w:t>
      </w:r>
    </w:p>
    <w:p w:rsidR="009E59D0" w:rsidRDefault="009E59D0">
      <w:pPr>
        <w:rPr>
          <w:b/>
        </w:rPr>
      </w:pPr>
    </w:p>
    <w:p w:rsidR="009E59D0" w:rsidRDefault="00DC241A">
      <w:pPr>
        <w:pStyle w:val="Ttol7"/>
        <w:rPr>
          <w:b w:val="0"/>
        </w:rPr>
      </w:pPr>
      <w:r>
        <w:rPr>
          <w:b w:val="0"/>
        </w:rPr>
        <w:t>De acuerdo con el apartado e) del artículo 63.3 de la LCSP, se publicarán en el perfil del contratante del órgano de contratación todas las actas de la Mesa de contratación rel</w:t>
      </w:r>
      <w:r>
        <w:rPr>
          <w:b w:val="0"/>
        </w:rPr>
        <w:t>ativas al procedimiento de adjudicación, así como el informe de valoración de los criterios de adjudicación cuantificables mediante juicio de valor de cada una de las ofertas.</w:t>
      </w:r>
    </w:p>
    <w:p w:rsidR="009E59D0" w:rsidRDefault="009E59D0">
      <w:pPr>
        <w:rPr>
          <w:b/>
        </w:rPr>
      </w:pPr>
    </w:p>
    <w:p w:rsidR="009E59D0" w:rsidRDefault="009E59D0">
      <w:pPr>
        <w:rPr>
          <w:b/>
        </w:rPr>
      </w:pPr>
    </w:p>
    <w:p w:rsidR="009E59D0" w:rsidRDefault="00DC241A">
      <w:pPr>
        <w:pStyle w:val="Ttol7"/>
      </w:pPr>
      <w:r>
        <w:t>VIGÉSIMO SÉPTIMA.- Variantes</w:t>
      </w:r>
    </w:p>
    <w:p w:rsidR="009E59D0" w:rsidRDefault="009E59D0">
      <w:pPr>
        <w:rPr>
          <w:sz w:val="22"/>
        </w:rPr>
      </w:pPr>
    </w:p>
    <w:p w:rsidR="009E59D0" w:rsidRDefault="00DC241A">
      <w:pPr>
        <w:rPr>
          <w:sz w:val="22"/>
        </w:rPr>
      </w:pPr>
      <w:r>
        <w:rPr>
          <w:sz w:val="22"/>
        </w:rPr>
        <w:t>No se admitirán variantes sobre la ejecución del</w:t>
      </w:r>
      <w:r>
        <w:rPr>
          <w:sz w:val="22"/>
        </w:rPr>
        <w:t xml:space="preserve"> contrato.</w:t>
      </w:r>
    </w:p>
    <w:p w:rsidR="009E59D0" w:rsidRDefault="009E59D0">
      <w:pPr>
        <w:rPr>
          <w:b/>
          <w:sz w:val="22"/>
        </w:rPr>
      </w:pPr>
    </w:p>
    <w:p w:rsidR="009E59D0" w:rsidRDefault="009E59D0">
      <w:pPr>
        <w:rPr>
          <w:b/>
          <w:sz w:val="22"/>
        </w:rPr>
      </w:pPr>
    </w:p>
    <w:p w:rsidR="009E59D0" w:rsidRDefault="00DC241A">
      <w:pPr>
        <w:pStyle w:val="Ttol7"/>
      </w:pPr>
      <w:r>
        <w:t>VIGÉSIMA OCTAVA.- Documentación a presentar por la licitadora que haya presentado la oferta más ventajosa</w:t>
      </w:r>
    </w:p>
    <w:p w:rsidR="009E59D0" w:rsidRDefault="009E59D0">
      <w:pPr>
        <w:jc w:val="both"/>
        <w:rPr>
          <w:b/>
          <w:sz w:val="22"/>
        </w:rPr>
      </w:pPr>
    </w:p>
    <w:p w:rsidR="009E59D0" w:rsidRDefault="00DC241A">
      <w:pPr>
        <w:jc w:val="both"/>
        <w:rPr>
          <w:sz w:val="22"/>
          <w:szCs w:val="22"/>
        </w:rPr>
      </w:pPr>
      <w:r>
        <w:rPr>
          <w:sz w:val="22"/>
          <w:szCs w:val="22"/>
        </w:rPr>
        <w:t>Eco-equipo, SAM requerirá a la licitadora que haya presentado la oferta más ventajosa de cada uno de los lotes para que, dentro del plaz</w:t>
      </w:r>
      <w:r>
        <w:rPr>
          <w:sz w:val="22"/>
          <w:szCs w:val="22"/>
        </w:rPr>
        <w:t>o de diez (10) días hábiles, a contar desde el día en que haya recibido el requerimiento, presente la documentación justificativa de estar al corriente del cumplimiento de las obligaciones tributarias y con la Seguridad Social, de haber constituido la gara</w:t>
      </w:r>
      <w:r>
        <w:rPr>
          <w:sz w:val="22"/>
          <w:szCs w:val="22"/>
        </w:rPr>
        <w:t>ntía definitiva que documentación acreditativa de la capacidad y solvencia por una declaración responsable, la acreditación de la posesión y validez de los documentos exigidos.</w:t>
      </w:r>
    </w:p>
    <w:p w:rsidR="009E59D0" w:rsidRDefault="009E59D0">
      <w:pPr>
        <w:jc w:val="both"/>
        <w:rPr>
          <w:b/>
          <w:sz w:val="22"/>
        </w:rPr>
      </w:pPr>
    </w:p>
    <w:p w:rsidR="009E59D0" w:rsidRDefault="009E59D0">
      <w:pPr>
        <w:jc w:val="both"/>
        <w:rPr>
          <w:b/>
          <w:sz w:val="22"/>
        </w:rPr>
      </w:pPr>
    </w:p>
    <w:p w:rsidR="009E59D0" w:rsidRDefault="00DC241A">
      <w:pPr>
        <w:pStyle w:val="Ttol8"/>
      </w:pPr>
      <w:r>
        <w:t>VIGÉSIMO NOVENA.- Adjudicación del contrato</w:t>
      </w:r>
    </w:p>
    <w:p w:rsidR="009E59D0" w:rsidRDefault="009E59D0"/>
    <w:p w:rsidR="009E59D0" w:rsidRDefault="00DC241A">
      <w:pPr>
        <w:pStyle w:val="Textoindependiente32"/>
        <w:jc w:val="both"/>
        <w:rPr>
          <w:sz w:val="22"/>
          <w:szCs w:val="22"/>
        </w:rPr>
      </w:pPr>
      <w:r>
        <w:rPr>
          <w:sz w:val="22"/>
          <w:szCs w:val="22"/>
        </w:rPr>
        <w:t>Eco-equip, SAM acordará la adjud</w:t>
      </w:r>
      <w:r>
        <w:rPr>
          <w:sz w:val="22"/>
          <w:szCs w:val="22"/>
        </w:rPr>
        <w:t xml:space="preserve">icación del contrato en resolución motivada, que se notificará a los candidatos y se publicará en el perfil de contratante de la Plataforma de Servicios de </w:t>
      </w:r>
      <w:r>
        <w:rPr>
          <w:sz w:val="22"/>
          <w:szCs w:val="22"/>
        </w:rPr>
        <w:lastRenderedPageBreak/>
        <w:t>Contratación Pública. La notificación de la adjudicación contendrá toda la información prevista en e</w:t>
      </w:r>
      <w:r>
        <w:rPr>
          <w:sz w:val="22"/>
          <w:szCs w:val="22"/>
        </w:rPr>
        <w:t>l artículo 151 de la LCSP.</w:t>
      </w:r>
    </w:p>
    <w:p w:rsidR="009E59D0" w:rsidRDefault="009E59D0">
      <w:pPr>
        <w:pStyle w:val="Textindependent31"/>
        <w:rPr>
          <w:sz w:val="22"/>
          <w:lang w:val="ca-ES"/>
        </w:rPr>
      </w:pPr>
    </w:p>
    <w:p w:rsidR="009E59D0" w:rsidRDefault="00DC241A">
      <w:pPr>
        <w:jc w:val="both"/>
        <w:rPr>
          <w:b/>
          <w:sz w:val="22"/>
        </w:rPr>
      </w:pPr>
      <w:r>
        <w:rPr>
          <w:b/>
          <w:sz w:val="22"/>
        </w:rPr>
        <w:t>TREINTENA.- Formalización del contrato</w:t>
      </w:r>
    </w:p>
    <w:p w:rsidR="009E59D0" w:rsidRDefault="00DC241A">
      <w:pPr>
        <w:jc w:val="both"/>
        <w:rPr>
          <w:rFonts w:eastAsia="Arial"/>
          <w:b/>
          <w:sz w:val="22"/>
          <w:szCs w:val="22"/>
        </w:rPr>
      </w:pPr>
      <w:r>
        <w:rPr>
          <w:rFonts w:eastAsia="Arial"/>
          <w:b/>
          <w:sz w:val="22"/>
          <w:szCs w:val="22"/>
        </w:rPr>
        <w:t xml:space="preserve"> </w:t>
      </w:r>
    </w:p>
    <w:p w:rsidR="009E59D0" w:rsidRDefault="00DC241A">
      <w:pPr>
        <w:spacing w:after="160" w:line="252" w:lineRule="auto"/>
        <w:jc w:val="both"/>
        <w:rPr>
          <w:rFonts w:eastAsia="Calibri"/>
          <w:sz w:val="22"/>
          <w:szCs w:val="22"/>
          <w:lang w:eastAsia="en-US"/>
        </w:rPr>
      </w:pPr>
      <w:r>
        <w:rPr>
          <w:rFonts w:eastAsia="Calibri"/>
          <w:sz w:val="22"/>
          <w:szCs w:val="22"/>
          <w:lang w:eastAsia="en-US"/>
        </w:rPr>
        <w:t>El contrato se perfecciona con su formalización. La formalización en documento administrativo de este contrato se realizará mediante firma electrónica. Con este objetivo, el representante</w:t>
      </w:r>
      <w:r>
        <w:rPr>
          <w:rFonts w:eastAsia="Calibri"/>
          <w:sz w:val="22"/>
          <w:szCs w:val="22"/>
          <w:lang w:eastAsia="en-US"/>
        </w:rPr>
        <w:t xml:space="preserve"> legal de la empresa adjudicataria tendrá que poseer un certificado de firma electrónica calificada de persona física con dispositivo seguro entregado por cualquier entidad de certificación clasificada por la Agencia Catalana de Certificación, o bien DNI e</w:t>
      </w:r>
      <w:r>
        <w:rPr>
          <w:rFonts w:eastAsia="Calibri"/>
          <w:sz w:val="22"/>
          <w:szCs w:val="22"/>
          <w:lang w:eastAsia="en-US"/>
        </w:rPr>
        <w:t>lectrónico.</w:t>
      </w:r>
    </w:p>
    <w:p w:rsidR="009E59D0" w:rsidRDefault="00DC241A">
      <w:pPr>
        <w:spacing w:after="160" w:line="252" w:lineRule="auto"/>
        <w:jc w:val="both"/>
        <w:rPr>
          <w:rFonts w:eastAsia="Calibri"/>
          <w:sz w:val="22"/>
          <w:szCs w:val="22"/>
          <w:lang w:eastAsia="en-US"/>
        </w:rPr>
      </w:pPr>
      <w:r>
        <w:rPr>
          <w:rFonts w:eastAsia="Calibri"/>
          <w:sz w:val="22"/>
          <w:szCs w:val="22"/>
          <w:lang w:eastAsia="en-US"/>
        </w:rPr>
        <w:t>La formalización del contrato se publicará en el perfil de contratante de la empresa en la plataforma de contratación de la Generalidad de Cataluña y en el DOUE.</w:t>
      </w:r>
    </w:p>
    <w:p w:rsidR="009E59D0" w:rsidRDefault="009E59D0">
      <w:pPr>
        <w:jc w:val="both"/>
        <w:rPr>
          <w:rFonts w:eastAsia="Calibri"/>
          <w:sz w:val="22"/>
          <w:szCs w:val="22"/>
          <w:lang w:eastAsia="en-US"/>
        </w:rPr>
      </w:pPr>
    </w:p>
    <w:p w:rsidR="009E59D0" w:rsidRDefault="00DC241A">
      <w:pPr>
        <w:pStyle w:val="Ttol7"/>
      </w:pPr>
      <w:r>
        <w:t>TRIGÉSIMO PRIMERA.- Notificaciones telemáticas</w:t>
      </w:r>
    </w:p>
    <w:p w:rsidR="009E59D0" w:rsidRDefault="009E59D0">
      <w:pPr>
        <w:jc w:val="both"/>
        <w:rPr>
          <w:b/>
          <w:sz w:val="22"/>
        </w:rPr>
      </w:pPr>
    </w:p>
    <w:p w:rsidR="009E59D0" w:rsidRDefault="00DC241A">
      <w:pPr>
        <w:jc w:val="both"/>
      </w:pPr>
      <w:r>
        <w:rPr>
          <w:sz w:val="22"/>
        </w:rPr>
        <w:t>Eco-equipo utilizará exclusivamen</w:t>
      </w:r>
      <w:r>
        <w:rPr>
          <w:sz w:val="22"/>
        </w:rPr>
        <w:t>te los medios electrónicos en sus comunicaciones con las licitadoras, todas las comunicaciones se efectuarán en la dirección electrónica indicada por las licitadoras en el anexo 3 de este pliego.</w:t>
      </w:r>
    </w:p>
    <w:p w:rsidR="009E59D0" w:rsidRDefault="009E59D0">
      <w:pPr>
        <w:jc w:val="both"/>
        <w:rPr>
          <w:sz w:val="22"/>
          <w:szCs w:val="22"/>
        </w:rPr>
      </w:pPr>
    </w:p>
    <w:p w:rsidR="009E59D0" w:rsidRDefault="009E59D0">
      <w:pPr>
        <w:jc w:val="both"/>
        <w:rPr>
          <w:sz w:val="22"/>
          <w:szCs w:val="22"/>
        </w:rPr>
      </w:pPr>
    </w:p>
    <w:p w:rsidR="009E59D0" w:rsidRDefault="00DC241A">
      <w:pPr>
        <w:pStyle w:val="Ttol7"/>
      </w:pPr>
      <w:r>
        <w:t>TRIGÉSIMO SEGUNDA.- Revisión de precios</w:t>
      </w:r>
    </w:p>
    <w:p w:rsidR="009E59D0" w:rsidRDefault="009E59D0">
      <w:pPr>
        <w:jc w:val="both"/>
        <w:rPr>
          <w:b/>
          <w:sz w:val="22"/>
        </w:rPr>
      </w:pPr>
    </w:p>
    <w:p w:rsidR="009E59D0" w:rsidRDefault="00DC241A">
      <w:pPr>
        <w:jc w:val="both"/>
        <w:rPr>
          <w:sz w:val="22"/>
        </w:rPr>
      </w:pPr>
      <w:r>
        <w:rPr>
          <w:sz w:val="22"/>
        </w:rPr>
        <w:t>Las empresas adju</w:t>
      </w:r>
      <w:r>
        <w:rPr>
          <w:sz w:val="22"/>
        </w:rPr>
        <w:t>dicatarias no tendrán derecho a revisión de precios, dadas las características del presente contrato.</w:t>
      </w:r>
    </w:p>
    <w:p w:rsidR="009E59D0" w:rsidRDefault="009E59D0">
      <w:pPr>
        <w:jc w:val="both"/>
        <w:rPr>
          <w:i/>
          <w:sz w:val="22"/>
        </w:rPr>
      </w:pPr>
    </w:p>
    <w:p w:rsidR="009E59D0" w:rsidRDefault="009E59D0">
      <w:pPr>
        <w:jc w:val="both"/>
        <w:rPr>
          <w:i/>
          <w:sz w:val="22"/>
        </w:rPr>
      </w:pPr>
    </w:p>
    <w:p w:rsidR="009E59D0" w:rsidRDefault="00DC241A">
      <w:pPr>
        <w:jc w:val="both"/>
        <w:rPr>
          <w:b/>
          <w:bCs/>
          <w:sz w:val="22"/>
        </w:rPr>
      </w:pPr>
      <w:r>
        <w:rPr>
          <w:b/>
          <w:bCs/>
          <w:sz w:val="22"/>
        </w:rPr>
        <w:t>TRIGÉSIMO TERCERA.- Principio de riesgo y ventura</w:t>
      </w:r>
    </w:p>
    <w:p w:rsidR="009E59D0" w:rsidRDefault="009E59D0">
      <w:pPr>
        <w:jc w:val="both"/>
        <w:rPr>
          <w:b/>
          <w:bCs/>
          <w:sz w:val="22"/>
          <w:szCs w:val="22"/>
        </w:rPr>
      </w:pPr>
    </w:p>
    <w:p w:rsidR="009E59D0" w:rsidRDefault="00DC241A">
      <w:pPr>
        <w:jc w:val="both"/>
        <w:rPr>
          <w:color w:val="000000"/>
          <w:sz w:val="22"/>
          <w:szCs w:val="22"/>
        </w:rPr>
      </w:pPr>
      <w:r>
        <w:rPr>
          <w:color w:val="000000"/>
          <w:sz w:val="22"/>
          <w:szCs w:val="22"/>
        </w:rPr>
        <w:t>La ejecución del contrato se realiza a riesgo y ventura del contratista.</w:t>
      </w:r>
    </w:p>
    <w:p w:rsidR="009E59D0" w:rsidRDefault="009E59D0">
      <w:pPr>
        <w:jc w:val="both"/>
        <w:rPr>
          <w:color w:val="000000"/>
          <w:sz w:val="22"/>
          <w:szCs w:val="22"/>
        </w:rPr>
      </w:pPr>
    </w:p>
    <w:p w:rsidR="009E59D0" w:rsidRDefault="009E59D0">
      <w:pPr>
        <w:jc w:val="both"/>
        <w:rPr>
          <w:color w:val="000000"/>
          <w:sz w:val="22"/>
          <w:szCs w:val="22"/>
        </w:rPr>
      </w:pPr>
    </w:p>
    <w:p w:rsidR="009E59D0" w:rsidRDefault="00DC241A">
      <w:pPr>
        <w:pStyle w:val="Ttol7"/>
        <w:rPr>
          <w:szCs w:val="22"/>
        </w:rPr>
      </w:pPr>
      <w:r>
        <w:rPr>
          <w:szCs w:val="22"/>
        </w:rPr>
        <w:t>TRIGÉSIMO CUARTA.- Régimen</w:t>
      </w:r>
      <w:r>
        <w:rPr>
          <w:szCs w:val="22"/>
        </w:rPr>
        <w:t xml:space="preserve"> del pago del precio</w:t>
      </w:r>
    </w:p>
    <w:p w:rsidR="009E59D0" w:rsidRDefault="009E59D0">
      <w:pPr>
        <w:jc w:val="both"/>
        <w:rPr>
          <w:b/>
          <w:sz w:val="22"/>
          <w:szCs w:val="22"/>
        </w:rPr>
      </w:pPr>
    </w:p>
    <w:p w:rsidR="009E59D0" w:rsidRDefault="00DC241A">
      <w:pPr>
        <w:jc w:val="both"/>
        <w:rPr>
          <w:sz w:val="22"/>
          <w:szCs w:val="22"/>
        </w:rPr>
      </w:pPr>
      <w:r>
        <w:rPr>
          <w:sz w:val="22"/>
          <w:szCs w:val="22"/>
        </w:rPr>
        <w:t>El pago de los servicios se realizará contra factura mensual presentada por la adjudicataria y validada por la responsable del contrato de Eco-equip SAM, la factura correspondiente al cierre del contrato se presentará una vez entregad</w:t>
      </w:r>
      <w:r>
        <w:rPr>
          <w:sz w:val="22"/>
          <w:szCs w:val="22"/>
        </w:rPr>
        <w:t>o el informe final del proyecto.</w:t>
      </w:r>
    </w:p>
    <w:p w:rsidR="009E59D0" w:rsidRDefault="009E59D0">
      <w:pPr>
        <w:jc w:val="both"/>
        <w:rPr>
          <w:sz w:val="22"/>
          <w:szCs w:val="22"/>
        </w:rPr>
      </w:pPr>
    </w:p>
    <w:p w:rsidR="009E59D0" w:rsidRDefault="00DC241A">
      <w:pPr>
        <w:shd w:val="clear" w:color="auto" w:fill="FFFFFF"/>
        <w:jc w:val="both"/>
      </w:pPr>
      <w:r>
        <w:rPr>
          <w:rStyle w:val="Lletraperdefectedelpargraf2"/>
          <w:sz w:val="22"/>
          <w:szCs w:val="22"/>
        </w:rPr>
        <w:t>La factura o facturas se presentarán en formato electrónico, sin necesidad de imprimirlas ni de desplazarse a las oficinas de Eco-equip, SAM. El formato electrónico admitido es el formato Facturae.</w:t>
      </w:r>
    </w:p>
    <w:p w:rsidR="009E59D0" w:rsidRDefault="009E59D0">
      <w:pPr>
        <w:widowControl w:val="0"/>
        <w:jc w:val="both"/>
        <w:rPr>
          <w:sz w:val="22"/>
          <w:szCs w:val="22"/>
        </w:rPr>
      </w:pPr>
    </w:p>
    <w:p w:rsidR="009E59D0" w:rsidRDefault="00DC241A">
      <w:pPr>
        <w:jc w:val="both"/>
        <w:rPr>
          <w:sz w:val="22"/>
          <w:szCs w:val="22"/>
        </w:rPr>
      </w:pPr>
      <w:r>
        <w:rPr>
          <w:sz w:val="22"/>
          <w:szCs w:val="22"/>
        </w:rPr>
        <w:t xml:space="preserve">El inicio del cómputo </w:t>
      </w:r>
      <w:r>
        <w:rPr>
          <w:sz w:val="22"/>
          <w:szCs w:val="22"/>
        </w:rPr>
        <w:t>del plazo para el pago de las facturas empezará a contar a partir de la fecha de registro de la factura en Eco-equip, SAM.</w:t>
      </w:r>
    </w:p>
    <w:p w:rsidR="009E59D0" w:rsidRDefault="009E59D0">
      <w:pPr>
        <w:widowControl w:val="0"/>
        <w:jc w:val="both"/>
        <w:rPr>
          <w:b/>
          <w:sz w:val="22"/>
          <w:szCs w:val="22"/>
        </w:rPr>
      </w:pPr>
    </w:p>
    <w:p w:rsidR="009E59D0" w:rsidRDefault="00DC241A">
      <w:pPr>
        <w:widowControl w:val="0"/>
        <w:jc w:val="both"/>
        <w:rPr>
          <w:sz w:val="22"/>
          <w:szCs w:val="22"/>
        </w:rPr>
      </w:pPr>
      <w:r>
        <w:rPr>
          <w:sz w:val="22"/>
          <w:szCs w:val="22"/>
        </w:rPr>
        <w:t>Código DIR que deberá incorporar la factura electrónica:</w:t>
      </w:r>
    </w:p>
    <w:p w:rsidR="009E59D0" w:rsidRDefault="009E59D0">
      <w:pPr>
        <w:widowControl w:val="0"/>
        <w:jc w:val="both"/>
        <w:rPr>
          <w:sz w:val="22"/>
          <w:szCs w:val="22"/>
        </w:rPr>
      </w:pPr>
    </w:p>
    <w:p w:rsidR="009E59D0" w:rsidRDefault="009E59D0">
      <w:pPr>
        <w:widowControl w:val="0"/>
        <w:jc w:val="both"/>
        <w:rPr>
          <w:b/>
          <w:color w:val="FF0000"/>
          <w:sz w:val="22"/>
          <w:szCs w:val="22"/>
        </w:rPr>
      </w:pPr>
    </w:p>
    <w:tbl>
      <w:tblPr>
        <w:tblW w:w="9173" w:type="dxa"/>
        <w:tblLayout w:type="fixed"/>
        <w:tblCellMar>
          <w:left w:w="98" w:type="dxa"/>
        </w:tblCellMar>
        <w:tblLook w:val="0000" w:firstRow="0" w:lastRow="0" w:firstColumn="0" w:lastColumn="0" w:noHBand="0" w:noVBand="0"/>
      </w:tblPr>
      <w:tblGrid>
        <w:gridCol w:w="2266"/>
        <w:gridCol w:w="2273"/>
        <w:gridCol w:w="2270"/>
        <w:gridCol w:w="2364"/>
      </w:tblGrid>
      <w:tr w:rsidR="009E59D0">
        <w:tc>
          <w:tcPr>
            <w:tcW w:w="2266" w:type="dxa"/>
            <w:tcBorders>
              <w:top w:val="single" w:sz="4" w:space="0" w:color="FFFFFF"/>
              <w:left w:val="single" w:sz="4" w:space="0" w:color="FFFFFF"/>
              <w:bottom w:val="single" w:sz="4" w:space="0" w:color="FFFFFF"/>
            </w:tcBorders>
            <w:shd w:val="clear" w:color="auto" w:fill="F3F3F3"/>
          </w:tcPr>
          <w:p w:rsidR="009E59D0" w:rsidRDefault="009E59D0">
            <w:pPr>
              <w:widowControl w:val="0"/>
              <w:snapToGrid w:val="0"/>
              <w:spacing w:before="60" w:after="60"/>
              <w:jc w:val="both"/>
              <w:rPr>
                <w:sz w:val="22"/>
                <w:szCs w:val="22"/>
              </w:rPr>
            </w:pPr>
          </w:p>
        </w:tc>
        <w:tc>
          <w:tcPr>
            <w:tcW w:w="2273" w:type="dxa"/>
            <w:tcBorders>
              <w:top w:val="single" w:sz="4" w:space="0" w:color="FFFFFF"/>
              <w:left w:val="single" w:sz="4" w:space="0" w:color="FFFFFF"/>
              <w:bottom w:val="single" w:sz="4" w:space="0" w:color="FFFFFF"/>
            </w:tcBorders>
            <w:shd w:val="clear" w:color="auto" w:fill="F3F3F3"/>
          </w:tcPr>
          <w:p w:rsidR="009E59D0" w:rsidRDefault="00DC241A">
            <w:pPr>
              <w:widowControl w:val="0"/>
              <w:spacing w:before="60" w:after="60"/>
              <w:jc w:val="center"/>
              <w:rPr>
                <w:b/>
                <w:bCs/>
                <w:sz w:val="22"/>
                <w:szCs w:val="22"/>
              </w:rPr>
            </w:pPr>
            <w:r>
              <w:rPr>
                <w:b/>
                <w:bCs/>
                <w:sz w:val="22"/>
                <w:szCs w:val="22"/>
              </w:rPr>
              <w:t>Órgano gestor</w:t>
            </w:r>
          </w:p>
        </w:tc>
        <w:tc>
          <w:tcPr>
            <w:tcW w:w="2270" w:type="dxa"/>
            <w:tcBorders>
              <w:top w:val="single" w:sz="4" w:space="0" w:color="FFFFFF"/>
              <w:left w:val="single" w:sz="4" w:space="0" w:color="FFFFFF"/>
              <w:bottom w:val="single" w:sz="4" w:space="0" w:color="FFFFFF"/>
            </w:tcBorders>
            <w:shd w:val="clear" w:color="auto" w:fill="F3F3F3"/>
          </w:tcPr>
          <w:p w:rsidR="009E59D0" w:rsidRDefault="00DC241A">
            <w:pPr>
              <w:widowControl w:val="0"/>
              <w:spacing w:before="60" w:after="60"/>
              <w:jc w:val="center"/>
              <w:rPr>
                <w:b/>
                <w:bCs/>
                <w:sz w:val="22"/>
                <w:szCs w:val="22"/>
              </w:rPr>
            </w:pPr>
            <w:r>
              <w:rPr>
                <w:b/>
                <w:bCs/>
                <w:sz w:val="22"/>
                <w:szCs w:val="22"/>
              </w:rPr>
              <w:t>Unidad tramitadora</w:t>
            </w:r>
          </w:p>
        </w:tc>
        <w:tc>
          <w:tcPr>
            <w:tcW w:w="2364" w:type="dxa"/>
            <w:tcBorders>
              <w:top w:val="single" w:sz="4" w:space="0" w:color="FFFFFF"/>
              <w:left w:val="single" w:sz="4" w:space="0" w:color="FFFFFF"/>
              <w:bottom w:val="single" w:sz="4" w:space="0" w:color="FFFFFF"/>
              <w:right w:val="single" w:sz="4" w:space="0" w:color="FFFFFF"/>
            </w:tcBorders>
            <w:shd w:val="clear" w:color="auto" w:fill="F3F3F3"/>
          </w:tcPr>
          <w:p w:rsidR="009E59D0" w:rsidRDefault="00DC241A">
            <w:pPr>
              <w:widowControl w:val="0"/>
              <w:spacing w:before="60" w:after="60"/>
              <w:jc w:val="center"/>
              <w:rPr>
                <w:b/>
                <w:bCs/>
                <w:sz w:val="22"/>
                <w:szCs w:val="22"/>
              </w:rPr>
            </w:pPr>
            <w:r>
              <w:rPr>
                <w:b/>
                <w:bCs/>
                <w:sz w:val="22"/>
                <w:szCs w:val="22"/>
              </w:rPr>
              <w:t>Oficina contable</w:t>
            </w:r>
          </w:p>
        </w:tc>
      </w:tr>
      <w:tr w:rsidR="009E59D0">
        <w:tc>
          <w:tcPr>
            <w:tcW w:w="2266" w:type="dxa"/>
            <w:tcBorders>
              <w:top w:val="single" w:sz="4" w:space="0" w:color="FFFFFF"/>
              <w:left w:val="single" w:sz="4" w:space="0" w:color="FFFFFF"/>
              <w:bottom w:val="single" w:sz="4" w:space="0" w:color="FFFFFF"/>
            </w:tcBorders>
            <w:shd w:val="clear" w:color="auto" w:fill="F3F3F3"/>
            <w:vAlign w:val="center"/>
          </w:tcPr>
          <w:p w:rsidR="009E59D0" w:rsidRDefault="00DC241A">
            <w:pPr>
              <w:widowControl w:val="0"/>
              <w:spacing w:before="60" w:after="60"/>
              <w:jc w:val="both"/>
            </w:pPr>
            <w:r>
              <w:rPr>
                <w:rStyle w:val="Lletraperdefectedelpargraf2"/>
                <w:sz w:val="22"/>
                <w:szCs w:val="22"/>
                <w:lang w:val="af-ZA"/>
              </w:rPr>
              <w:t>Eco-Equipo, SAM</w:t>
            </w:r>
          </w:p>
        </w:tc>
        <w:tc>
          <w:tcPr>
            <w:tcW w:w="2273" w:type="dxa"/>
            <w:tcBorders>
              <w:top w:val="single" w:sz="4" w:space="0" w:color="FFFFFF"/>
              <w:left w:val="single" w:sz="4" w:space="0" w:color="FFFFFF"/>
              <w:bottom w:val="single" w:sz="4" w:space="0" w:color="FFFFFF"/>
            </w:tcBorders>
            <w:shd w:val="clear" w:color="auto" w:fill="F3F3F3"/>
            <w:vAlign w:val="center"/>
          </w:tcPr>
          <w:p w:rsidR="009E59D0" w:rsidRDefault="00DC241A">
            <w:pPr>
              <w:widowControl w:val="0"/>
              <w:spacing w:before="60" w:after="60"/>
              <w:jc w:val="center"/>
              <w:rPr>
                <w:rFonts w:eastAsia="MS Mincho;ＭＳ 明朝"/>
                <w:sz w:val="22"/>
                <w:szCs w:val="22"/>
                <w:lang w:val="es-ES" w:eastAsia="ja-JP"/>
              </w:rPr>
            </w:pPr>
            <w:r>
              <w:rPr>
                <w:rFonts w:eastAsia="MS Mincho;ＭＳ 明朝"/>
                <w:sz w:val="22"/>
                <w:szCs w:val="22"/>
                <w:lang w:val="es-ES" w:eastAsia="ja-JP"/>
              </w:rPr>
              <w:t>LA0004550</w:t>
            </w:r>
          </w:p>
        </w:tc>
        <w:tc>
          <w:tcPr>
            <w:tcW w:w="2270" w:type="dxa"/>
            <w:tcBorders>
              <w:top w:val="single" w:sz="4" w:space="0" w:color="FFFFFF"/>
              <w:left w:val="single" w:sz="4" w:space="0" w:color="FFFFFF"/>
              <w:bottom w:val="single" w:sz="4" w:space="0" w:color="FFFFFF"/>
            </w:tcBorders>
            <w:shd w:val="clear" w:color="auto" w:fill="F3F3F3"/>
            <w:vAlign w:val="center"/>
          </w:tcPr>
          <w:p w:rsidR="009E59D0" w:rsidRDefault="00DC241A">
            <w:pPr>
              <w:widowControl w:val="0"/>
              <w:spacing w:before="60" w:after="60"/>
              <w:jc w:val="center"/>
              <w:rPr>
                <w:rFonts w:eastAsia="MS Mincho;ＭＳ 明朝"/>
                <w:sz w:val="22"/>
                <w:szCs w:val="22"/>
                <w:lang w:val="es-ES" w:eastAsia="ja-JP"/>
              </w:rPr>
            </w:pPr>
            <w:r>
              <w:rPr>
                <w:rFonts w:eastAsia="MS Mincho;ＭＳ 明朝"/>
                <w:sz w:val="22"/>
                <w:szCs w:val="22"/>
                <w:lang w:val="es-ES" w:eastAsia="ja-JP"/>
              </w:rPr>
              <w:t>LA0004550</w:t>
            </w:r>
          </w:p>
        </w:tc>
        <w:tc>
          <w:tcPr>
            <w:tcW w:w="2364" w:type="dxa"/>
            <w:tcBorders>
              <w:top w:val="single" w:sz="4" w:space="0" w:color="FFFFFF"/>
              <w:left w:val="single" w:sz="4" w:space="0" w:color="FFFFFF"/>
              <w:bottom w:val="single" w:sz="4" w:space="0" w:color="FFFFFF"/>
              <w:right w:val="single" w:sz="4" w:space="0" w:color="FFFFFF"/>
            </w:tcBorders>
            <w:shd w:val="clear" w:color="auto" w:fill="F3F3F3"/>
            <w:vAlign w:val="center"/>
          </w:tcPr>
          <w:p w:rsidR="009E59D0" w:rsidRDefault="00DC241A">
            <w:pPr>
              <w:widowControl w:val="0"/>
              <w:spacing w:before="60" w:after="60"/>
              <w:jc w:val="center"/>
              <w:rPr>
                <w:rFonts w:eastAsia="MS Mincho;ＭＳ 明朝"/>
                <w:sz w:val="22"/>
                <w:szCs w:val="22"/>
                <w:lang w:val="es-ES" w:eastAsia="ja-JP"/>
              </w:rPr>
            </w:pPr>
            <w:r>
              <w:rPr>
                <w:rFonts w:eastAsia="MS Mincho;ＭＳ 明朝"/>
                <w:sz w:val="22"/>
                <w:szCs w:val="22"/>
                <w:lang w:val="es-ES" w:eastAsia="ja-JP"/>
              </w:rPr>
              <w:t>LA0004550</w:t>
            </w:r>
          </w:p>
        </w:tc>
      </w:tr>
    </w:tbl>
    <w:p w:rsidR="009E59D0" w:rsidRDefault="009E59D0">
      <w:pPr>
        <w:widowControl w:val="0"/>
        <w:shd w:val="clear" w:color="auto" w:fill="FFFFFF"/>
        <w:jc w:val="both"/>
        <w:rPr>
          <w:b/>
          <w:sz w:val="22"/>
          <w:szCs w:val="22"/>
        </w:rPr>
      </w:pPr>
    </w:p>
    <w:p w:rsidR="009E59D0" w:rsidRDefault="009E59D0">
      <w:pPr>
        <w:widowControl w:val="0"/>
        <w:jc w:val="both"/>
        <w:rPr>
          <w:b/>
          <w:sz w:val="22"/>
          <w:szCs w:val="22"/>
        </w:rPr>
      </w:pPr>
    </w:p>
    <w:p w:rsidR="009E59D0" w:rsidRDefault="00DC241A">
      <w:pPr>
        <w:pStyle w:val="Ttol7"/>
      </w:pPr>
      <w:r>
        <w:t>TRIGÉSIMO QUINTA.- Garantías provisionales y definitivas</w:t>
      </w:r>
    </w:p>
    <w:p w:rsidR="009E59D0" w:rsidRDefault="009E59D0">
      <w:pPr>
        <w:jc w:val="both"/>
      </w:pPr>
    </w:p>
    <w:p w:rsidR="009E59D0" w:rsidRDefault="00DC241A">
      <w:pPr>
        <w:jc w:val="both"/>
        <w:rPr>
          <w:sz w:val="22"/>
          <w:szCs w:val="22"/>
        </w:rPr>
      </w:pPr>
      <w:r>
        <w:rPr>
          <w:sz w:val="22"/>
          <w:szCs w:val="22"/>
        </w:rPr>
        <w:lastRenderedPageBreak/>
        <w:t>Garantía provisional. En este procedimiento de contratación no procederá la exigencia de una garantía provisional.</w:t>
      </w:r>
    </w:p>
    <w:p w:rsidR="009E59D0" w:rsidRDefault="009E59D0">
      <w:pPr>
        <w:jc w:val="both"/>
        <w:rPr>
          <w:sz w:val="22"/>
          <w:szCs w:val="22"/>
        </w:rPr>
      </w:pPr>
    </w:p>
    <w:p w:rsidR="009E59D0" w:rsidRDefault="00DC241A">
      <w:pPr>
        <w:jc w:val="both"/>
        <w:rPr>
          <w:sz w:val="22"/>
          <w:szCs w:val="22"/>
        </w:rPr>
      </w:pPr>
      <w:r>
        <w:rPr>
          <w:sz w:val="22"/>
          <w:szCs w:val="22"/>
        </w:rPr>
        <w:t xml:space="preserve">Garantía definitiva. La empresa licitadora que </w:t>
      </w:r>
      <w:r>
        <w:rPr>
          <w:sz w:val="22"/>
          <w:szCs w:val="22"/>
        </w:rPr>
        <w:t>presente la mejor oferta de conformidad con lo dispuesto en el artículo 145 de la LCSP deberá constituir a disposición del órgano de contratación una garantía de un 5 por 100 del precio final ofrecido, excluido el IVA.</w:t>
      </w:r>
    </w:p>
    <w:p w:rsidR="009E59D0" w:rsidRDefault="009E59D0">
      <w:pPr>
        <w:jc w:val="both"/>
        <w:rPr>
          <w:sz w:val="22"/>
          <w:szCs w:val="22"/>
        </w:rPr>
      </w:pPr>
    </w:p>
    <w:p w:rsidR="009E59D0" w:rsidRDefault="00DC241A">
      <w:pPr>
        <w:jc w:val="both"/>
        <w:rPr>
          <w:sz w:val="22"/>
          <w:szCs w:val="22"/>
        </w:rPr>
      </w:pPr>
      <w:r>
        <w:rPr>
          <w:sz w:val="22"/>
          <w:szCs w:val="22"/>
        </w:rPr>
        <w:t>La garantía definitiva podrá prestar</w:t>
      </w:r>
      <w:r>
        <w:rPr>
          <w:sz w:val="22"/>
          <w:szCs w:val="22"/>
        </w:rPr>
        <w:t>se mediante cualquiera de las formas previstas en el artículo 108.1 de la LCSP. En caso de que lo solicite el adjudicatario, se podrá instrumentar mediante la retención del primer o primeros pagos que se efectúen hasta cubrir el importe total de la garantí</w:t>
      </w:r>
      <w:r>
        <w:rPr>
          <w:sz w:val="22"/>
          <w:szCs w:val="22"/>
        </w:rPr>
        <w:t>a definitiva.</w:t>
      </w:r>
    </w:p>
    <w:p w:rsidR="009E59D0" w:rsidRDefault="009E59D0">
      <w:pPr>
        <w:jc w:val="both"/>
        <w:rPr>
          <w:sz w:val="22"/>
          <w:szCs w:val="22"/>
        </w:rPr>
      </w:pPr>
    </w:p>
    <w:p w:rsidR="009E59D0" w:rsidRDefault="009E59D0">
      <w:pPr>
        <w:jc w:val="both"/>
        <w:rPr>
          <w:sz w:val="22"/>
          <w:szCs w:val="22"/>
        </w:rPr>
      </w:pPr>
    </w:p>
    <w:p w:rsidR="009E59D0" w:rsidRDefault="00DC241A">
      <w:pPr>
        <w:jc w:val="both"/>
        <w:rPr>
          <w:b/>
          <w:bCs/>
          <w:sz w:val="22"/>
        </w:rPr>
      </w:pPr>
      <w:r>
        <w:rPr>
          <w:b/>
          <w:bCs/>
          <w:sz w:val="22"/>
        </w:rPr>
        <w:t>TRIGÉSIMO SEXTA.- Plazo de garantía</w:t>
      </w:r>
    </w:p>
    <w:p w:rsidR="009E59D0" w:rsidRDefault="009E59D0">
      <w:pPr>
        <w:jc w:val="both"/>
        <w:rPr>
          <w:b/>
          <w:bCs/>
          <w:sz w:val="22"/>
        </w:rPr>
      </w:pPr>
    </w:p>
    <w:p w:rsidR="009E59D0" w:rsidRDefault="00DC241A">
      <w:pPr>
        <w:jc w:val="both"/>
        <w:rPr>
          <w:color w:val="000000"/>
          <w:sz w:val="22"/>
          <w:szCs w:val="22"/>
        </w:rPr>
      </w:pPr>
      <w:r>
        <w:rPr>
          <w:color w:val="000000"/>
          <w:sz w:val="22"/>
          <w:szCs w:val="22"/>
        </w:rPr>
        <w:t>El plazo de garantía se fija en un mínimo de 2 años desde la instalación de los neumáticos. La garantía definitiva responde de los posibles vicios o defectos en la prestación de los servicios contratados</w:t>
      </w:r>
      <w:r>
        <w:rPr>
          <w:color w:val="000000"/>
          <w:sz w:val="22"/>
          <w:szCs w:val="22"/>
        </w:rPr>
        <w:t>.</w:t>
      </w:r>
    </w:p>
    <w:p w:rsidR="009E59D0" w:rsidRDefault="009E59D0">
      <w:pPr>
        <w:jc w:val="both"/>
        <w:rPr>
          <w:color w:val="000000"/>
          <w:sz w:val="22"/>
          <w:szCs w:val="22"/>
        </w:rPr>
      </w:pPr>
    </w:p>
    <w:p w:rsidR="009E59D0" w:rsidRDefault="009E59D0">
      <w:pPr>
        <w:jc w:val="both"/>
        <w:rPr>
          <w:color w:val="000000"/>
          <w:sz w:val="22"/>
          <w:szCs w:val="22"/>
        </w:rPr>
      </w:pPr>
    </w:p>
    <w:p w:rsidR="009E59D0" w:rsidRDefault="00DC241A">
      <w:pPr>
        <w:pStyle w:val="Ttol7"/>
      </w:pPr>
      <w:r>
        <w:t>TREINTA Y SÉPTIMA.- Renuncia y desistimiento</w:t>
      </w:r>
    </w:p>
    <w:p w:rsidR="009E59D0" w:rsidRDefault="009E59D0">
      <w:pPr>
        <w:jc w:val="both"/>
        <w:rPr>
          <w:b/>
          <w:sz w:val="22"/>
        </w:rPr>
      </w:pPr>
    </w:p>
    <w:p w:rsidR="009E59D0" w:rsidRDefault="00DC241A">
      <w:pPr>
        <w:jc w:val="both"/>
        <w:rPr>
          <w:sz w:val="22"/>
        </w:rPr>
      </w:pPr>
      <w:r>
        <w:rPr>
          <w:sz w:val="22"/>
        </w:rPr>
        <w:t xml:space="preserve">La renuncia a la firma del contrato por razones de interés público debidamente justificadas o el desistimiento del procedimiento sólo podrá acordarlos el órgano de contratación antes de la adjudicación </w:t>
      </w:r>
      <w:r>
        <w:rPr>
          <w:sz w:val="22"/>
        </w:rPr>
        <w:t>provisional. El desistimiento del procedimiento debe estar fundado en una infracción no solucionable de las normas de preparación del contrato o de las reguladoras del procedimiento de adjudicación</w:t>
      </w:r>
    </w:p>
    <w:p w:rsidR="009E59D0" w:rsidRDefault="009E59D0">
      <w:pPr>
        <w:jc w:val="both"/>
        <w:rPr>
          <w:b/>
          <w:sz w:val="22"/>
        </w:rPr>
      </w:pPr>
    </w:p>
    <w:p w:rsidR="009E59D0" w:rsidRDefault="009E59D0">
      <w:pPr>
        <w:jc w:val="both"/>
        <w:rPr>
          <w:b/>
          <w:sz w:val="22"/>
        </w:rPr>
      </w:pPr>
    </w:p>
    <w:p w:rsidR="009E59D0" w:rsidRDefault="00DC241A">
      <w:pPr>
        <w:jc w:val="both"/>
      </w:pPr>
      <w:r>
        <w:rPr>
          <w:b/>
          <w:sz w:val="22"/>
        </w:rPr>
        <w:t>TREINTA Y OCTAVA.-</w:t>
      </w:r>
      <w:r>
        <w:rPr>
          <w:sz w:val="22"/>
        </w:rPr>
        <w:t>Causas de resolución</w:t>
      </w:r>
    </w:p>
    <w:p w:rsidR="009E59D0" w:rsidRDefault="009E59D0">
      <w:pPr>
        <w:jc w:val="both"/>
        <w:rPr>
          <w:b/>
          <w:sz w:val="22"/>
        </w:rPr>
      </w:pPr>
    </w:p>
    <w:p w:rsidR="009E59D0" w:rsidRDefault="00DC241A">
      <w:pPr>
        <w:autoSpaceDE w:val="0"/>
        <w:jc w:val="both"/>
      </w:pPr>
      <w:r>
        <w:rPr>
          <w:sz w:val="22"/>
        </w:rPr>
        <w:t>Son causas de re</w:t>
      </w:r>
      <w:r>
        <w:rPr>
          <w:sz w:val="22"/>
        </w:rPr>
        <w:t>solución de este contrato las previstas en los artículos 211 y 306 de la LCSP. También será causa de resolución el incumplimiento de las obligaciones contractuales esenciales, calificadas como tales en la cláusula decimonovena de este pliego y el de las me</w:t>
      </w:r>
      <w:r>
        <w:rPr>
          <w:sz w:val="22"/>
        </w:rPr>
        <w:t>joras propuestas en relación con los criterios de adjudicación del contrato de acuerdo con lo establecido en la cláusula decimotercera.</w:t>
      </w:r>
    </w:p>
    <w:p w:rsidR="009E59D0" w:rsidRDefault="009E59D0">
      <w:pPr>
        <w:autoSpaceDE w:val="0"/>
        <w:jc w:val="both"/>
        <w:rPr>
          <w:color w:val="000000"/>
          <w:sz w:val="22"/>
          <w:szCs w:val="22"/>
          <w:lang w:val="es-ES"/>
        </w:rPr>
      </w:pPr>
    </w:p>
    <w:p w:rsidR="009E59D0" w:rsidRDefault="009E59D0">
      <w:pPr>
        <w:autoSpaceDE w:val="0"/>
        <w:jc w:val="both"/>
        <w:rPr>
          <w:color w:val="000000"/>
          <w:sz w:val="22"/>
          <w:szCs w:val="22"/>
          <w:lang w:val="es-ES"/>
        </w:rPr>
      </w:pPr>
    </w:p>
    <w:p w:rsidR="009E59D0" w:rsidRDefault="00DC241A">
      <w:pPr>
        <w:pStyle w:val="Ttol7"/>
      </w:pPr>
      <w:r>
        <w:t>TREINTA Y NOVENA.- Incumplimiento de las condiciones de ejecución</w:t>
      </w:r>
    </w:p>
    <w:p w:rsidR="009E59D0" w:rsidRDefault="009E59D0"/>
    <w:p w:rsidR="009E59D0" w:rsidRDefault="00DC241A">
      <w:pPr>
        <w:jc w:val="both"/>
        <w:rPr>
          <w:sz w:val="22"/>
        </w:rPr>
      </w:pPr>
      <w:r>
        <w:rPr>
          <w:sz w:val="22"/>
        </w:rPr>
        <w:t>La constitución en mora del contratista no requiere</w:t>
      </w:r>
      <w:r>
        <w:rPr>
          <w:sz w:val="22"/>
        </w:rPr>
        <w:t xml:space="preserve"> intimación previa por parte de Eco-equip, SAM.</w:t>
      </w:r>
    </w:p>
    <w:p w:rsidR="009E59D0" w:rsidRDefault="009E59D0">
      <w:pPr>
        <w:jc w:val="both"/>
        <w:rPr>
          <w:sz w:val="22"/>
        </w:rPr>
      </w:pPr>
    </w:p>
    <w:p w:rsidR="009E59D0" w:rsidRDefault="00DC241A">
      <w:pPr>
        <w:jc w:val="both"/>
        <w:rPr>
          <w:sz w:val="22"/>
        </w:rPr>
      </w:pPr>
      <w:r>
        <w:rPr>
          <w:sz w:val="22"/>
        </w:rPr>
        <w:t>Cuando el contratista, por causas imputables a sí mismo, haya incumplido la ejecución parcial de las prestaciones definidas en el contrato, Eco-equip, SAM podrá optar, indistintamente, por resolverlo o por i</w:t>
      </w:r>
      <w:r>
        <w:rPr>
          <w:sz w:val="22"/>
        </w:rPr>
        <w:t>mponer las penalidades que, para estos supuestos, se determinen en el pliego de cláusulas administrativas particulares.</w:t>
      </w:r>
    </w:p>
    <w:p w:rsidR="009E59D0" w:rsidRDefault="009E59D0">
      <w:pPr>
        <w:rPr>
          <w:sz w:val="22"/>
        </w:rPr>
      </w:pPr>
    </w:p>
    <w:p w:rsidR="009E59D0" w:rsidRDefault="009E59D0">
      <w:pPr>
        <w:rPr>
          <w:sz w:val="22"/>
        </w:rPr>
      </w:pPr>
    </w:p>
    <w:p w:rsidR="009E59D0" w:rsidRDefault="00DC241A">
      <w:pPr>
        <w:pStyle w:val="Ttol8"/>
      </w:pPr>
      <w:r>
        <w:t>CUADRAGÉSIMA.- Penalidades por incumplimiento</w:t>
      </w:r>
    </w:p>
    <w:p w:rsidR="009E59D0" w:rsidRDefault="009E59D0">
      <w:pPr>
        <w:jc w:val="both"/>
        <w:rPr>
          <w:sz w:val="22"/>
        </w:rPr>
      </w:pPr>
    </w:p>
    <w:p w:rsidR="009E59D0" w:rsidRDefault="00DC241A">
      <w:pPr>
        <w:jc w:val="both"/>
        <w:rPr>
          <w:sz w:val="22"/>
        </w:rPr>
      </w:pPr>
      <w:r>
        <w:rPr>
          <w:sz w:val="22"/>
        </w:rPr>
        <w:t>El contratista debe hacerse responsable de que los suministros objeto de este contrato se presten dentro del plazo previsto, en el lugar acordado y de acuerdo con las características y requisitos establecidos en este pliego y en el pliego de prescripciones</w:t>
      </w:r>
      <w:r>
        <w:rPr>
          <w:sz w:val="22"/>
        </w:rPr>
        <w:t xml:space="preserve"> técnicas particulares.</w:t>
      </w:r>
    </w:p>
    <w:p w:rsidR="009E59D0" w:rsidRDefault="009E59D0">
      <w:pPr>
        <w:rPr>
          <w:sz w:val="22"/>
        </w:rPr>
      </w:pPr>
    </w:p>
    <w:p w:rsidR="009E59D0" w:rsidRDefault="00DC241A">
      <w:pPr>
        <w:jc w:val="both"/>
        <w:rPr>
          <w:sz w:val="22"/>
        </w:rPr>
      </w:pPr>
      <w:r>
        <w:rPr>
          <w:sz w:val="22"/>
        </w:rPr>
        <w:lastRenderedPageBreak/>
        <w:t>Se establece el siguiente catálogo de incumplimiento de las obligaciones de la empresa contratista, distinguiendo entre los de carácter leve y grave:</w:t>
      </w:r>
    </w:p>
    <w:p w:rsidR="009E59D0" w:rsidRDefault="009E59D0">
      <w:pPr>
        <w:jc w:val="both"/>
        <w:rPr>
          <w:sz w:val="22"/>
        </w:rPr>
      </w:pPr>
    </w:p>
    <w:p w:rsidR="009E59D0" w:rsidRDefault="00DC241A">
      <w:pPr>
        <w:jc w:val="both"/>
      </w:pPr>
      <w:r>
        <w:rPr>
          <w:rStyle w:val="Lletraperdefectedelpargraf2"/>
          <w:sz w:val="22"/>
        </w:rPr>
        <w:t>Se considerará de carácter grave el incumplimiento de cualquiera de las condicio</w:t>
      </w:r>
      <w:r>
        <w:rPr>
          <w:rStyle w:val="Lletraperdefectedelpargraf2"/>
          <w:sz w:val="22"/>
        </w:rPr>
        <w:t>nes especiales de ejecución de carácter obligatorio establecidas en la cláusula decimonovena de este pliego, el incumplimiento de las obligaciones y/o condiciones de ejecución del contrato que figuran en los pliegos, el incumplimiento de las mejoras oferta</w:t>
      </w:r>
      <w:r>
        <w:rPr>
          <w:rStyle w:val="Lletraperdefectedelpargraf2"/>
          <w:sz w:val="22"/>
        </w:rPr>
        <w:t xml:space="preserve">das por el adjudicatario y el incumplimiento del personal de ads. Se considerará de carácter leve el defectuoso cumplimiento de las obligaciones y/o condiciones de ejecución del contrato, cuando no constituya una falta de carácter grave. La acumulación de </w:t>
      </w:r>
      <w:r>
        <w:rPr>
          <w:rStyle w:val="Lletraperdefectedelpargraf2"/>
          <w:sz w:val="22"/>
        </w:rPr>
        <w:t>tres faltas leves supondrá una falta grave.</w:t>
      </w:r>
    </w:p>
    <w:p w:rsidR="009E59D0" w:rsidRDefault="009E59D0">
      <w:pPr>
        <w:jc w:val="both"/>
        <w:rPr>
          <w:sz w:val="22"/>
        </w:rPr>
      </w:pPr>
    </w:p>
    <w:p w:rsidR="009E59D0" w:rsidRDefault="00DC241A">
      <w:pPr>
        <w:jc w:val="both"/>
      </w:pPr>
      <w:r>
        <w:rPr>
          <w:rStyle w:val="Lletraperdefectedelpargraf2"/>
          <w:sz w:val="22"/>
        </w:rPr>
        <w:t>Un incumplimiento de carácter leve supondrá una penalidad del 3% del presupuesto base de licitación, excluido el IVA. Ante un incumplimiento de carácter grave, Eco-equip, SAM puede optar, dadas las circunstancia</w:t>
      </w:r>
      <w:r>
        <w:rPr>
          <w:rStyle w:val="Lletraperdefectedelpargraf2"/>
          <w:sz w:val="22"/>
        </w:rPr>
        <w:t>s del caso, por la resolución del contrato o por la imposición del 6% del presupuesto base de licitación, excluido el IVA.</w:t>
      </w:r>
    </w:p>
    <w:p w:rsidR="009E59D0" w:rsidRDefault="009E59D0">
      <w:pPr>
        <w:jc w:val="both"/>
        <w:rPr>
          <w:sz w:val="22"/>
        </w:rPr>
      </w:pPr>
    </w:p>
    <w:p w:rsidR="009E59D0" w:rsidRDefault="00DC241A">
      <w:pPr>
        <w:jc w:val="both"/>
        <w:rPr>
          <w:sz w:val="22"/>
        </w:rPr>
      </w:pPr>
      <w:r>
        <w:rPr>
          <w:sz w:val="22"/>
        </w:rPr>
        <w:t>El total de estas penalidades no podrá superar el 50% del precio del contrato.</w:t>
      </w:r>
    </w:p>
    <w:p w:rsidR="009E59D0" w:rsidRDefault="009E59D0">
      <w:pPr>
        <w:jc w:val="both"/>
        <w:rPr>
          <w:sz w:val="22"/>
        </w:rPr>
      </w:pPr>
    </w:p>
    <w:p w:rsidR="009E59D0" w:rsidRDefault="00DC241A">
      <w:pPr>
        <w:jc w:val="both"/>
      </w:pPr>
      <w:r>
        <w:rPr>
          <w:rStyle w:val="Lletraperdefectedelpargraf2"/>
          <w:sz w:val="22"/>
          <w:szCs w:val="22"/>
        </w:rPr>
        <w:t>Las penalidades deben imponerse por acuerdo del órga</w:t>
      </w:r>
      <w:r>
        <w:rPr>
          <w:rStyle w:val="Lletraperdefectedelpargraf2"/>
          <w:sz w:val="22"/>
          <w:szCs w:val="22"/>
        </w:rPr>
        <w:t>no de contratación, adoptado a propuesta del responsable del contrato, que es inmediatamente ejecutivo, y deben hacerse efectivas mediante deducción de las cantidades que, en concepto de pago total o parcial, deban abonarse a la empresa contratista o sobre</w:t>
      </w:r>
      <w:r>
        <w:rPr>
          <w:rStyle w:val="Lletraperdefectedelpargraf2"/>
          <w:sz w:val="22"/>
          <w:szCs w:val="22"/>
        </w:rPr>
        <w:t xml:space="preserve"> la garantía que, en su caso, se haya constituido.</w:t>
      </w:r>
      <w:r>
        <w:rPr>
          <w:rStyle w:val="Lletraperdefectedelpargraf2"/>
          <w:color w:val="000000"/>
          <w:sz w:val="22"/>
          <w:szCs w:val="22"/>
        </w:rPr>
        <w:t>Se debe dar audiencia al contratista.</w:t>
      </w:r>
    </w:p>
    <w:p w:rsidR="009E59D0" w:rsidRDefault="009E59D0">
      <w:pPr>
        <w:jc w:val="both"/>
        <w:rPr>
          <w:sz w:val="22"/>
        </w:rPr>
      </w:pPr>
    </w:p>
    <w:p w:rsidR="009E59D0" w:rsidRDefault="009E59D0">
      <w:pPr>
        <w:jc w:val="both"/>
        <w:rPr>
          <w:sz w:val="22"/>
        </w:rPr>
      </w:pPr>
    </w:p>
    <w:p w:rsidR="009E59D0" w:rsidRDefault="00DC241A">
      <w:pPr>
        <w:pStyle w:val="Ttol7"/>
      </w:pPr>
      <w:r>
        <w:t>CUARENTA Y UNENA.- Modificación del contrato</w:t>
      </w:r>
    </w:p>
    <w:p w:rsidR="009E59D0" w:rsidRDefault="009E59D0">
      <w:pPr>
        <w:jc w:val="both"/>
        <w:rPr>
          <w:b/>
          <w:sz w:val="22"/>
        </w:rPr>
      </w:pPr>
    </w:p>
    <w:p w:rsidR="009E59D0" w:rsidRDefault="00DC241A">
      <w:pPr>
        <w:jc w:val="both"/>
      </w:pPr>
      <w:r>
        <w:rPr>
          <w:rStyle w:val="Lletraperdefectedelpargraf2"/>
          <w:spacing w:val="-3"/>
          <w:sz w:val="22"/>
          <w:szCs w:val="22"/>
        </w:rPr>
        <w:t>El órgano de contratación sólo podrá introducir modificaciones en el contrato por razones de interés público</w:t>
      </w:r>
      <w:r>
        <w:rPr>
          <w:rStyle w:val="Lletraperdefectedelpargraf2"/>
          <w:sz w:val="22"/>
          <w:szCs w:val="22"/>
        </w:rPr>
        <w:t>de conformid</w:t>
      </w:r>
      <w:r>
        <w:rPr>
          <w:rStyle w:val="Lletraperdefectedelpargraf2"/>
          <w:sz w:val="22"/>
          <w:szCs w:val="22"/>
        </w:rPr>
        <w:t>ad con lo que señalan los artículos 191, 203 y 207 de la LCSP.</w:t>
      </w:r>
    </w:p>
    <w:p w:rsidR="009E59D0" w:rsidRDefault="009E59D0">
      <w:pPr>
        <w:jc w:val="both"/>
        <w:rPr>
          <w:sz w:val="22"/>
        </w:rPr>
      </w:pPr>
    </w:p>
    <w:p w:rsidR="009E59D0" w:rsidRDefault="009E59D0">
      <w:pPr>
        <w:jc w:val="both"/>
        <w:rPr>
          <w:sz w:val="22"/>
        </w:rPr>
      </w:pPr>
    </w:p>
    <w:p w:rsidR="009E59D0" w:rsidRDefault="00DC241A">
      <w:pPr>
        <w:pStyle w:val="Ttol7"/>
      </w:pPr>
      <w:r>
        <w:t>CUADRAGÉSIMO SEGUNDA.- Recepción del contrato</w:t>
      </w:r>
    </w:p>
    <w:p w:rsidR="009E59D0" w:rsidRDefault="009E59D0">
      <w:pPr>
        <w:jc w:val="both"/>
        <w:rPr>
          <w:b/>
          <w:sz w:val="22"/>
        </w:rPr>
      </w:pPr>
    </w:p>
    <w:p w:rsidR="009E59D0" w:rsidRDefault="00DC241A">
      <w:pPr>
        <w:jc w:val="both"/>
        <w:rPr>
          <w:sz w:val="22"/>
        </w:rPr>
      </w:pPr>
      <w:r>
        <w:rPr>
          <w:sz w:val="22"/>
        </w:rPr>
        <w:t>El contrato se entenderá cumplido cuando éste se haya realizado a satisfacción del órgano de contratación en la totalidad de su objeto.</w:t>
      </w:r>
    </w:p>
    <w:p w:rsidR="009E59D0" w:rsidRDefault="009E59D0">
      <w:pPr>
        <w:jc w:val="both"/>
        <w:rPr>
          <w:sz w:val="22"/>
        </w:rPr>
      </w:pPr>
    </w:p>
    <w:p w:rsidR="009E59D0" w:rsidRDefault="009E59D0">
      <w:pPr>
        <w:jc w:val="both"/>
        <w:rPr>
          <w:sz w:val="22"/>
        </w:rPr>
      </w:pPr>
    </w:p>
    <w:p w:rsidR="009E59D0" w:rsidRDefault="00DC241A">
      <w:pPr>
        <w:pStyle w:val="Ttol7"/>
      </w:pPr>
      <w:r>
        <w:t>CUAREN</w:t>
      </w:r>
      <w:r>
        <w:t>TA Y TERCERA.- Subcontratación</w:t>
      </w:r>
    </w:p>
    <w:p w:rsidR="009E59D0" w:rsidRDefault="009E59D0">
      <w:pPr>
        <w:jc w:val="both"/>
        <w:rPr>
          <w:sz w:val="22"/>
        </w:rPr>
      </w:pPr>
    </w:p>
    <w:p w:rsidR="009E59D0" w:rsidRDefault="00DC241A">
      <w:pPr>
        <w:jc w:val="both"/>
        <w:rPr>
          <w:sz w:val="22"/>
        </w:rPr>
      </w:pPr>
      <w:r>
        <w:rPr>
          <w:sz w:val="22"/>
        </w:rPr>
        <w:t>En materia de subcontratación será de aplicación el régimen general de los artículos 215, 216 y 217 y concordantes de la LCSP, excepto en el supuesto de que suponga la modificación de las personas designadas por la ejecución</w:t>
      </w:r>
      <w:r>
        <w:rPr>
          <w:sz w:val="22"/>
        </w:rPr>
        <w:t xml:space="preserve"> del contrato que hayan sido objeto de valoración, en cuyo caso no se autorizará.</w:t>
      </w:r>
    </w:p>
    <w:p w:rsidR="009E59D0" w:rsidRDefault="009E59D0">
      <w:pPr>
        <w:jc w:val="both"/>
        <w:rPr>
          <w:rFonts w:ascii="Helvetica" w:hAnsi="Helvetica" w:cs="Helvetica"/>
          <w:sz w:val="22"/>
        </w:rPr>
      </w:pPr>
    </w:p>
    <w:p w:rsidR="009E59D0" w:rsidRDefault="009E59D0">
      <w:pPr>
        <w:jc w:val="both"/>
        <w:rPr>
          <w:rFonts w:ascii="Helvetica" w:hAnsi="Helvetica" w:cs="Helvetica"/>
          <w:sz w:val="22"/>
        </w:rPr>
      </w:pPr>
    </w:p>
    <w:p w:rsidR="009E59D0" w:rsidRDefault="00DC241A">
      <w:pPr>
        <w:jc w:val="both"/>
        <w:rPr>
          <w:b/>
          <w:sz w:val="22"/>
        </w:rPr>
      </w:pPr>
      <w:r>
        <w:rPr>
          <w:b/>
          <w:sz w:val="22"/>
        </w:rPr>
        <w:t>CUADRAGÉSIMOCUARTA.- Uso de la lengua catalana</w:t>
      </w:r>
    </w:p>
    <w:p w:rsidR="009E59D0" w:rsidRDefault="009E59D0">
      <w:pPr>
        <w:jc w:val="both"/>
        <w:rPr>
          <w:b/>
          <w:sz w:val="22"/>
        </w:rPr>
      </w:pPr>
    </w:p>
    <w:p w:rsidR="009E59D0" w:rsidRDefault="00DC241A">
      <w:pPr>
        <w:autoSpaceDE w:val="0"/>
        <w:jc w:val="both"/>
      </w:pPr>
      <w:r>
        <w:rPr>
          <w:rFonts w:eastAsia="MS Mincho;ＭＳ 明朝"/>
          <w:sz w:val="22"/>
          <w:szCs w:val="22"/>
          <w:lang w:eastAsia="ja-JP"/>
        </w:rPr>
        <w:t>La adjudicataria tendrá que presentar toda la documentación e informes correspondiente al cumplimiento del contrato en catal</w:t>
      </w:r>
      <w:r>
        <w:rPr>
          <w:rFonts w:eastAsia="MS Mincho;ＭＳ 明朝"/>
          <w:sz w:val="22"/>
          <w:szCs w:val="22"/>
          <w:lang w:eastAsia="ja-JP"/>
        </w:rPr>
        <w:t>án y las personas adscritas al contrato tendrán que poder hacer uso del catalán en los servicios que son objeto del contrato.</w:t>
      </w:r>
    </w:p>
    <w:p w:rsidR="009E59D0" w:rsidRDefault="009E59D0">
      <w:pPr>
        <w:rPr>
          <w:rFonts w:eastAsia="MS Mincho;ＭＳ 明朝"/>
          <w:sz w:val="22"/>
          <w:szCs w:val="22"/>
          <w:lang w:val="es-ES" w:eastAsia="ja-JP"/>
        </w:rPr>
      </w:pPr>
    </w:p>
    <w:p w:rsidR="009E59D0" w:rsidRDefault="009E59D0">
      <w:pPr>
        <w:rPr>
          <w:rFonts w:eastAsia="MS Mincho;ＭＳ 明朝"/>
          <w:sz w:val="22"/>
          <w:szCs w:val="22"/>
          <w:lang w:val="es-ES" w:eastAsia="ja-JP"/>
        </w:rPr>
      </w:pPr>
    </w:p>
    <w:p w:rsidR="009E59D0" w:rsidRDefault="00DC241A">
      <w:pPr>
        <w:pStyle w:val="Ttol7"/>
      </w:pPr>
      <w:r>
        <w:t>CUARENTA Y QUINTA.- Protección de datos de carácter personal y confidencialidad</w:t>
      </w:r>
    </w:p>
    <w:p w:rsidR="009E59D0" w:rsidRDefault="009E59D0">
      <w:pPr>
        <w:jc w:val="both"/>
        <w:rPr>
          <w:sz w:val="22"/>
        </w:rPr>
      </w:pPr>
    </w:p>
    <w:p w:rsidR="009E59D0" w:rsidRDefault="00DC241A">
      <w:pPr>
        <w:jc w:val="both"/>
        <w:rPr>
          <w:sz w:val="22"/>
          <w:szCs w:val="22"/>
        </w:rPr>
      </w:pPr>
      <w:r>
        <w:rPr>
          <w:sz w:val="22"/>
          <w:szCs w:val="22"/>
        </w:rPr>
        <w:t xml:space="preserve">Este contrato deberá respetar íntegramente la </w:t>
      </w:r>
      <w:r>
        <w:rPr>
          <w:sz w:val="22"/>
          <w:szCs w:val="22"/>
        </w:rPr>
        <w:t>Ley Orgánica 3/2018, de 5 de diciembre, de protección de datos personales y garantía de los derechos digitales.</w:t>
      </w:r>
    </w:p>
    <w:p w:rsidR="009E59D0" w:rsidRDefault="009E59D0">
      <w:pPr>
        <w:jc w:val="both"/>
        <w:rPr>
          <w:b/>
          <w:sz w:val="22"/>
          <w:szCs w:val="22"/>
        </w:rPr>
      </w:pPr>
    </w:p>
    <w:p w:rsidR="009E59D0" w:rsidRDefault="00DC241A">
      <w:pPr>
        <w:rPr>
          <w:sz w:val="22"/>
          <w:szCs w:val="22"/>
        </w:rPr>
      </w:pPr>
      <w:r>
        <w:rPr>
          <w:sz w:val="22"/>
          <w:szCs w:val="22"/>
        </w:rPr>
        <w:t>El contratista debe respetar el carácter confidencial de la información a la que tenga acceso con ocasión de la ejecución del contrato.</w:t>
      </w:r>
    </w:p>
    <w:p w:rsidR="009E59D0" w:rsidRDefault="009E59D0">
      <w:pPr>
        <w:jc w:val="both"/>
        <w:rPr>
          <w:b/>
          <w:sz w:val="22"/>
          <w:szCs w:val="22"/>
        </w:rPr>
      </w:pPr>
    </w:p>
    <w:p w:rsidR="009E59D0" w:rsidRDefault="00DC241A">
      <w:pPr>
        <w:jc w:val="both"/>
        <w:rPr>
          <w:sz w:val="22"/>
          <w:szCs w:val="22"/>
        </w:rPr>
      </w:pPr>
      <w:r>
        <w:rPr>
          <w:sz w:val="22"/>
          <w:szCs w:val="22"/>
        </w:rPr>
        <w:t>Este d</w:t>
      </w:r>
      <w:r>
        <w:rPr>
          <w:sz w:val="22"/>
          <w:szCs w:val="22"/>
        </w:rPr>
        <w:t>eber debe mantenerse incluso después de finalizar y extinguirse este contrato.</w:t>
      </w:r>
    </w:p>
    <w:p w:rsidR="009E59D0" w:rsidRDefault="009E59D0">
      <w:pPr>
        <w:jc w:val="both"/>
        <w:rPr>
          <w:sz w:val="22"/>
          <w:szCs w:val="22"/>
        </w:rPr>
      </w:pPr>
    </w:p>
    <w:p w:rsidR="009E59D0" w:rsidRDefault="009E59D0">
      <w:pPr>
        <w:jc w:val="both"/>
        <w:rPr>
          <w:sz w:val="22"/>
          <w:szCs w:val="22"/>
        </w:rPr>
      </w:pPr>
    </w:p>
    <w:p w:rsidR="009E59D0" w:rsidRDefault="009E59D0">
      <w:pPr>
        <w:jc w:val="both"/>
        <w:rPr>
          <w:sz w:val="22"/>
          <w:szCs w:val="22"/>
        </w:rPr>
      </w:pPr>
    </w:p>
    <w:p w:rsidR="009E59D0" w:rsidRDefault="00DC241A">
      <w:pPr>
        <w:jc w:val="both"/>
        <w:rPr>
          <w:b/>
          <w:sz w:val="22"/>
        </w:rPr>
      </w:pPr>
      <w:r>
        <w:rPr>
          <w:b/>
          <w:sz w:val="22"/>
        </w:rPr>
        <w:t>CUARENTA Y SEXTA.- Gastos de publicidad</w:t>
      </w:r>
    </w:p>
    <w:p w:rsidR="009E59D0" w:rsidRDefault="009E59D0">
      <w:pPr>
        <w:jc w:val="both"/>
        <w:rPr>
          <w:b/>
          <w:sz w:val="22"/>
        </w:rPr>
      </w:pPr>
    </w:p>
    <w:p w:rsidR="009E59D0" w:rsidRDefault="00DC241A">
      <w:pPr>
        <w:jc w:val="both"/>
        <w:rPr>
          <w:sz w:val="22"/>
        </w:rPr>
      </w:pPr>
      <w:r>
        <w:rPr>
          <w:sz w:val="22"/>
        </w:rPr>
        <w:t>La adjudicación de este contrato no comporta gastos de publicidad.</w:t>
      </w:r>
    </w:p>
    <w:p w:rsidR="009E59D0" w:rsidRDefault="009E59D0">
      <w:pPr>
        <w:jc w:val="both"/>
        <w:rPr>
          <w:b/>
          <w:sz w:val="22"/>
        </w:rPr>
      </w:pPr>
    </w:p>
    <w:p w:rsidR="009E59D0" w:rsidRDefault="009E59D0">
      <w:pPr>
        <w:jc w:val="both"/>
        <w:rPr>
          <w:b/>
          <w:sz w:val="22"/>
        </w:rPr>
      </w:pPr>
    </w:p>
    <w:p w:rsidR="009E59D0" w:rsidRDefault="00DC241A">
      <w:pPr>
        <w:jc w:val="both"/>
        <w:rPr>
          <w:b/>
          <w:sz w:val="22"/>
        </w:rPr>
      </w:pPr>
      <w:r>
        <w:rPr>
          <w:b/>
          <w:sz w:val="22"/>
        </w:rPr>
        <w:t>CUARENTA Y SÉPTIMA.- Prerrogativas del órgano de contratación</w:t>
      </w:r>
    </w:p>
    <w:p w:rsidR="009E59D0" w:rsidRDefault="009E59D0">
      <w:pPr>
        <w:jc w:val="both"/>
        <w:rPr>
          <w:b/>
          <w:sz w:val="22"/>
        </w:rPr>
      </w:pPr>
    </w:p>
    <w:p w:rsidR="009E59D0" w:rsidRDefault="00DC241A">
      <w:pPr>
        <w:jc w:val="both"/>
        <w:rPr>
          <w:sz w:val="22"/>
        </w:rPr>
      </w:pPr>
      <w:r>
        <w:rPr>
          <w:sz w:val="22"/>
        </w:rPr>
        <w:t>E</w:t>
      </w:r>
      <w:r>
        <w:rPr>
          <w:sz w:val="22"/>
        </w:rPr>
        <w:t>l órgano de contratación tiene la prerrogativa de interpretar este contrato, resolver las dudas que ofrezca su cumplimiento, modificarlo por razones de interés público, acordar su resolución y determinar los efectos de la misma.</w:t>
      </w:r>
    </w:p>
    <w:p w:rsidR="009E59D0" w:rsidRDefault="009E59D0">
      <w:pPr>
        <w:jc w:val="both"/>
        <w:rPr>
          <w:b/>
          <w:sz w:val="22"/>
        </w:rPr>
      </w:pPr>
    </w:p>
    <w:p w:rsidR="009E59D0" w:rsidRDefault="009E59D0">
      <w:pPr>
        <w:jc w:val="both"/>
        <w:rPr>
          <w:b/>
          <w:sz w:val="22"/>
        </w:rPr>
      </w:pPr>
    </w:p>
    <w:p w:rsidR="009E59D0" w:rsidRDefault="00DC241A">
      <w:pPr>
        <w:jc w:val="both"/>
        <w:rPr>
          <w:b/>
          <w:sz w:val="22"/>
          <w:szCs w:val="22"/>
        </w:rPr>
      </w:pPr>
      <w:r>
        <w:rPr>
          <w:b/>
          <w:sz w:val="22"/>
          <w:szCs w:val="22"/>
        </w:rPr>
        <w:t xml:space="preserve">CUARENTA Y OCTAVA.- </w:t>
      </w:r>
      <w:r>
        <w:rPr>
          <w:b/>
          <w:sz w:val="22"/>
          <w:szCs w:val="22"/>
        </w:rPr>
        <w:t>Jurisdicción</w:t>
      </w:r>
    </w:p>
    <w:p w:rsidR="009E59D0" w:rsidRDefault="009E59D0">
      <w:pPr>
        <w:jc w:val="both"/>
        <w:rPr>
          <w:b/>
          <w:sz w:val="22"/>
          <w:szCs w:val="22"/>
        </w:rPr>
      </w:pPr>
    </w:p>
    <w:p w:rsidR="009E59D0" w:rsidRDefault="00DC241A">
      <w:pPr>
        <w:jc w:val="both"/>
        <w:rPr>
          <w:sz w:val="22"/>
          <w:szCs w:val="22"/>
        </w:rPr>
      </w:pPr>
      <w:r>
        <w:rPr>
          <w:sz w:val="22"/>
          <w:szCs w:val="22"/>
        </w:rPr>
        <w:t>De acuerdo con lo que establece el artículo 27 de la LCSP serán competencia del orden jurisdiccional contencioso administrativo las cuestiones que afecten a la preparación y adjudicación del contrato.</w:t>
      </w:r>
    </w:p>
    <w:p w:rsidR="009E59D0" w:rsidRDefault="009E59D0">
      <w:pPr>
        <w:jc w:val="both"/>
        <w:rPr>
          <w:sz w:val="22"/>
          <w:szCs w:val="22"/>
        </w:rPr>
      </w:pPr>
    </w:p>
    <w:p w:rsidR="009E59D0" w:rsidRDefault="00DC241A">
      <w:pPr>
        <w:jc w:val="both"/>
        <w:rPr>
          <w:sz w:val="22"/>
          <w:szCs w:val="22"/>
        </w:rPr>
      </w:pPr>
      <w:r>
        <w:rPr>
          <w:sz w:val="22"/>
          <w:szCs w:val="22"/>
        </w:rPr>
        <w:t>Será competencia del orden jurisdicciona</w:t>
      </w:r>
      <w:r>
        <w:rPr>
          <w:sz w:val="22"/>
          <w:szCs w:val="22"/>
        </w:rPr>
        <w:t>l civil las controversias derivadas de la ejecución y extinción del contrato.</w:t>
      </w:r>
    </w:p>
    <w:p w:rsidR="009E59D0" w:rsidRDefault="009E59D0">
      <w:pPr>
        <w:jc w:val="both"/>
        <w:rPr>
          <w:sz w:val="22"/>
          <w:szCs w:val="22"/>
        </w:rPr>
      </w:pPr>
    </w:p>
    <w:p w:rsidR="009E59D0" w:rsidRDefault="009E59D0">
      <w:pPr>
        <w:jc w:val="both"/>
        <w:rPr>
          <w:sz w:val="22"/>
          <w:szCs w:val="22"/>
        </w:rPr>
      </w:pPr>
    </w:p>
    <w:p w:rsidR="009E59D0" w:rsidRDefault="00DC241A">
      <w:pPr>
        <w:jc w:val="both"/>
        <w:rPr>
          <w:b/>
          <w:sz w:val="22"/>
          <w:szCs w:val="22"/>
        </w:rPr>
      </w:pPr>
      <w:r>
        <w:rPr>
          <w:b/>
          <w:sz w:val="22"/>
          <w:szCs w:val="22"/>
        </w:rPr>
        <w:t>CUARENTA Y NOVENA.- Obligación de cumplimiento de los principios éticos y reglas de conducta.</w:t>
      </w:r>
    </w:p>
    <w:p w:rsidR="009E59D0" w:rsidRDefault="009E59D0">
      <w:pPr>
        <w:ind w:left="360"/>
        <w:rPr>
          <w:rFonts w:ascii="CIDFont+F3;Cambria" w:hAnsi="CIDFont+F3;Cambria" w:cs="CIDFont+F3;Cambria"/>
          <w:color w:val="000000"/>
          <w:sz w:val="21"/>
        </w:rPr>
      </w:pPr>
    </w:p>
    <w:p w:rsidR="009E59D0" w:rsidRDefault="00DC241A">
      <w:pPr>
        <w:jc w:val="both"/>
        <w:rPr>
          <w:sz w:val="22"/>
          <w:szCs w:val="22"/>
        </w:rPr>
      </w:pPr>
      <w:r>
        <w:rPr>
          <w:sz w:val="22"/>
          <w:szCs w:val="22"/>
        </w:rPr>
        <w:t>La adjudicataria se obliga de conformidad con lo previsto en la Ley 19/2014, de 2</w:t>
      </w:r>
      <w:r>
        <w:rPr>
          <w:sz w:val="22"/>
          <w:szCs w:val="22"/>
        </w:rPr>
        <w:t>9 de diciembre, de transparencia, acceso a la información pública y buen gobierno, a adecuar su actividad, en el marco de su relación contractual con Eco-equip, SAM, a los principios éticos ya las reglas de conducta que permitan asegurar el cumplimiento de</w:t>
      </w:r>
      <w:r>
        <w:rPr>
          <w:sz w:val="22"/>
          <w:szCs w:val="22"/>
        </w:rPr>
        <w:t xml:space="preserve"> los principios se obliga a:</w:t>
      </w:r>
    </w:p>
    <w:p w:rsidR="009E59D0" w:rsidRDefault="00DC241A">
      <w:pPr>
        <w:ind w:left="360"/>
        <w:jc w:val="both"/>
        <w:rPr>
          <w:rFonts w:eastAsia="Arial"/>
          <w:sz w:val="22"/>
          <w:szCs w:val="22"/>
        </w:rPr>
      </w:pPr>
      <w:r>
        <w:rPr>
          <w:rFonts w:eastAsia="Arial"/>
          <w:sz w:val="22"/>
          <w:szCs w:val="22"/>
        </w:rPr>
        <w:t xml:space="preserve"> </w:t>
      </w:r>
    </w:p>
    <w:p w:rsidR="009E59D0" w:rsidRDefault="00DC241A">
      <w:pPr>
        <w:ind w:left="360"/>
        <w:jc w:val="both"/>
      </w:pPr>
      <w:r>
        <w:rPr>
          <w:sz w:val="22"/>
          <w:szCs w:val="22"/>
        </w:rPr>
        <w:t>• Facilitar a Eco-equip, SAM la información establecida por la Ley 19/2014, de 29 de diciembre, de transparencia, acceso a la información pública y buen gobierno y cualesquiera otras que le sean requeridas de acuerdo con la n</w:t>
      </w:r>
      <w:r>
        <w:rPr>
          <w:sz w:val="22"/>
          <w:szCs w:val="22"/>
        </w:rPr>
        <w:t>ormativa vigente.</w:t>
      </w:r>
    </w:p>
    <w:p w:rsidR="009E59D0" w:rsidRDefault="009E59D0">
      <w:pPr>
        <w:ind w:left="360"/>
        <w:jc w:val="both"/>
        <w:rPr>
          <w:sz w:val="22"/>
          <w:szCs w:val="22"/>
        </w:rPr>
      </w:pPr>
    </w:p>
    <w:p w:rsidR="009E59D0" w:rsidRDefault="00DC241A">
      <w:pPr>
        <w:ind w:left="360"/>
        <w:jc w:val="both"/>
      </w:pPr>
      <w:r>
        <w:rPr>
          <w:sz w:val="22"/>
          <w:szCs w:val="22"/>
        </w:rPr>
        <w:t>• Comunicar a Eco-equip, SAM las posibles situaciones de conflicto de intereses o de otras análogas de las que tenga conocimiento que afecten, directa o indirectamente, a la presente contratación y puedan poner en riesgo el interés públi</w:t>
      </w:r>
      <w:r>
        <w:rPr>
          <w:sz w:val="22"/>
          <w:szCs w:val="22"/>
        </w:rPr>
        <w:t>co.</w:t>
      </w:r>
    </w:p>
    <w:p w:rsidR="009E59D0" w:rsidRDefault="009E59D0">
      <w:pPr>
        <w:ind w:left="360"/>
        <w:jc w:val="both"/>
        <w:rPr>
          <w:sz w:val="22"/>
          <w:szCs w:val="22"/>
        </w:rPr>
      </w:pPr>
    </w:p>
    <w:p w:rsidR="009E59D0" w:rsidRDefault="00DC241A">
      <w:pPr>
        <w:ind w:left="360"/>
        <w:jc w:val="both"/>
      </w:pPr>
      <w:r>
        <w:rPr>
          <w:sz w:val="22"/>
          <w:szCs w:val="22"/>
        </w:rPr>
        <w:t>• No celebrar ningún acuerdo con otros operadores económicos que, en el marco de la presente contratación, no respeten los principios de libre mercado y de concurrencia competitiva, absteniéndose de realizar ninguna práctica colusoria.</w:t>
      </w:r>
    </w:p>
    <w:p w:rsidR="009E59D0" w:rsidRDefault="009E59D0">
      <w:pPr>
        <w:ind w:left="360"/>
        <w:jc w:val="both"/>
        <w:rPr>
          <w:sz w:val="22"/>
          <w:szCs w:val="22"/>
        </w:rPr>
      </w:pPr>
    </w:p>
    <w:p w:rsidR="009E59D0" w:rsidRDefault="00DC241A">
      <w:pPr>
        <w:ind w:left="360"/>
        <w:jc w:val="both"/>
        <w:rPr>
          <w:sz w:val="22"/>
          <w:szCs w:val="22"/>
        </w:rPr>
      </w:pPr>
      <w:r>
        <w:rPr>
          <w:sz w:val="22"/>
          <w:szCs w:val="22"/>
        </w:rPr>
        <w:t xml:space="preserve">Abstenerse de </w:t>
      </w:r>
      <w:r>
        <w:rPr>
          <w:sz w:val="22"/>
          <w:szCs w:val="22"/>
        </w:rPr>
        <w:t>realizar, fomentar, proponer o promover cualquier tipo de práctica corrupta que afecte o pueda afectar a la relación contractual en los términos previstos en el Código Penal vigente en cada momento.</w:t>
      </w:r>
    </w:p>
    <w:p w:rsidR="009E59D0" w:rsidRDefault="009E59D0">
      <w:pPr>
        <w:ind w:left="360"/>
        <w:jc w:val="both"/>
        <w:rPr>
          <w:sz w:val="22"/>
          <w:szCs w:val="22"/>
        </w:rPr>
      </w:pPr>
    </w:p>
    <w:p w:rsidR="009E59D0" w:rsidRDefault="009E59D0">
      <w:pPr>
        <w:ind w:left="360"/>
        <w:jc w:val="both"/>
        <w:rPr>
          <w:sz w:val="22"/>
          <w:szCs w:val="22"/>
        </w:rPr>
      </w:pPr>
    </w:p>
    <w:p w:rsidR="009E59D0" w:rsidRDefault="00DC241A">
      <w:pPr>
        <w:ind w:left="20"/>
        <w:jc w:val="both"/>
        <w:rPr>
          <w:b/>
          <w:sz w:val="22"/>
          <w:szCs w:val="22"/>
        </w:rPr>
      </w:pPr>
      <w:r>
        <w:rPr>
          <w:b/>
          <w:sz w:val="22"/>
          <w:szCs w:val="22"/>
        </w:rPr>
        <w:t>CINCUENTA Y Obligaciones y responsabilidad de orden soc</w:t>
      </w:r>
      <w:r>
        <w:rPr>
          <w:b/>
          <w:sz w:val="22"/>
          <w:szCs w:val="22"/>
        </w:rPr>
        <w:t>ial</w:t>
      </w:r>
    </w:p>
    <w:p w:rsidR="009E59D0" w:rsidRDefault="009E59D0">
      <w:pPr>
        <w:ind w:left="20"/>
        <w:jc w:val="both"/>
        <w:rPr>
          <w:sz w:val="22"/>
          <w:szCs w:val="22"/>
        </w:rPr>
      </w:pPr>
    </w:p>
    <w:p w:rsidR="009E59D0" w:rsidRDefault="00DC241A">
      <w:pPr>
        <w:ind w:left="20"/>
        <w:jc w:val="both"/>
        <w:rPr>
          <w:sz w:val="22"/>
          <w:szCs w:val="22"/>
        </w:rPr>
      </w:pPr>
      <w:r>
        <w:rPr>
          <w:sz w:val="22"/>
          <w:szCs w:val="22"/>
        </w:rPr>
        <w:t>La adjudicataria está obligado al cumplimiento de las disposiciones vigentes en materia laboral, de seguridad social, de seguridad y salud en el trabajo y de integración social de los discapacitados ya la aplicación de criterios de sostenibilidad y pr</w:t>
      </w:r>
      <w:r>
        <w:rPr>
          <w:sz w:val="22"/>
          <w:szCs w:val="22"/>
        </w:rPr>
        <w:t>otección ambiental, y, en general, responderá de las obligaciones que le vengan impuestas por su carácter de empresario, así como del desempeño existente entre todas las normas aquél y sus trabajadores.</w:t>
      </w:r>
    </w:p>
    <w:p w:rsidR="009E59D0" w:rsidRDefault="00DC241A">
      <w:pPr>
        <w:ind w:left="20"/>
        <w:rPr>
          <w:b/>
          <w:sz w:val="22"/>
          <w:szCs w:val="22"/>
        </w:rPr>
      </w:pPr>
      <w:r>
        <w:rPr>
          <w:b/>
          <w:sz w:val="22"/>
          <w:szCs w:val="22"/>
        </w:rPr>
        <w:t>CINCUENTA Y UNENA.- Obligaciones en materia de iguald</w:t>
      </w:r>
      <w:r>
        <w:rPr>
          <w:b/>
          <w:sz w:val="22"/>
          <w:szCs w:val="22"/>
        </w:rPr>
        <w:t>ad de género</w:t>
      </w:r>
    </w:p>
    <w:p w:rsidR="009E59D0" w:rsidRDefault="009E59D0">
      <w:pPr>
        <w:ind w:left="20"/>
        <w:rPr>
          <w:sz w:val="22"/>
        </w:rPr>
      </w:pPr>
    </w:p>
    <w:p w:rsidR="009E59D0" w:rsidRDefault="00DC241A">
      <w:pPr>
        <w:ind w:left="20"/>
        <w:jc w:val="both"/>
        <w:rPr>
          <w:sz w:val="22"/>
          <w:szCs w:val="22"/>
        </w:rPr>
      </w:pPr>
      <w:r>
        <w:rPr>
          <w:sz w:val="22"/>
          <w:szCs w:val="22"/>
        </w:rPr>
        <w:t xml:space="preserve">La empresa adjudicataria cumplirá con las obligaciones establecidas en materia de igualdad de género en la Ley Orgánica 3/2007, de 22 de marzo, por la igualdad efectiva de hombres y mujeres, y la Ley 17/2015, de 21 de julio de igualdad </w:t>
      </w:r>
      <w:r>
        <w:rPr>
          <w:sz w:val="22"/>
          <w:szCs w:val="22"/>
        </w:rPr>
        <w:t>efectiva de mujeres y hombres y el Real Decreto 902/2020, de 2</w:t>
      </w:r>
    </w:p>
    <w:p w:rsidR="009E59D0" w:rsidRDefault="009E59D0">
      <w:pPr>
        <w:ind w:left="20"/>
        <w:jc w:val="both"/>
        <w:rPr>
          <w:sz w:val="22"/>
        </w:rPr>
      </w:pPr>
    </w:p>
    <w:p w:rsidR="009E59D0" w:rsidRDefault="00DC241A">
      <w:pPr>
        <w:ind w:left="20"/>
        <w:jc w:val="both"/>
        <w:rPr>
          <w:sz w:val="22"/>
          <w:szCs w:val="22"/>
        </w:rPr>
      </w:pPr>
      <w:r>
        <w:rPr>
          <w:sz w:val="22"/>
          <w:szCs w:val="22"/>
        </w:rPr>
        <w:t>Las empresas de más de doscientos cincuenta trabajadores/ras tendrán que disponer de un plan de igualdad de género interno, que podrá ser requerido por Eco-equip, SAM.</w:t>
      </w:r>
    </w:p>
    <w:p w:rsidR="009E59D0" w:rsidRDefault="009E59D0">
      <w:pPr>
        <w:ind w:left="360"/>
        <w:rPr>
          <w:rFonts w:ascii="CIDFont+F4;Cambria" w:hAnsi="CIDFont+F4;Cambria" w:cs="CIDFont+F4;Cambria"/>
          <w:color w:val="000000"/>
          <w:sz w:val="21"/>
        </w:rPr>
      </w:pPr>
    </w:p>
    <w:p w:rsidR="009E59D0" w:rsidRDefault="009E59D0">
      <w:pPr>
        <w:ind w:left="360"/>
        <w:rPr>
          <w:rFonts w:ascii="CIDFont+F4;Cambria" w:hAnsi="CIDFont+F4;Cambria" w:cs="CIDFont+F4;Cambria"/>
          <w:color w:val="000000"/>
          <w:sz w:val="21"/>
        </w:rPr>
      </w:pPr>
    </w:p>
    <w:p w:rsidR="009E59D0" w:rsidRDefault="00DC241A">
      <w:pPr>
        <w:ind w:left="20"/>
        <w:rPr>
          <w:b/>
          <w:sz w:val="22"/>
          <w:szCs w:val="22"/>
        </w:rPr>
      </w:pPr>
      <w:r>
        <w:rPr>
          <w:b/>
          <w:sz w:val="22"/>
          <w:szCs w:val="22"/>
        </w:rPr>
        <w:t xml:space="preserve">CINCUENTA Y DOSENA.- </w:t>
      </w:r>
      <w:r>
        <w:rPr>
          <w:b/>
          <w:sz w:val="22"/>
          <w:szCs w:val="22"/>
        </w:rPr>
        <w:t>Mecanismos de lucha contra el fraude fiscal y la evasión de impuestos</w:t>
      </w:r>
    </w:p>
    <w:p w:rsidR="009E59D0" w:rsidRDefault="009E59D0">
      <w:pPr>
        <w:ind w:left="20"/>
        <w:rPr>
          <w:sz w:val="22"/>
        </w:rPr>
      </w:pPr>
    </w:p>
    <w:p w:rsidR="009E59D0" w:rsidRDefault="00DC241A">
      <w:pPr>
        <w:ind w:left="20"/>
        <w:jc w:val="both"/>
        <w:rPr>
          <w:sz w:val="22"/>
          <w:szCs w:val="22"/>
        </w:rPr>
      </w:pPr>
      <w:r>
        <w:rPr>
          <w:sz w:val="22"/>
          <w:szCs w:val="22"/>
        </w:rPr>
        <w:t>De conformidad con el acuerdo de Pleno Municipal de 30 de junio de 2016, los licitadores, contratistas o subcontratistas o empresas filiales o empresas interpuestas no podrán realizar o</w:t>
      </w:r>
      <w:r>
        <w:rPr>
          <w:sz w:val="22"/>
          <w:szCs w:val="22"/>
        </w:rPr>
        <w:t>peraciones financieras en paraísos fiscales, según la lista de países elaborada por las instituciones europeas o avaladas por éstas o, en su defecto, el Estado español o fuera de ellos, y que sean consideradas como blanqueo de capitales, fraude fiscal o co</w:t>
      </w:r>
      <w:r>
        <w:rPr>
          <w:sz w:val="22"/>
          <w:szCs w:val="22"/>
        </w:rPr>
        <w:t>ntra la Hacienda Pública.</w:t>
      </w:r>
    </w:p>
    <w:p w:rsidR="009E59D0" w:rsidRDefault="009E59D0">
      <w:pPr>
        <w:ind w:left="20"/>
        <w:jc w:val="both"/>
        <w:rPr>
          <w:sz w:val="22"/>
        </w:rPr>
      </w:pPr>
    </w:p>
    <w:p w:rsidR="009E59D0" w:rsidRDefault="00DC241A">
      <w:pPr>
        <w:ind w:left="20"/>
        <w:jc w:val="both"/>
        <w:rPr>
          <w:sz w:val="22"/>
          <w:szCs w:val="22"/>
        </w:rPr>
      </w:pPr>
      <w:r>
        <w:rPr>
          <w:sz w:val="22"/>
          <w:szCs w:val="22"/>
        </w:rPr>
        <w:t>La empresa licitadora que haya manifestado que tiene relaciones legales con paraísos fiscales deberá presentar la documentación descriptiva de los movimientos financieros concretos y toda la información relativa a estas actuacion</w:t>
      </w:r>
      <w:r>
        <w:rPr>
          <w:sz w:val="22"/>
          <w:szCs w:val="22"/>
        </w:rPr>
        <w:t>es. Se dará publicidad en el Perfil de contratante municipal del que la empresa ha declarado tener relaciones con paraísos fiscales.</w:t>
      </w:r>
    </w:p>
    <w:p w:rsidR="009E59D0" w:rsidRDefault="009E59D0">
      <w:pPr>
        <w:ind w:left="20"/>
        <w:jc w:val="both"/>
        <w:rPr>
          <w:sz w:val="22"/>
        </w:rPr>
      </w:pPr>
    </w:p>
    <w:p w:rsidR="009E59D0" w:rsidRDefault="00DC241A">
      <w:pPr>
        <w:ind w:left="20"/>
        <w:jc w:val="both"/>
        <w:rPr>
          <w:sz w:val="22"/>
          <w:szCs w:val="22"/>
        </w:rPr>
      </w:pPr>
      <w:r>
        <w:rPr>
          <w:sz w:val="22"/>
          <w:szCs w:val="22"/>
        </w:rPr>
        <w:t>En el supuesto de que, formalizado un contrato público se verifique la falsedad de la declaración de la empresa contratist</w:t>
      </w:r>
      <w:r>
        <w:rPr>
          <w:sz w:val="22"/>
          <w:szCs w:val="22"/>
        </w:rPr>
        <w:t>a o subcontratista de no tener ninguna relación financiera o económica en un paraíso fiscal, se considerará falta grave con imposición de penalidades y, en su caso, la resolución del contrato de acuerdo con la previsión del artículo 211.f de la Ley 9/2017,</w:t>
      </w:r>
      <w:r>
        <w:rPr>
          <w:sz w:val="22"/>
          <w:szCs w:val="22"/>
        </w:rPr>
        <w:t xml:space="preserve"> de la Ley 9/2017 se incoará expediente de prohibición de contratar según la previsión del artículo 71.2.c LCSP por incumplimiento de cláusulas esenciales del contrato.</w:t>
      </w:r>
    </w:p>
    <w:p w:rsidR="009E59D0" w:rsidRDefault="009E59D0">
      <w:pPr>
        <w:ind w:left="360"/>
        <w:jc w:val="both"/>
        <w:rPr>
          <w:sz w:val="22"/>
          <w:szCs w:val="22"/>
        </w:rPr>
      </w:pPr>
    </w:p>
    <w:p w:rsidR="009E59D0" w:rsidRDefault="009E59D0">
      <w:pPr>
        <w:ind w:left="360"/>
        <w:jc w:val="both"/>
        <w:rPr>
          <w:sz w:val="22"/>
          <w:szCs w:val="22"/>
        </w:rPr>
      </w:pPr>
    </w:p>
    <w:p w:rsidR="009E59D0" w:rsidRDefault="00DC241A">
      <w:pPr>
        <w:ind w:left="20"/>
        <w:jc w:val="both"/>
        <w:rPr>
          <w:b/>
          <w:sz w:val="22"/>
          <w:szCs w:val="22"/>
        </w:rPr>
      </w:pPr>
      <w:r>
        <w:rPr>
          <w:b/>
          <w:sz w:val="22"/>
          <w:szCs w:val="22"/>
        </w:rPr>
        <w:t>CINCUENTA Y TERCERA.- Mecanismos de lucha contra la vulneración del Derecho Internaci</w:t>
      </w:r>
      <w:r>
        <w:rPr>
          <w:b/>
          <w:sz w:val="22"/>
          <w:szCs w:val="22"/>
        </w:rPr>
        <w:t>onal de los Derechos Humanos y del Derecho Internacional Humanitario</w:t>
      </w:r>
    </w:p>
    <w:p w:rsidR="009E59D0" w:rsidRDefault="009E59D0">
      <w:pPr>
        <w:ind w:left="20"/>
        <w:jc w:val="both"/>
        <w:rPr>
          <w:sz w:val="22"/>
        </w:rPr>
      </w:pPr>
    </w:p>
    <w:p w:rsidR="009E59D0" w:rsidRDefault="00DC241A">
      <w:pPr>
        <w:ind w:left="20"/>
        <w:jc w:val="both"/>
        <w:rPr>
          <w:sz w:val="22"/>
          <w:szCs w:val="22"/>
        </w:rPr>
      </w:pPr>
      <w:r>
        <w:rPr>
          <w:sz w:val="22"/>
          <w:szCs w:val="22"/>
        </w:rPr>
        <w:t>De conformidad con el acuerdo del Pleno Municipal de fecha 29 de septiembre de 2016, los licitadores, contratistas o subcontratistas o empresas filiales o empresas interpuestas deben res</w:t>
      </w:r>
      <w:r>
        <w:rPr>
          <w:sz w:val="22"/>
          <w:szCs w:val="22"/>
        </w:rPr>
        <w:t>petar los derechos humanos en cualquier lugar donde desarrollen sus actividades y que por tanto no realicen operaciones financieras, inversiones, compras, contrataciones, así como otras actividades económicas que comporten la vulneración de los Derechos Hu</w:t>
      </w:r>
      <w:r>
        <w:rPr>
          <w:sz w:val="22"/>
          <w:szCs w:val="22"/>
        </w:rPr>
        <w:t>manos.</w:t>
      </w:r>
    </w:p>
    <w:p w:rsidR="009E59D0" w:rsidRDefault="009E59D0">
      <w:pPr>
        <w:ind w:left="20"/>
        <w:jc w:val="both"/>
        <w:rPr>
          <w:sz w:val="22"/>
        </w:rPr>
      </w:pPr>
    </w:p>
    <w:p w:rsidR="009E59D0" w:rsidRDefault="00DC241A">
      <w:pPr>
        <w:ind w:left="20"/>
        <w:jc w:val="both"/>
        <w:rPr>
          <w:sz w:val="22"/>
          <w:szCs w:val="22"/>
        </w:rPr>
      </w:pPr>
      <w:r>
        <w:rPr>
          <w:sz w:val="22"/>
          <w:szCs w:val="22"/>
        </w:rPr>
        <w:t>Asimismo, las licitadoras, contratistas o subcontratistas o empresas filiales o empresas interpuestas y cadenas de proveedores no pueden pertenecer ni realizar operaciones financieras, inversiones, compras, contrataciones, así como otras actividade</w:t>
      </w:r>
      <w:r>
        <w:rPr>
          <w:sz w:val="22"/>
          <w:szCs w:val="22"/>
        </w:rPr>
        <w:t>s económicas que vayan en contra del Derecho Internacional de Derechos Humanos y/o Derecho Internacional Humanitario en colonias construidas en territorios considerados ocupados de.</w:t>
      </w:r>
    </w:p>
    <w:p w:rsidR="009E59D0" w:rsidRDefault="009E59D0">
      <w:pPr>
        <w:ind w:left="20"/>
        <w:jc w:val="both"/>
        <w:rPr>
          <w:sz w:val="22"/>
        </w:rPr>
      </w:pPr>
    </w:p>
    <w:p w:rsidR="009E59D0" w:rsidRDefault="00DC241A">
      <w:pPr>
        <w:ind w:left="20"/>
        <w:jc w:val="both"/>
        <w:rPr>
          <w:sz w:val="22"/>
          <w:szCs w:val="22"/>
        </w:rPr>
      </w:pPr>
      <w:r>
        <w:rPr>
          <w:sz w:val="22"/>
          <w:szCs w:val="22"/>
        </w:rPr>
        <w:lastRenderedPageBreak/>
        <w:t>La empresa que manifieste tener actividades económicas en países en confl</w:t>
      </w:r>
      <w:r>
        <w:rPr>
          <w:sz w:val="22"/>
          <w:szCs w:val="22"/>
        </w:rPr>
        <w:t>ictos armados, en estados que ocupen territorios de forma ilegal y/o en estado con claras deficiencias en la obligación de protección de los derechos humanos, deberá presentar, en el sobre A (documentación administrativa), la siguiente documentación.</w:t>
      </w:r>
    </w:p>
    <w:p w:rsidR="009E59D0" w:rsidRDefault="009E59D0">
      <w:pPr>
        <w:ind w:left="20"/>
        <w:jc w:val="both"/>
        <w:rPr>
          <w:sz w:val="22"/>
        </w:rPr>
      </w:pPr>
    </w:p>
    <w:p w:rsidR="009E59D0" w:rsidRDefault="00DC241A">
      <w:pPr>
        <w:ind w:left="20"/>
        <w:jc w:val="both"/>
        <w:rPr>
          <w:sz w:val="22"/>
          <w:szCs w:val="22"/>
        </w:rPr>
      </w:pPr>
      <w:r>
        <w:rPr>
          <w:sz w:val="22"/>
          <w:szCs w:val="22"/>
        </w:rPr>
        <w:t xml:space="preserve">Los </w:t>
      </w:r>
      <w:r>
        <w:rPr>
          <w:sz w:val="22"/>
          <w:szCs w:val="22"/>
        </w:rPr>
        <w:t>movimientos financieros concretos y toda la información relativa a su actividad económica.</w:t>
      </w:r>
    </w:p>
    <w:p w:rsidR="009E59D0" w:rsidRDefault="009E59D0">
      <w:pPr>
        <w:ind w:left="20"/>
        <w:jc w:val="both"/>
        <w:rPr>
          <w:sz w:val="22"/>
        </w:rPr>
      </w:pPr>
    </w:p>
    <w:p w:rsidR="009E59D0" w:rsidRDefault="00DC241A">
      <w:pPr>
        <w:ind w:left="20"/>
        <w:jc w:val="both"/>
        <w:rPr>
          <w:sz w:val="22"/>
          <w:szCs w:val="22"/>
        </w:rPr>
      </w:pPr>
      <w:r>
        <w:rPr>
          <w:sz w:val="22"/>
          <w:szCs w:val="22"/>
        </w:rPr>
        <w:t>Una declaración aprobada y firmada por el mayor nivel directivo que ni las actividades económicas propias ni las derivadas comporten la vulneración del Derecho Inte</w:t>
      </w:r>
      <w:r>
        <w:rPr>
          <w:sz w:val="22"/>
          <w:szCs w:val="22"/>
        </w:rPr>
        <w:t>rnacional de los Derechos Humanos y del Derecho Internacional Humanitario.</w:t>
      </w:r>
    </w:p>
    <w:p w:rsidR="009E59D0" w:rsidRDefault="009E59D0">
      <w:pPr>
        <w:ind w:left="20"/>
        <w:jc w:val="both"/>
        <w:rPr>
          <w:sz w:val="22"/>
        </w:rPr>
      </w:pPr>
    </w:p>
    <w:p w:rsidR="009E59D0" w:rsidRDefault="00DC241A">
      <w:pPr>
        <w:ind w:left="20"/>
        <w:jc w:val="both"/>
        <w:rPr>
          <w:sz w:val="22"/>
          <w:szCs w:val="22"/>
        </w:rPr>
      </w:pPr>
      <w:r>
        <w:rPr>
          <w:sz w:val="22"/>
          <w:szCs w:val="22"/>
        </w:rPr>
        <w:t xml:space="preserve">Un informe documentado de las acciones que realizan para revertir posibles vulneraciones de los Derechos Humanos derivadas de su actividad y para promover la paz, la protección de </w:t>
      </w:r>
      <w:r>
        <w:rPr>
          <w:sz w:val="22"/>
          <w:szCs w:val="22"/>
        </w:rPr>
        <w:t>los derechos humanos y el desarrollo humano.</w:t>
      </w:r>
    </w:p>
    <w:p w:rsidR="009E59D0" w:rsidRDefault="009E59D0">
      <w:pPr>
        <w:ind w:left="360"/>
        <w:jc w:val="both"/>
        <w:rPr>
          <w:rFonts w:ascii="CIDFont+F4;Cambria" w:hAnsi="CIDFont+F4;Cambria" w:cs="CIDFont+F4;Cambria"/>
          <w:b/>
          <w:color w:val="000000"/>
          <w:sz w:val="21"/>
          <w:szCs w:val="22"/>
        </w:rPr>
      </w:pPr>
    </w:p>
    <w:p w:rsidR="009E59D0" w:rsidRDefault="009E59D0">
      <w:pPr>
        <w:ind w:left="360"/>
        <w:jc w:val="both"/>
        <w:rPr>
          <w:rFonts w:ascii="CIDFont+F4;Cambria" w:hAnsi="CIDFont+F4;Cambria" w:cs="CIDFont+F4;Cambria"/>
          <w:b/>
          <w:color w:val="000000"/>
          <w:sz w:val="21"/>
          <w:szCs w:val="22"/>
        </w:rPr>
      </w:pPr>
    </w:p>
    <w:p w:rsidR="009E59D0" w:rsidRDefault="00DC241A">
      <w:pPr>
        <w:ind w:left="20"/>
        <w:jc w:val="both"/>
      </w:pPr>
      <w:r>
        <w:rPr>
          <w:rStyle w:val="Lletraperdefectedelpargraf2"/>
          <w:b/>
          <w:sz w:val="22"/>
          <w:szCs w:val="22"/>
        </w:rPr>
        <w:t>CINCUENTA Y CUADRENA.- Recursos contra actas del órgano de contratación</w:t>
      </w:r>
    </w:p>
    <w:p w:rsidR="009E59D0" w:rsidRDefault="009E59D0">
      <w:pPr>
        <w:ind w:left="20"/>
        <w:jc w:val="both"/>
      </w:pPr>
    </w:p>
    <w:p w:rsidR="009E59D0" w:rsidRDefault="00DC241A">
      <w:pPr>
        <w:ind w:left="20"/>
        <w:jc w:val="both"/>
        <w:rPr>
          <w:sz w:val="22"/>
          <w:szCs w:val="22"/>
        </w:rPr>
      </w:pPr>
      <w:r>
        <w:rPr>
          <w:sz w:val="22"/>
          <w:szCs w:val="22"/>
        </w:rPr>
        <w:t>Los anuncios de licitación, pliegos y documentos contractuales que establezcan las condiciones que deban regir la contratación; los acto</w:t>
      </w:r>
      <w:r>
        <w:rPr>
          <w:sz w:val="22"/>
          <w:szCs w:val="22"/>
        </w:rPr>
        <w:t>s de trámite adoptados en el procedimiento de adjudicación, siempre que éstos decidan directa o indirectamente sobre la adjudicación, determinen la imposibilidad de continuar el procedimiento o produzcan una indefensión o perjuicio irreparable a derechos o</w:t>
      </w:r>
      <w:r>
        <w:rPr>
          <w:sz w:val="22"/>
          <w:szCs w:val="22"/>
        </w:rPr>
        <w:t xml:space="preserve"> intereses legítimos; los acuerdos de adjudicación, y las modificaciones basadas en el incumplimiento de lo establecido en los artículos 204 y 205 de esta ley, por entenderse que la modificación debía ser objeto de nueva adjudicación, serán susceptibles de</w:t>
      </w:r>
      <w:r>
        <w:rPr>
          <w:sz w:val="22"/>
          <w:szCs w:val="22"/>
        </w:rPr>
        <w:t xml:space="preserve"> recurso especial en materia de contratación.</w:t>
      </w:r>
    </w:p>
    <w:p w:rsidR="009E59D0" w:rsidRDefault="009E59D0">
      <w:pPr>
        <w:ind w:left="20"/>
        <w:jc w:val="both"/>
      </w:pPr>
    </w:p>
    <w:p w:rsidR="009E59D0" w:rsidRDefault="00DC241A">
      <w:pPr>
        <w:ind w:left="20"/>
        <w:jc w:val="both"/>
        <w:rPr>
          <w:sz w:val="22"/>
          <w:szCs w:val="22"/>
        </w:rPr>
      </w:pPr>
      <w:r>
        <w:rPr>
          <w:sz w:val="22"/>
          <w:szCs w:val="22"/>
        </w:rPr>
        <w:t>La interposición del recurso especial en materia de contratación tendrá carácter potestativo y será gratuita para los recurrentes.</w:t>
      </w:r>
    </w:p>
    <w:p w:rsidR="009E59D0" w:rsidRDefault="009E59D0">
      <w:pPr>
        <w:ind w:left="20"/>
        <w:jc w:val="both"/>
      </w:pPr>
    </w:p>
    <w:p w:rsidR="009E59D0" w:rsidRDefault="009E59D0">
      <w:pPr>
        <w:ind w:left="360"/>
        <w:jc w:val="both"/>
        <w:rPr>
          <w:b/>
          <w:bCs/>
        </w:rPr>
      </w:pPr>
    </w:p>
    <w:p w:rsidR="009E59D0" w:rsidRDefault="00DC241A">
      <w:pPr>
        <w:tabs>
          <w:tab w:val="left" w:pos="0"/>
        </w:tabs>
        <w:ind w:left="20"/>
        <w:jc w:val="both"/>
        <w:rPr>
          <w:b/>
          <w:bCs/>
          <w:sz w:val="22"/>
          <w:szCs w:val="22"/>
        </w:rPr>
      </w:pPr>
      <w:r>
        <w:rPr>
          <w:b/>
          <w:bCs/>
          <w:sz w:val="22"/>
          <w:szCs w:val="22"/>
        </w:rPr>
        <w:t>QUINTA-QUINTA.- Sindicatura Municipal de Greuges</w:t>
      </w:r>
    </w:p>
    <w:p w:rsidR="009E59D0" w:rsidRDefault="009E59D0">
      <w:pPr>
        <w:tabs>
          <w:tab w:val="left" w:pos="0"/>
        </w:tabs>
        <w:ind w:left="20"/>
        <w:jc w:val="both"/>
      </w:pPr>
    </w:p>
    <w:p w:rsidR="009E59D0" w:rsidRDefault="00DC241A">
      <w:pPr>
        <w:tabs>
          <w:tab w:val="left" w:pos="0"/>
        </w:tabs>
        <w:ind w:left="20"/>
        <w:jc w:val="both"/>
        <w:rPr>
          <w:sz w:val="22"/>
          <w:szCs w:val="22"/>
        </w:rPr>
      </w:pPr>
      <w:r>
        <w:rPr>
          <w:sz w:val="22"/>
          <w:szCs w:val="22"/>
        </w:rPr>
        <w:t xml:space="preserve">En cumplimiento de lo que </w:t>
      </w:r>
      <w:r>
        <w:rPr>
          <w:sz w:val="22"/>
          <w:szCs w:val="22"/>
        </w:rPr>
        <w:t>prevé la disposición adicional segunda del Reglamento de la Sindicatura Municipal de Agravios de Terrassa, en caso de presentarse quejas ante este órgano como consecuencia de la ejecución del contrato objeto de la presente licitación, el adjudicatario tend</w:t>
      </w:r>
      <w:r>
        <w:rPr>
          <w:sz w:val="22"/>
          <w:szCs w:val="22"/>
        </w:rPr>
        <w:t>rá la obligación de facilitar, con carácter preferente y urgente, la colaboración y el auxilio necesario para el correcto desarrollo de las funciones que la Sindicatura tiene sobre el hecho de elaborar como escrito sustenten la queja, en caso de que así se</w:t>
      </w:r>
      <w:r>
        <w:rPr>
          <w:sz w:val="22"/>
          <w:szCs w:val="22"/>
        </w:rPr>
        <w:t>a requerido.</w:t>
      </w:r>
    </w:p>
    <w:p w:rsidR="009E59D0" w:rsidRDefault="009E59D0">
      <w:pPr>
        <w:pStyle w:val="Textsenseformat1"/>
        <w:pBdr>
          <w:bottom w:val="single" w:sz="12" w:space="1" w:color="000000"/>
        </w:pBdr>
        <w:jc w:val="both"/>
        <w:rPr>
          <w:rFonts w:ascii="Arial" w:hAnsi="Arial" w:cs="Arial"/>
          <w:b/>
          <w:color w:val="FF0000"/>
          <w:sz w:val="22"/>
          <w:szCs w:val="22"/>
        </w:rPr>
      </w:pPr>
    </w:p>
    <w:p w:rsidR="009E59D0" w:rsidRDefault="009E59D0">
      <w:pPr>
        <w:widowControl w:val="0"/>
        <w:jc w:val="both"/>
        <w:rPr>
          <w:b/>
          <w:color w:val="FF0000"/>
          <w:sz w:val="22"/>
          <w:szCs w:val="22"/>
        </w:rPr>
      </w:pPr>
    </w:p>
    <w:p w:rsidR="009E59D0" w:rsidRDefault="00DC241A">
      <w:pPr>
        <w:widowControl w:val="0"/>
        <w:spacing w:before="97"/>
        <w:ind w:right="142"/>
        <w:jc w:val="both"/>
        <w:rPr>
          <w:sz w:val="22"/>
          <w:szCs w:val="22"/>
        </w:rPr>
      </w:pPr>
      <w:r>
        <w:rPr>
          <w:sz w:val="22"/>
          <w:szCs w:val="22"/>
        </w:rPr>
        <w:t xml:space="preserve">La gerente de Eco-equip SAM informa que los criterios de solvencia técnica o profesional, y económica y financiera, y los criterios que deben tenerse en consideración para adjudicar el contrato, así como las condiciones especiales de su </w:t>
      </w:r>
      <w:r>
        <w:rPr>
          <w:sz w:val="22"/>
          <w:szCs w:val="22"/>
        </w:rPr>
        <w:t>ejecución, según lo establecido en el artículo 116 de LCSP, se ajustan a la legislación de contratos del sector público, y, en concreto 2 LCSP, respectivamente: Los requisitos mínimos de solvencia están vinculados al objeto del contrato y son proporcionado</w:t>
      </w:r>
      <w:r>
        <w:rPr>
          <w:sz w:val="22"/>
          <w:szCs w:val="22"/>
        </w:rPr>
        <w:t>s al mismo; los criterios de adjudicación están basados en un planteamiento que tiene en cuenta la mejor relación coste-eficacia, y están vinculados al objeto del contrato; las condiciones especiales de ejecución no son directa o indirectamente discriminat</w:t>
      </w:r>
      <w:r>
        <w:rPr>
          <w:sz w:val="22"/>
          <w:szCs w:val="22"/>
        </w:rPr>
        <w:t>orias, son compatibles con el derecho comunitario, se establece al menos una de las condiciones especiales de ejecución entre las que enumera el artículo 202 de la LCSP</w:t>
      </w:r>
    </w:p>
    <w:p w:rsidR="009E59D0" w:rsidRDefault="009E59D0">
      <w:pPr>
        <w:rPr>
          <w:b/>
          <w:sz w:val="22"/>
          <w:szCs w:val="22"/>
        </w:rPr>
      </w:pPr>
    </w:p>
    <w:p w:rsidR="009E59D0" w:rsidRDefault="009E59D0">
      <w:pPr>
        <w:pStyle w:val="Textsenseformat2"/>
        <w:jc w:val="both"/>
        <w:rPr>
          <w:rFonts w:ascii="Arial" w:hAnsi="Arial" w:cs="Arial"/>
          <w:b/>
          <w:sz w:val="22"/>
          <w:szCs w:val="22"/>
        </w:rPr>
      </w:pPr>
    </w:p>
    <w:p w:rsidR="009E59D0" w:rsidRDefault="009E59D0">
      <w:pPr>
        <w:pStyle w:val="Textsenseformat2"/>
        <w:jc w:val="both"/>
        <w:rPr>
          <w:rFonts w:ascii="Arial" w:hAnsi="Arial" w:cs="Arial"/>
          <w:b/>
          <w:sz w:val="22"/>
          <w:szCs w:val="22"/>
        </w:rPr>
      </w:pPr>
    </w:p>
    <w:p w:rsidR="009E59D0" w:rsidRDefault="009E59D0">
      <w:pPr>
        <w:pStyle w:val="Textsenseformat2"/>
        <w:jc w:val="both"/>
        <w:rPr>
          <w:rFonts w:ascii="Arial" w:hAnsi="Arial" w:cs="Arial"/>
          <w:b/>
          <w:sz w:val="22"/>
          <w:szCs w:val="22"/>
        </w:rPr>
      </w:pPr>
    </w:p>
    <w:p w:rsidR="009E59D0" w:rsidRDefault="009E59D0">
      <w:pPr>
        <w:pStyle w:val="Textsenseformat2"/>
        <w:jc w:val="both"/>
        <w:rPr>
          <w:rFonts w:ascii="Arial" w:hAnsi="Arial" w:cs="Arial"/>
          <w:b/>
          <w:sz w:val="22"/>
          <w:szCs w:val="22"/>
        </w:rPr>
      </w:pPr>
    </w:p>
    <w:p w:rsidR="009E59D0" w:rsidRDefault="009E59D0">
      <w:pPr>
        <w:pStyle w:val="Textsenseformat2"/>
        <w:jc w:val="both"/>
        <w:rPr>
          <w:rFonts w:ascii="Arial" w:hAnsi="Arial" w:cs="Arial"/>
          <w:sz w:val="22"/>
        </w:rPr>
        <w:sectPr w:rsidR="009E59D0">
          <w:headerReference w:type="default" r:id="rId13"/>
          <w:footerReference w:type="default" r:id="rId14"/>
          <w:pgSz w:w="11906" w:h="16838"/>
          <w:pgMar w:top="1665" w:right="992" w:bottom="851" w:left="1701" w:header="397" w:footer="457" w:gutter="0"/>
          <w:cols w:space="720"/>
          <w:formProt w:val="0"/>
          <w:docGrid w:linePitch="360"/>
        </w:sectPr>
      </w:pPr>
    </w:p>
    <w:p w:rsidR="009E59D0" w:rsidRDefault="00DC241A">
      <w:pPr>
        <w:spacing w:line="360" w:lineRule="auto"/>
        <w:ind w:right="-426"/>
        <w:jc w:val="both"/>
      </w:pPr>
      <w:r>
        <w:rPr>
          <w:b/>
          <w:sz w:val="22"/>
          <w:szCs w:val="22"/>
        </w:rPr>
        <w:lastRenderedPageBreak/>
        <w:t>ANEXO 1 – MODELO DE PROPOSICIÓN ECONÓMICA –</w:t>
      </w:r>
      <w:r>
        <w:rPr>
          <w:b/>
          <w:color w:val="00000A"/>
          <w:sz w:val="22"/>
          <w:szCs w:val="22"/>
        </w:rPr>
        <w:t>CRITERIOS DE ADJUDICACIÓN CUANTIFICABLES MEDIANTE LA MERA APLICACIÓN DE FÓRMULAS</w:t>
      </w:r>
    </w:p>
    <w:p w:rsidR="009E59D0" w:rsidRDefault="009E59D0">
      <w:pPr>
        <w:pStyle w:val="Textosinformato"/>
        <w:spacing w:line="360" w:lineRule="auto"/>
        <w:ind w:left="-851" w:right="-426"/>
        <w:jc w:val="both"/>
        <w:rPr>
          <w:rFonts w:ascii="Arial" w:hAnsi="Arial" w:cs="Arial"/>
          <w:b/>
          <w:sz w:val="22"/>
          <w:szCs w:val="22"/>
        </w:rPr>
      </w:pPr>
    </w:p>
    <w:p w:rsidR="009E59D0" w:rsidRDefault="009E59D0">
      <w:pPr>
        <w:spacing w:line="360" w:lineRule="auto"/>
        <w:ind w:right="-426"/>
        <w:jc w:val="both"/>
        <w:rPr>
          <w:b/>
          <w:sz w:val="22"/>
          <w:szCs w:val="22"/>
        </w:rPr>
      </w:pPr>
    </w:p>
    <w:p w:rsidR="009E59D0" w:rsidRDefault="00DC241A">
      <w:pPr>
        <w:spacing w:line="360" w:lineRule="auto"/>
        <w:ind w:right="-426"/>
        <w:jc w:val="both"/>
      </w:pPr>
      <w:r>
        <w:rPr>
          <w:sz w:val="22"/>
          <w:szCs w:val="22"/>
        </w:rPr>
        <w:t>En/Na____________________________________________________________________, con Documento</w:t>
      </w:r>
      <w:r>
        <w:rPr>
          <w:sz w:val="22"/>
          <w:szCs w:val="22"/>
        </w:rPr>
        <w:t xml:space="preserve"> Nacional de Identidad núm. ______________, con domicilio a efectos de notificación a_____________________, calle ____ núm.____, en nombre propio o en representación de ___________________________________________________________ en el procedimiento abierto</w:t>
      </w:r>
      <w:r>
        <w:rPr>
          <w:sz w:val="22"/>
          <w:szCs w:val="22"/>
        </w:rPr>
        <w:t xml:space="preserve"> por</w:t>
      </w:r>
      <w:bookmarkStart w:id="9" w:name="_Hlk179306857"/>
      <w:r>
        <w:rPr>
          <w:color w:val="00000A"/>
          <w:sz w:val="22"/>
          <w:szCs w:val="22"/>
        </w:rPr>
        <w:t>a la adjudicación del contrato de suministro y</w:t>
      </w:r>
      <w:r>
        <w:rPr>
          <w:sz w:val="22"/>
          <w:szCs w:val="22"/>
        </w:rPr>
        <w:t>servicios para la adquisición y labores de montaje y reparación de neumáticos para los vehículos de la flota de ECO-EQUIP, SAM. manifiesto que acepto íntegramente el pliego de prescripciones técnicas y el p</w:t>
      </w:r>
      <w:r>
        <w:rPr>
          <w:sz w:val="22"/>
          <w:szCs w:val="22"/>
        </w:rPr>
        <w:t>liego de cláusulas administrativas particulares, y me comprometo a cumplir las obligaciones especificadas en estos pliegos de acuerdo con la siguiente oferta económica (en todos los casos excluyendo el IVA)</w:t>
      </w:r>
      <w:bookmarkEnd w:id="9"/>
    </w:p>
    <w:p w:rsidR="009E59D0" w:rsidRDefault="009E59D0">
      <w:pPr>
        <w:spacing w:line="360" w:lineRule="auto"/>
        <w:ind w:left="-851" w:right="-426"/>
        <w:jc w:val="both"/>
        <w:rPr>
          <w:sz w:val="22"/>
          <w:szCs w:val="22"/>
        </w:rPr>
      </w:pPr>
    </w:p>
    <w:p w:rsidR="009E59D0" w:rsidRDefault="009E59D0">
      <w:pPr>
        <w:spacing w:line="360" w:lineRule="auto"/>
        <w:ind w:left="-284" w:right="-426"/>
        <w:jc w:val="both"/>
        <w:rPr>
          <w:sz w:val="22"/>
          <w:szCs w:val="22"/>
        </w:rPr>
      </w:pPr>
    </w:p>
    <w:p w:rsidR="009E59D0" w:rsidRDefault="00DC241A">
      <w:pPr>
        <w:widowControl w:val="0"/>
        <w:tabs>
          <w:tab w:val="left" w:pos="567"/>
        </w:tabs>
        <w:jc w:val="both"/>
        <w:rPr>
          <w:b/>
          <w:color w:val="000000"/>
          <w:sz w:val="24"/>
          <w:szCs w:val="24"/>
        </w:rPr>
      </w:pPr>
      <w:r>
        <w:rPr>
          <w:b/>
          <w:color w:val="000000"/>
          <w:sz w:val="24"/>
          <w:szCs w:val="24"/>
        </w:rPr>
        <w:t>13.1.1.1 Precio Neumáticos</w:t>
      </w:r>
    </w:p>
    <w:p w:rsidR="009E59D0" w:rsidRDefault="009E59D0">
      <w:bookmarkStart w:id="10" w:name="_1810992280"/>
      <w:bookmarkEnd w:id="10"/>
    </w:p>
    <w:p w:rsidR="009E59D0" w:rsidRDefault="00DC241A">
      <w:pPr>
        <w:rPr>
          <w:lang w:val="es-ES" w:eastAsia="es-ES"/>
        </w:rPr>
      </w:pPr>
      <w:r>
        <w:fldChar w:fldCharType="begin"/>
      </w:r>
      <w:r>
        <w:rPr>
          <w:lang w:val="es-ES" w:eastAsia="es-ES"/>
        </w:rPr>
        <w:instrText>LINK Excel.Sheet.12</w:instrText>
      </w:r>
      <w:r>
        <w:rPr>
          <w:lang w:val="es-ES" w:eastAsia="es-ES"/>
        </w:rPr>
        <w:instrText xml:space="preserve"> "\\\\goleta\\serveis\\Ecoequip\\Contractacio\\Pneumatics\\Pneumatics 2025\\DOCUMENTS FINALS\\Calcul contracte_vf.xlsx" "model oferta serveis!F1C1:F28C6" \a \f 4 \h  \* MERGEFORMAT</w:instrText>
      </w:r>
      <w:r>
        <w:rPr>
          <w:lang w:val="es-ES" w:eastAsia="es-ES"/>
        </w:rPr>
        <w:fldChar w:fldCharType="separate"/>
      </w:r>
      <w:bookmarkStart w:id="11" w:name="_1811054353"/>
      <w:bookmarkEnd w:id="11"/>
    </w:p>
    <w:tbl>
      <w:tblPr>
        <w:tblW w:w="11141" w:type="dxa"/>
        <w:tblInd w:w="-25" w:type="dxa"/>
        <w:tblLayout w:type="fixed"/>
        <w:tblCellMar>
          <w:left w:w="70" w:type="dxa"/>
          <w:right w:w="70" w:type="dxa"/>
        </w:tblCellMar>
        <w:tblLook w:val="0000" w:firstRow="0" w:lastRow="0" w:firstColumn="0" w:lastColumn="0" w:noHBand="0" w:noVBand="0"/>
      </w:tblPr>
      <w:tblGrid>
        <w:gridCol w:w="3947"/>
        <w:gridCol w:w="1639"/>
        <w:gridCol w:w="1638"/>
        <w:gridCol w:w="1638"/>
        <w:gridCol w:w="1319"/>
        <w:gridCol w:w="960"/>
      </w:tblGrid>
      <w:tr w:rsidR="009E59D0">
        <w:trPr>
          <w:trHeight w:val="288"/>
        </w:trPr>
        <w:tc>
          <w:tcPr>
            <w:tcW w:w="10181" w:type="dxa"/>
            <w:gridSpan w:val="5"/>
            <w:tcBorders>
              <w:left w:val="single" w:sz="4" w:space="0" w:color="000000"/>
              <w:bottom w:val="single" w:sz="4" w:space="0" w:color="000000"/>
            </w:tcBorders>
            <w:shd w:val="clear" w:color="auto" w:fill="FFC000"/>
            <w:vAlign w:val="center"/>
          </w:tcPr>
          <w:p w:rsidR="009E59D0" w:rsidRDefault="00DC241A">
            <w:pPr>
              <w:suppressAutoHyphens w:val="0"/>
              <w:jc w:val="center"/>
              <w:rPr>
                <w:rFonts w:ascii="Calibri" w:hAnsi="Calibri" w:cs="Calibri"/>
                <w:b/>
                <w:bCs/>
                <w:sz w:val="22"/>
                <w:szCs w:val="22"/>
                <w:lang w:eastAsia="ca-ES"/>
              </w:rPr>
            </w:pPr>
            <w:r>
              <w:rPr>
                <w:rFonts w:ascii="Calibri" w:hAnsi="Calibri" w:cs="Calibri"/>
                <w:b/>
                <w:bCs/>
                <w:sz w:val="22"/>
                <w:szCs w:val="22"/>
                <w:lang w:eastAsia="ca-ES"/>
              </w:rPr>
              <w:t>CÁLCULO ESTIMATIVO COSTE ANUAL PRESTACIONES DE SERVICIOS</w:t>
            </w:r>
          </w:p>
        </w:tc>
        <w:tc>
          <w:tcPr>
            <w:tcW w:w="960" w:type="dxa"/>
            <w:vAlign w:val="bottom"/>
          </w:tcPr>
          <w:p w:rsidR="009E59D0" w:rsidRDefault="009E59D0">
            <w:pPr>
              <w:suppressAutoHyphens w:val="0"/>
              <w:snapToGrid w:val="0"/>
              <w:jc w:val="center"/>
              <w:rPr>
                <w:rFonts w:ascii="Calibri" w:hAnsi="Calibri" w:cs="Calibri"/>
                <w:b/>
                <w:bCs/>
                <w:sz w:val="22"/>
                <w:szCs w:val="22"/>
                <w:lang w:eastAsia="ca-ES"/>
              </w:rPr>
            </w:pPr>
          </w:p>
        </w:tc>
      </w:tr>
      <w:tr w:rsidR="009E59D0">
        <w:trPr>
          <w:trHeight w:val="768"/>
        </w:trPr>
        <w:tc>
          <w:tcPr>
            <w:tcW w:w="3947" w:type="dxa"/>
            <w:tcBorders>
              <w:left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rFonts w:ascii="Calibri" w:hAnsi="Calibri" w:cs="Calibri"/>
                <w:b/>
                <w:bCs/>
                <w:sz w:val="22"/>
                <w:szCs w:val="22"/>
                <w:lang w:eastAsia="ca-ES"/>
              </w:rPr>
            </w:pPr>
            <w:r>
              <w:rPr>
                <w:rFonts w:ascii="Calibri" w:hAnsi="Calibri" w:cs="Calibri"/>
                <w:b/>
                <w:bCs/>
                <w:sz w:val="22"/>
                <w:szCs w:val="22"/>
                <w:lang w:eastAsia="ca-ES"/>
              </w:rPr>
              <w:t xml:space="preserve">TIPO CAMIONES Y </w:t>
            </w:r>
            <w:r>
              <w:rPr>
                <w:rFonts w:ascii="Calibri" w:hAnsi="Calibri" w:cs="Calibri"/>
                <w:b/>
                <w:bCs/>
                <w:sz w:val="22"/>
                <w:szCs w:val="22"/>
                <w:lang w:eastAsia="ca-ES"/>
              </w:rPr>
              <w:t>BARREDAS</w:t>
            </w:r>
          </w:p>
        </w:tc>
        <w:tc>
          <w:tcPr>
            <w:tcW w:w="1639"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VOLUMETRÍA</w:t>
            </w:r>
          </w:p>
        </w:tc>
        <w:tc>
          <w:tcPr>
            <w:tcW w:w="1638"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MÁXIMO</w:t>
            </w:r>
          </w:p>
        </w:tc>
        <w:tc>
          <w:tcPr>
            <w:tcW w:w="1638"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OFERTA</w:t>
            </w:r>
          </w:p>
        </w:tc>
        <w:tc>
          <w:tcPr>
            <w:tcW w:w="1319"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TOTAL OFERTA</w:t>
            </w:r>
          </w:p>
        </w:tc>
        <w:tc>
          <w:tcPr>
            <w:tcW w:w="960" w:type="dxa"/>
            <w:vAlign w:val="bottom"/>
          </w:tcPr>
          <w:p w:rsidR="009E59D0" w:rsidRDefault="009E59D0">
            <w:pPr>
              <w:suppressAutoHyphens w:val="0"/>
              <w:snapToGrid w:val="0"/>
              <w:jc w:val="center"/>
              <w:rPr>
                <w:b/>
                <w:bCs/>
                <w:lang w:eastAsia="ca-ES"/>
              </w:rPr>
            </w:pPr>
          </w:p>
        </w:tc>
      </w:tr>
      <w:tr w:rsidR="009E59D0">
        <w:trPr>
          <w:trHeight w:val="324"/>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Reparación pinchazos</w:t>
            </w:r>
            <w:r>
              <w:rPr>
                <w:rFonts w:ascii="Calibri" w:hAnsi="Calibri" w:cs="Calibri"/>
                <w:sz w:val="22"/>
                <w:szCs w:val="22"/>
                <w:vertAlign w:val="superscript"/>
                <w:lang w:eastAsia="ca-ES"/>
              </w:rPr>
              <w:t>1</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13</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Rallado cubiertas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32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Cambio de cubiertas nuevas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Descalzar y calzar rueda</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224</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Montaje y desmontaje de</w:t>
            </w:r>
            <w:r>
              <w:rPr>
                <w:rFonts w:ascii="Calibri" w:hAnsi="Calibri" w:cs="Calibri"/>
                <w:color w:val="000000"/>
                <w:sz w:val="22"/>
                <w:szCs w:val="22"/>
                <w:lang w:eastAsia="ca-ES"/>
              </w:rPr>
              <w:t xml:space="preserve"> cubiertas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208</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Permuta de neumáticos (descalzar y montar)</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224</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21,00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Equilibrado de ruedas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56</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15,50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Alineación de direcciones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81,00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Asistencia en ruta FESTIVO</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220,00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Asistencia en ruta NOCTURNO</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180,00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Gestión residuos NFU</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125</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11,00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Válvula camión</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100</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Alargadera camión</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100</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816"/>
        </w:trPr>
        <w:tc>
          <w:tcPr>
            <w:tcW w:w="3947" w:type="dxa"/>
            <w:tcBorders>
              <w:left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rFonts w:ascii="Calibri" w:hAnsi="Calibri" w:cs="Calibri"/>
                <w:b/>
                <w:bCs/>
                <w:sz w:val="22"/>
                <w:szCs w:val="22"/>
                <w:lang w:eastAsia="ca-ES"/>
              </w:rPr>
            </w:pPr>
            <w:r>
              <w:rPr>
                <w:rFonts w:ascii="Calibri" w:hAnsi="Calibri" w:cs="Calibri"/>
                <w:b/>
                <w:bCs/>
                <w:sz w:val="22"/>
                <w:szCs w:val="22"/>
                <w:lang w:eastAsia="ca-ES"/>
              </w:rPr>
              <w:t>TIPO VEHÍCULOS LIGEROS Y FURGONETAS</w:t>
            </w:r>
          </w:p>
        </w:tc>
        <w:tc>
          <w:tcPr>
            <w:tcW w:w="1639"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VOLUMETRÍA</w:t>
            </w:r>
          </w:p>
        </w:tc>
        <w:tc>
          <w:tcPr>
            <w:tcW w:w="1638"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MÁXIMO</w:t>
            </w:r>
          </w:p>
        </w:tc>
        <w:tc>
          <w:tcPr>
            <w:tcW w:w="1638"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OFERTA</w:t>
            </w:r>
          </w:p>
        </w:tc>
        <w:tc>
          <w:tcPr>
            <w:tcW w:w="1319"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TOTAL OFERTA</w:t>
            </w:r>
          </w:p>
        </w:tc>
        <w:tc>
          <w:tcPr>
            <w:tcW w:w="960" w:type="dxa"/>
            <w:vAlign w:val="bottom"/>
          </w:tcPr>
          <w:p w:rsidR="009E59D0" w:rsidRDefault="009E59D0">
            <w:pPr>
              <w:suppressAutoHyphens w:val="0"/>
              <w:snapToGrid w:val="0"/>
              <w:jc w:val="center"/>
              <w:rPr>
                <w:b/>
                <w:bCs/>
                <w:lang w:eastAsia="ca-ES"/>
              </w:rPr>
            </w:pPr>
          </w:p>
        </w:tc>
      </w:tr>
      <w:tr w:rsidR="009E59D0">
        <w:trPr>
          <w:trHeight w:val="324"/>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Reparación pinchazos</w:t>
            </w:r>
            <w:r>
              <w:rPr>
                <w:rFonts w:ascii="Calibri" w:hAnsi="Calibri" w:cs="Calibri"/>
                <w:sz w:val="22"/>
                <w:szCs w:val="22"/>
                <w:vertAlign w:val="superscript"/>
                <w:lang w:eastAsia="ca-ES"/>
              </w:rPr>
              <w:t>2</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188</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Cambio de cubiertas nuevas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152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Descalzar y calzar rueda</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146</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Montaje y desmontaje de cubiertas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162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Permuta de neumáticos (descalzar y montar)</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162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13,00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lastRenderedPageBreak/>
              <w:t>Equilibrado de ruedas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146</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Alineación de direcciones</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3</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38,00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Asistencia en ruta FESTIVO</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220,00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Asistencia en ruta NOCTURNO</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180,00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Gestión residuos NFU</w:t>
            </w:r>
          </w:p>
        </w:tc>
        <w:tc>
          <w:tcPr>
            <w:tcW w:w="1639"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152</w:t>
            </w:r>
          </w:p>
        </w:tc>
        <w:tc>
          <w:tcPr>
            <w:tcW w:w="1638"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3,50</w:t>
            </w:r>
          </w:p>
        </w:tc>
        <w:tc>
          <w:tcPr>
            <w:tcW w:w="1638"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left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Válvulas goma furgón</w:t>
            </w:r>
          </w:p>
        </w:tc>
        <w:tc>
          <w:tcPr>
            <w:tcW w:w="1639" w:type="dxa"/>
            <w:tcBorders>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100</w:t>
            </w:r>
          </w:p>
        </w:tc>
        <w:tc>
          <w:tcPr>
            <w:tcW w:w="1638" w:type="dxa"/>
            <w:tcBorders>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3,65</w:t>
            </w:r>
          </w:p>
        </w:tc>
        <w:tc>
          <w:tcPr>
            <w:tcW w:w="1638" w:type="dxa"/>
            <w:tcBorders>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19" w:type="dxa"/>
            <w:tcBorders>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color w:val="000000"/>
                <w:sz w:val="22"/>
                <w:szCs w:val="22"/>
                <w:lang w:eastAsia="ca-ES"/>
              </w:rPr>
            </w:pPr>
          </w:p>
        </w:tc>
      </w:tr>
      <w:tr w:rsidR="009E59D0">
        <w:trPr>
          <w:trHeight w:val="288"/>
        </w:trPr>
        <w:tc>
          <w:tcPr>
            <w:tcW w:w="3947"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DC241A">
            <w:pPr>
              <w:suppressAutoHyphens w:val="0"/>
              <w:rPr>
                <w:rFonts w:ascii="Calibri" w:hAnsi="Calibri" w:cs="Calibri"/>
                <w:b/>
                <w:bCs/>
                <w:color w:val="000000"/>
                <w:sz w:val="22"/>
                <w:szCs w:val="22"/>
                <w:lang w:eastAsia="ca-ES"/>
              </w:rPr>
            </w:pPr>
            <w:r>
              <w:rPr>
                <w:rFonts w:ascii="Calibri" w:hAnsi="Calibri" w:cs="Calibri"/>
                <w:b/>
                <w:bCs/>
                <w:color w:val="000000"/>
                <w:sz w:val="22"/>
                <w:szCs w:val="22"/>
                <w:lang w:eastAsia="ca-ES"/>
              </w:rPr>
              <w:t>TOTAL COSTE ANUAL PREVISIÓN SERVICIOS</w:t>
            </w:r>
          </w:p>
        </w:tc>
        <w:tc>
          <w:tcPr>
            <w:tcW w:w="1639"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eastAsia="ca-ES"/>
              </w:rPr>
            </w:pPr>
          </w:p>
        </w:tc>
        <w:tc>
          <w:tcPr>
            <w:tcW w:w="1638"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eastAsia="ca-ES"/>
              </w:rPr>
            </w:pPr>
          </w:p>
        </w:tc>
        <w:tc>
          <w:tcPr>
            <w:tcW w:w="1638"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eastAsia="ca-ES"/>
              </w:rPr>
            </w:pPr>
          </w:p>
        </w:tc>
        <w:tc>
          <w:tcPr>
            <w:tcW w:w="1319"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eastAsia="ca-ES"/>
              </w:rPr>
            </w:pPr>
          </w:p>
        </w:tc>
        <w:tc>
          <w:tcPr>
            <w:tcW w:w="960" w:type="dxa"/>
            <w:vAlign w:val="bottom"/>
          </w:tcPr>
          <w:p w:rsidR="009E59D0" w:rsidRDefault="009E59D0">
            <w:pPr>
              <w:suppressAutoHyphens w:val="0"/>
              <w:snapToGrid w:val="0"/>
              <w:jc w:val="center"/>
              <w:rPr>
                <w:rFonts w:ascii="Calibri" w:hAnsi="Calibri" w:cs="Calibri"/>
                <w:b/>
                <w:bCs/>
                <w:color w:val="000000"/>
                <w:sz w:val="22"/>
                <w:szCs w:val="22"/>
                <w:lang w:eastAsia="ca-ES"/>
              </w:rPr>
            </w:pPr>
          </w:p>
        </w:tc>
      </w:tr>
    </w:tbl>
    <w:p w:rsidR="009E59D0" w:rsidRDefault="00DC241A">
      <w:pPr>
        <w:rPr>
          <w:rFonts w:ascii="Times New Roman" w:hAnsi="Times New Roman" w:cs="Times New Roman"/>
          <w:lang w:eastAsia="ca-ES"/>
        </w:rPr>
      </w:pPr>
      <w:r>
        <w:rPr>
          <w:rFonts w:ascii="Times New Roman" w:hAnsi="Times New Roman" w:cs="Times New Roman"/>
          <w:lang w:eastAsia="ca-ES"/>
        </w:rPr>
        <w:fldChar w:fldCharType="end"/>
      </w:r>
      <w:r>
        <w:fldChar w:fldCharType="begin"/>
      </w:r>
      <w:r>
        <w:rPr>
          <w:rFonts w:ascii="Times New Roman" w:hAnsi="Times New Roman" w:cs="Times New Roman"/>
          <w:lang w:val="es-ES" w:eastAsia="es-ES"/>
        </w:rPr>
        <w:instrText xml:space="preserve">LINK Excel.Sheet.12 "\\\\goleta\\serveis\\Ecoequip\\Contractacio\\Pneumatics\\Pneumatics </w:instrText>
      </w:r>
      <w:r>
        <w:rPr>
          <w:rFonts w:ascii="Times New Roman" w:hAnsi="Times New Roman" w:cs="Times New Roman"/>
          <w:lang w:val="es-ES" w:eastAsia="es-ES"/>
        </w:rPr>
        <w:instrText>2025\\DOCUMENTS FINALS\\Calcul contracte_vf.xlsx" "model oferta pneumatics!F2C1:F16C6" \a \f 4 \h</w:instrText>
      </w:r>
      <w:r>
        <w:rPr>
          <w:rFonts w:ascii="Times New Roman" w:hAnsi="Times New Roman" w:cs="Times New Roman"/>
          <w:lang w:val="es-ES" w:eastAsia="es-ES"/>
        </w:rPr>
        <w:fldChar w:fldCharType="separate"/>
      </w:r>
      <w:bookmarkStart w:id="12" w:name="_1811054357"/>
      <w:bookmarkStart w:id="13" w:name="_1810992621"/>
      <w:bookmarkEnd w:id="12"/>
      <w:bookmarkEnd w:id="13"/>
    </w:p>
    <w:tbl>
      <w:tblPr>
        <w:tblW w:w="8870" w:type="dxa"/>
        <w:tblInd w:w="-25" w:type="dxa"/>
        <w:tblLayout w:type="fixed"/>
        <w:tblCellMar>
          <w:left w:w="70" w:type="dxa"/>
          <w:right w:w="70" w:type="dxa"/>
        </w:tblCellMar>
        <w:tblLook w:val="0000" w:firstRow="0" w:lastRow="0" w:firstColumn="0" w:lastColumn="0" w:noHBand="0" w:noVBand="0"/>
      </w:tblPr>
      <w:tblGrid>
        <w:gridCol w:w="1660"/>
        <w:gridCol w:w="1480"/>
        <w:gridCol w:w="1500"/>
        <w:gridCol w:w="1640"/>
        <w:gridCol w:w="1240"/>
        <w:gridCol w:w="1350"/>
      </w:tblGrid>
      <w:tr w:rsidR="009E59D0">
        <w:trPr>
          <w:trHeight w:val="828"/>
        </w:trPr>
        <w:tc>
          <w:tcPr>
            <w:tcW w:w="1660"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9E59D0" w:rsidRDefault="00DC241A">
            <w:pPr>
              <w:jc w:val="center"/>
              <w:rPr>
                <w:b/>
                <w:bCs/>
                <w:lang w:eastAsia="ca-ES"/>
              </w:rPr>
            </w:pPr>
            <w:r>
              <w:rPr>
                <w:b/>
                <w:bCs/>
                <w:lang w:eastAsia="ca-ES"/>
              </w:rPr>
              <w:t>MEDIDAS HABITUALES</w:t>
            </w:r>
          </w:p>
        </w:tc>
        <w:tc>
          <w:tcPr>
            <w:tcW w:w="148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VOLUMETRÍA</w:t>
            </w:r>
          </w:p>
        </w:tc>
        <w:tc>
          <w:tcPr>
            <w:tcW w:w="150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MÁXIMO</w:t>
            </w:r>
          </w:p>
        </w:tc>
        <w:tc>
          <w:tcPr>
            <w:tcW w:w="164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MARCA OFERTA</w:t>
            </w:r>
          </w:p>
        </w:tc>
        <w:tc>
          <w:tcPr>
            <w:tcW w:w="124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UNITARIO OFERTA</w:t>
            </w:r>
          </w:p>
        </w:tc>
        <w:tc>
          <w:tcPr>
            <w:tcW w:w="135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eastAsia="ca-ES"/>
              </w:rPr>
            </w:pPr>
            <w:r>
              <w:rPr>
                <w:b/>
                <w:bCs/>
                <w:lang w:eastAsia="ca-ES"/>
              </w:rPr>
              <w:t>PRECIO TOTAL OFERTA</w:t>
            </w:r>
          </w:p>
        </w:tc>
      </w:tr>
      <w:tr w:rsidR="009E59D0">
        <w:trPr>
          <w:trHeight w:val="288"/>
        </w:trPr>
        <w:tc>
          <w:tcPr>
            <w:tcW w:w="1660" w:type="dxa"/>
            <w:tcBorders>
              <w:top w:val="single" w:sz="4" w:space="0" w:color="000000"/>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315/80R22.5</w:t>
            </w:r>
          </w:p>
        </w:tc>
        <w:tc>
          <w:tcPr>
            <w:tcW w:w="1480"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100</w:t>
            </w:r>
          </w:p>
        </w:tc>
        <w:tc>
          <w:tcPr>
            <w:tcW w:w="1500"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790,00</w:t>
            </w:r>
          </w:p>
        </w:tc>
        <w:tc>
          <w:tcPr>
            <w:tcW w:w="164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295/80R22.5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735,00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285/70R19.5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525,00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215/75R17.5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445,00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195/75R16C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160,00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185/65R15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120,00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215R14C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12</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175/70R14C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110,00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175/65R14</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8</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305/70R19</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635,00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195/65R15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10</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120,00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eastAsia="ca-ES"/>
              </w:rPr>
            </w:pPr>
            <w:r>
              <w:rPr>
                <w:rFonts w:ascii="Calibri" w:hAnsi="Calibri" w:cs="Calibri"/>
                <w:color w:val="000000"/>
                <w:sz w:val="22"/>
                <w:szCs w:val="22"/>
                <w:lang w:eastAsia="ca-ES"/>
              </w:rPr>
              <w:t>185/75R16</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20</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eastAsia="ca-ES"/>
              </w:rPr>
            </w:pPr>
            <w:r>
              <w:rPr>
                <w:rFonts w:ascii="Calibri" w:hAnsi="Calibri" w:cs="Calibri"/>
                <w:color w:val="000000"/>
                <w:sz w:val="22"/>
                <w:szCs w:val="22"/>
                <w:lang w:eastAsia="ca-ES"/>
              </w:rPr>
              <w:t>155,00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eastAsia="ca-ES"/>
              </w:rPr>
            </w:pPr>
          </w:p>
        </w:tc>
      </w:tr>
      <w:tr w:rsidR="009E59D0">
        <w:trPr>
          <w:trHeight w:val="288"/>
        </w:trPr>
        <w:tc>
          <w:tcPr>
            <w:tcW w:w="1660" w:type="dxa"/>
            <w:vAlign w:val="bottom"/>
          </w:tcPr>
          <w:p w:rsidR="009E59D0" w:rsidRDefault="009E59D0">
            <w:pPr>
              <w:suppressAutoHyphens w:val="0"/>
              <w:snapToGrid w:val="0"/>
              <w:jc w:val="center"/>
              <w:rPr>
                <w:rFonts w:ascii="Calibri" w:hAnsi="Calibri" w:cs="Calibri"/>
                <w:color w:val="000000"/>
                <w:sz w:val="22"/>
                <w:szCs w:val="22"/>
                <w:lang w:eastAsia="ca-ES"/>
              </w:rPr>
            </w:pPr>
          </w:p>
        </w:tc>
        <w:tc>
          <w:tcPr>
            <w:tcW w:w="1480" w:type="dxa"/>
            <w:vAlign w:val="bottom"/>
          </w:tcPr>
          <w:p w:rsidR="009E59D0" w:rsidRDefault="009E59D0">
            <w:pPr>
              <w:suppressAutoHyphens w:val="0"/>
              <w:snapToGrid w:val="0"/>
              <w:rPr>
                <w:rFonts w:ascii="Times New Roman" w:hAnsi="Times New Roman" w:cs="Times New Roman"/>
                <w:color w:val="000000"/>
                <w:sz w:val="22"/>
                <w:szCs w:val="22"/>
                <w:lang w:eastAsia="ca-ES"/>
              </w:rPr>
            </w:pPr>
          </w:p>
        </w:tc>
        <w:tc>
          <w:tcPr>
            <w:tcW w:w="1500" w:type="dxa"/>
            <w:vAlign w:val="bottom"/>
          </w:tcPr>
          <w:p w:rsidR="009E59D0" w:rsidRDefault="009E59D0">
            <w:pPr>
              <w:suppressAutoHyphens w:val="0"/>
              <w:snapToGrid w:val="0"/>
              <w:rPr>
                <w:rFonts w:ascii="Times New Roman" w:hAnsi="Times New Roman" w:cs="Times New Roman"/>
                <w:lang w:eastAsia="ca-ES"/>
              </w:rPr>
            </w:pPr>
          </w:p>
        </w:tc>
        <w:tc>
          <w:tcPr>
            <w:tcW w:w="1640" w:type="dxa"/>
            <w:vAlign w:val="bottom"/>
          </w:tcPr>
          <w:p w:rsidR="009E59D0" w:rsidRDefault="009E59D0">
            <w:pPr>
              <w:suppressAutoHyphens w:val="0"/>
              <w:snapToGrid w:val="0"/>
              <w:rPr>
                <w:rFonts w:ascii="Times New Roman" w:hAnsi="Times New Roman" w:cs="Times New Roman"/>
                <w:lang w:eastAsia="ca-ES"/>
              </w:rPr>
            </w:pPr>
          </w:p>
        </w:tc>
        <w:tc>
          <w:tcPr>
            <w:tcW w:w="1240" w:type="dxa"/>
            <w:vAlign w:val="bottom"/>
          </w:tcPr>
          <w:p w:rsidR="009E59D0" w:rsidRDefault="009E59D0">
            <w:pPr>
              <w:suppressAutoHyphens w:val="0"/>
              <w:snapToGrid w:val="0"/>
              <w:rPr>
                <w:rFonts w:ascii="Times New Roman" w:hAnsi="Times New Roman" w:cs="Times New Roman"/>
                <w:lang w:eastAsia="ca-ES"/>
              </w:rPr>
            </w:pPr>
          </w:p>
        </w:tc>
        <w:tc>
          <w:tcPr>
            <w:tcW w:w="1340" w:type="dxa"/>
            <w:vAlign w:val="bottom"/>
          </w:tcPr>
          <w:p w:rsidR="009E59D0" w:rsidRDefault="009E59D0">
            <w:pPr>
              <w:suppressAutoHyphens w:val="0"/>
              <w:snapToGrid w:val="0"/>
              <w:rPr>
                <w:rFonts w:ascii="Times New Roman" w:hAnsi="Times New Roman" w:cs="Times New Roman"/>
                <w:lang w:eastAsia="ca-ES"/>
              </w:rPr>
            </w:pPr>
          </w:p>
        </w:tc>
      </w:tr>
      <w:tr w:rsidR="009E59D0">
        <w:trPr>
          <w:trHeight w:val="288"/>
        </w:trPr>
        <w:tc>
          <w:tcPr>
            <w:tcW w:w="166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DC241A">
            <w:pPr>
              <w:suppressAutoHyphens w:val="0"/>
              <w:rPr>
                <w:rFonts w:ascii="Calibri" w:hAnsi="Calibri" w:cs="Calibri"/>
                <w:b/>
                <w:bCs/>
                <w:color w:val="000000"/>
                <w:sz w:val="22"/>
                <w:szCs w:val="22"/>
                <w:lang w:eastAsia="ca-ES"/>
              </w:rPr>
            </w:pPr>
            <w:r>
              <w:rPr>
                <w:rFonts w:ascii="Calibri" w:hAnsi="Calibri" w:cs="Calibri"/>
                <w:b/>
                <w:bCs/>
                <w:color w:val="000000"/>
                <w:sz w:val="22"/>
                <w:szCs w:val="22"/>
                <w:lang w:eastAsia="ca-ES"/>
              </w:rPr>
              <w:t>Total</w:t>
            </w:r>
          </w:p>
        </w:tc>
        <w:tc>
          <w:tcPr>
            <w:tcW w:w="1480" w:type="dxa"/>
            <w:vAlign w:val="bottom"/>
          </w:tcPr>
          <w:p w:rsidR="009E59D0" w:rsidRDefault="009E59D0">
            <w:pPr>
              <w:suppressAutoHyphens w:val="0"/>
              <w:snapToGrid w:val="0"/>
              <w:rPr>
                <w:rFonts w:ascii="Calibri" w:hAnsi="Calibri" w:cs="Calibri"/>
                <w:b/>
                <w:bCs/>
                <w:color w:val="000000"/>
                <w:sz w:val="22"/>
                <w:szCs w:val="22"/>
                <w:lang w:eastAsia="ca-ES"/>
              </w:rPr>
            </w:pPr>
          </w:p>
        </w:tc>
        <w:tc>
          <w:tcPr>
            <w:tcW w:w="1500" w:type="dxa"/>
            <w:vAlign w:val="bottom"/>
          </w:tcPr>
          <w:p w:rsidR="009E59D0" w:rsidRDefault="009E59D0">
            <w:pPr>
              <w:suppressAutoHyphens w:val="0"/>
              <w:snapToGrid w:val="0"/>
              <w:rPr>
                <w:rFonts w:ascii="Times New Roman" w:hAnsi="Times New Roman" w:cs="Times New Roman"/>
                <w:b/>
                <w:bCs/>
                <w:color w:val="000000"/>
                <w:sz w:val="22"/>
                <w:szCs w:val="22"/>
                <w:lang w:eastAsia="ca-ES"/>
              </w:rPr>
            </w:pPr>
          </w:p>
        </w:tc>
        <w:tc>
          <w:tcPr>
            <w:tcW w:w="1640" w:type="dxa"/>
            <w:vAlign w:val="bottom"/>
          </w:tcPr>
          <w:p w:rsidR="009E59D0" w:rsidRDefault="009E59D0">
            <w:pPr>
              <w:suppressAutoHyphens w:val="0"/>
              <w:snapToGrid w:val="0"/>
              <w:rPr>
                <w:rFonts w:ascii="Times New Roman" w:hAnsi="Times New Roman" w:cs="Times New Roman"/>
                <w:lang w:eastAsia="ca-ES"/>
              </w:rPr>
            </w:pPr>
          </w:p>
        </w:tc>
        <w:tc>
          <w:tcPr>
            <w:tcW w:w="1240" w:type="dxa"/>
            <w:vAlign w:val="bottom"/>
          </w:tcPr>
          <w:p w:rsidR="009E59D0" w:rsidRDefault="009E59D0">
            <w:pPr>
              <w:suppressAutoHyphens w:val="0"/>
              <w:snapToGrid w:val="0"/>
              <w:rPr>
                <w:rFonts w:ascii="Times New Roman" w:hAnsi="Times New Roman" w:cs="Times New Roman"/>
                <w:lang w:eastAsia="ca-ES"/>
              </w:rPr>
            </w:pPr>
          </w:p>
        </w:tc>
        <w:tc>
          <w:tcPr>
            <w:tcW w:w="135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eastAsia="ca-ES"/>
              </w:rPr>
            </w:pPr>
          </w:p>
        </w:tc>
      </w:tr>
    </w:tbl>
    <w:p w:rsidR="009E59D0" w:rsidRDefault="00DC241A">
      <w:r>
        <w:fldChar w:fldCharType="end"/>
      </w:r>
    </w:p>
    <w:tbl>
      <w:tblPr>
        <w:tblW w:w="8870" w:type="dxa"/>
        <w:tblInd w:w="-5" w:type="dxa"/>
        <w:tblLayout w:type="fixed"/>
        <w:tblCellMar>
          <w:left w:w="70" w:type="dxa"/>
          <w:right w:w="70" w:type="dxa"/>
        </w:tblCellMar>
        <w:tblLook w:val="0000" w:firstRow="0" w:lastRow="0" w:firstColumn="0" w:lastColumn="0" w:noHBand="0" w:noVBand="0"/>
      </w:tblPr>
      <w:tblGrid>
        <w:gridCol w:w="1660"/>
        <w:gridCol w:w="1480"/>
        <w:gridCol w:w="1500"/>
        <w:gridCol w:w="1640"/>
        <w:gridCol w:w="1240"/>
        <w:gridCol w:w="1350"/>
      </w:tblGrid>
      <w:tr w:rsidR="009E59D0">
        <w:trPr>
          <w:trHeight w:val="828"/>
        </w:trPr>
        <w:tc>
          <w:tcPr>
            <w:tcW w:w="1660"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MEDIDAS HABITUALES</w:t>
            </w:r>
          </w:p>
        </w:tc>
        <w:tc>
          <w:tcPr>
            <w:tcW w:w="148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VOLUMETRÍA</w:t>
            </w:r>
          </w:p>
        </w:tc>
        <w:tc>
          <w:tcPr>
            <w:tcW w:w="150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MÁXIMO</w:t>
            </w:r>
          </w:p>
        </w:tc>
        <w:tc>
          <w:tcPr>
            <w:tcW w:w="164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MARCA OFERTA</w:t>
            </w:r>
          </w:p>
        </w:tc>
        <w:tc>
          <w:tcPr>
            <w:tcW w:w="124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OFERTA</w:t>
            </w:r>
          </w:p>
        </w:tc>
        <w:tc>
          <w:tcPr>
            <w:tcW w:w="1350" w:type="dxa"/>
            <w:tcBorders>
              <w:top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TOTAL OFERTA</w:t>
            </w:r>
          </w:p>
        </w:tc>
      </w:tr>
      <w:tr w:rsidR="009E59D0">
        <w:trPr>
          <w:trHeight w:val="288"/>
        </w:trPr>
        <w:tc>
          <w:tcPr>
            <w:tcW w:w="1660" w:type="dxa"/>
            <w:tcBorders>
              <w:top w:val="single" w:sz="4" w:space="0" w:color="000000"/>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315/80R22.5</w:t>
            </w:r>
          </w:p>
        </w:tc>
        <w:tc>
          <w:tcPr>
            <w:tcW w:w="1480"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100</w:t>
            </w:r>
          </w:p>
        </w:tc>
        <w:tc>
          <w:tcPr>
            <w:tcW w:w="1500"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790,00</w:t>
            </w:r>
          </w:p>
        </w:tc>
        <w:tc>
          <w:tcPr>
            <w:tcW w:w="164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top w:val="single" w:sz="4" w:space="0" w:color="000000"/>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295/80R22.5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285/70R19.5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525,00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215/75R17.5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445,00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195/75R16C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160,00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185/65R15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120,00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215R14C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12</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175/70R14C</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110,00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175/65R14</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8</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305/70R19</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635,00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195/65R15</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120,00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185/75R16</w:t>
            </w:r>
          </w:p>
        </w:tc>
        <w:tc>
          <w:tcPr>
            <w:tcW w:w="148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w:t>
            </w:r>
          </w:p>
        </w:tc>
        <w:tc>
          <w:tcPr>
            <w:tcW w:w="150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155,00</w:t>
            </w:r>
          </w:p>
        </w:tc>
        <w:tc>
          <w:tcPr>
            <w:tcW w:w="16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24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5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1660" w:type="dxa"/>
            <w:vAlign w:val="bottom"/>
          </w:tcPr>
          <w:p w:rsidR="009E59D0" w:rsidRDefault="009E59D0">
            <w:pPr>
              <w:suppressAutoHyphens w:val="0"/>
              <w:snapToGrid w:val="0"/>
              <w:jc w:val="center"/>
              <w:rPr>
                <w:rFonts w:ascii="Calibri" w:hAnsi="Calibri" w:cs="Calibri"/>
                <w:color w:val="000000"/>
                <w:sz w:val="22"/>
                <w:szCs w:val="22"/>
                <w:lang w:val="es-ES" w:eastAsia="es-ES"/>
              </w:rPr>
            </w:pPr>
          </w:p>
        </w:tc>
        <w:tc>
          <w:tcPr>
            <w:tcW w:w="1480" w:type="dxa"/>
            <w:vAlign w:val="bottom"/>
          </w:tcPr>
          <w:p w:rsidR="009E59D0" w:rsidRDefault="009E59D0">
            <w:pPr>
              <w:suppressAutoHyphens w:val="0"/>
              <w:snapToGrid w:val="0"/>
              <w:rPr>
                <w:rFonts w:ascii="Times New Roman" w:hAnsi="Times New Roman" w:cs="Times New Roman"/>
                <w:color w:val="000000"/>
                <w:sz w:val="22"/>
                <w:szCs w:val="22"/>
                <w:lang w:val="es-ES" w:eastAsia="es-ES"/>
              </w:rPr>
            </w:pPr>
          </w:p>
        </w:tc>
        <w:tc>
          <w:tcPr>
            <w:tcW w:w="1500" w:type="dxa"/>
            <w:vAlign w:val="bottom"/>
          </w:tcPr>
          <w:p w:rsidR="009E59D0" w:rsidRDefault="009E59D0">
            <w:pPr>
              <w:suppressAutoHyphens w:val="0"/>
              <w:snapToGrid w:val="0"/>
              <w:rPr>
                <w:rFonts w:ascii="Times New Roman" w:hAnsi="Times New Roman" w:cs="Times New Roman"/>
                <w:lang w:val="es-ES" w:eastAsia="es-ES"/>
              </w:rPr>
            </w:pPr>
          </w:p>
        </w:tc>
        <w:tc>
          <w:tcPr>
            <w:tcW w:w="1640" w:type="dxa"/>
            <w:vAlign w:val="bottom"/>
          </w:tcPr>
          <w:p w:rsidR="009E59D0" w:rsidRDefault="009E59D0">
            <w:pPr>
              <w:suppressAutoHyphens w:val="0"/>
              <w:snapToGrid w:val="0"/>
              <w:rPr>
                <w:rFonts w:ascii="Times New Roman" w:hAnsi="Times New Roman" w:cs="Times New Roman"/>
                <w:lang w:val="es-ES" w:eastAsia="es-ES"/>
              </w:rPr>
            </w:pPr>
          </w:p>
        </w:tc>
        <w:tc>
          <w:tcPr>
            <w:tcW w:w="1240" w:type="dxa"/>
            <w:vAlign w:val="bottom"/>
          </w:tcPr>
          <w:p w:rsidR="009E59D0" w:rsidRDefault="009E59D0">
            <w:pPr>
              <w:suppressAutoHyphens w:val="0"/>
              <w:snapToGrid w:val="0"/>
              <w:rPr>
                <w:rFonts w:ascii="Times New Roman" w:hAnsi="Times New Roman" w:cs="Times New Roman"/>
                <w:lang w:val="es-ES" w:eastAsia="es-ES"/>
              </w:rPr>
            </w:pPr>
          </w:p>
        </w:tc>
        <w:tc>
          <w:tcPr>
            <w:tcW w:w="1340" w:type="dxa"/>
            <w:vAlign w:val="bottom"/>
          </w:tcPr>
          <w:p w:rsidR="009E59D0" w:rsidRDefault="009E59D0">
            <w:pPr>
              <w:suppressAutoHyphens w:val="0"/>
              <w:snapToGrid w:val="0"/>
              <w:rPr>
                <w:rFonts w:ascii="Times New Roman" w:hAnsi="Times New Roman" w:cs="Times New Roman"/>
                <w:lang w:val="es-ES" w:eastAsia="es-ES"/>
              </w:rPr>
            </w:pPr>
          </w:p>
        </w:tc>
      </w:tr>
      <w:tr w:rsidR="009E59D0">
        <w:trPr>
          <w:trHeight w:val="288"/>
        </w:trPr>
        <w:tc>
          <w:tcPr>
            <w:tcW w:w="166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DC241A">
            <w:pPr>
              <w:suppressAutoHyphens w:val="0"/>
              <w:rPr>
                <w:rFonts w:ascii="Calibri" w:hAnsi="Calibri" w:cs="Calibri"/>
                <w:b/>
                <w:bCs/>
                <w:color w:val="000000"/>
                <w:sz w:val="22"/>
                <w:szCs w:val="22"/>
                <w:lang w:val="es-ES" w:eastAsia="es-ES"/>
              </w:rPr>
            </w:pPr>
            <w:r>
              <w:rPr>
                <w:rFonts w:ascii="Calibri" w:hAnsi="Calibri" w:cs="Calibri"/>
                <w:b/>
                <w:bCs/>
                <w:color w:val="000000"/>
                <w:sz w:val="22"/>
                <w:szCs w:val="22"/>
                <w:lang w:val="es-ES" w:eastAsia="es-ES"/>
              </w:rPr>
              <w:t>Total</w:t>
            </w:r>
          </w:p>
        </w:tc>
        <w:tc>
          <w:tcPr>
            <w:tcW w:w="1480" w:type="dxa"/>
            <w:vAlign w:val="bottom"/>
          </w:tcPr>
          <w:p w:rsidR="009E59D0" w:rsidRDefault="009E59D0">
            <w:pPr>
              <w:suppressAutoHyphens w:val="0"/>
              <w:snapToGrid w:val="0"/>
              <w:rPr>
                <w:rFonts w:ascii="Calibri" w:hAnsi="Calibri" w:cs="Calibri"/>
                <w:b/>
                <w:bCs/>
                <w:color w:val="000000"/>
                <w:sz w:val="22"/>
                <w:szCs w:val="22"/>
                <w:lang w:val="es-ES" w:eastAsia="es-ES"/>
              </w:rPr>
            </w:pPr>
          </w:p>
        </w:tc>
        <w:tc>
          <w:tcPr>
            <w:tcW w:w="1500" w:type="dxa"/>
            <w:vAlign w:val="bottom"/>
          </w:tcPr>
          <w:p w:rsidR="009E59D0" w:rsidRDefault="009E59D0">
            <w:pPr>
              <w:suppressAutoHyphens w:val="0"/>
              <w:snapToGrid w:val="0"/>
              <w:rPr>
                <w:rFonts w:ascii="Times New Roman" w:hAnsi="Times New Roman" w:cs="Times New Roman"/>
                <w:b/>
                <w:bCs/>
                <w:color w:val="000000"/>
                <w:sz w:val="22"/>
                <w:szCs w:val="22"/>
                <w:lang w:val="es-ES" w:eastAsia="es-ES"/>
              </w:rPr>
            </w:pPr>
          </w:p>
        </w:tc>
        <w:tc>
          <w:tcPr>
            <w:tcW w:w="1640" w:type="dxa"/>
            <w:vAlign w:val="bottom"/>
          </w:tcPr>
          <w:p w:rsidR="009E59D0" w:rsidRDefault="009E59D0">
            <w:pPr>
              <w:suppressAutoHyphens w:val="0"/>
              <w:snapToGrid w:val="0"/>
              <w:rPr>
                <w:rFonts w:ascii="Times New Roman" w:hAnsi="Times New Roman" w:cs="Times New Roman"/>
                <w:lang w:val="es-ES" w:eastAsia="es-ES"/>
              </w:rPr>
            </w:pPr>
          </w:p>
        </w:tc>
        <w:tc>
          <w:tcPr>
            <w:tcW w:w="1240" w:type="dxa"/>
            <w:vAlign w:val="bottom"/>
          </w:tcPr>
          <w:p w:rsidR="009E59D0" w:rsidRDefault="009E59D0">
            <w:pPr>
              <w:suppressAutoHyphens w:val="0"/>
              <w:snapToGrid w:val="0"/>
              <w:rPr>
                <w:rFonts w:ascii="Times New Roman" w:hAnsi="Times New Roman" w:cs="Times New Roman"/>
                <w:lang w:val="es-ES" w:eastAsia="es-ES"/>
              </w:rPr>
            </w:pPr>
          </w:p>
        </w:tc>
        <w:tc>
          <w:tcPr>
            <w:tcW w:w="135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val="es-ES" w:eastAsia="es-ES"/>
              </w:rPr>
            </w:pPr>
          </w:p>
        </w:tc>
      </w:tr>
    </w:tbl>
    <w:p w:rsidR="009E59D0" w:rsidRDefault="00DC241A">
      <w:r>
        <w:br w:type="page"/>
      </w:r>
    </w:p>
    <w:p w:rsidR="009E59D0" w:rsidRDefault="009E59D0">
      <w:pPr>
        <w:widowControl w:val="0"/>
        <w:tabs>
          <w:tab w:val="left" w:pos="567"/>
        </w:tabs>
        <w:jc w:val="both"/>
        <w:rPr>
          <w:color w:val="000000"/>
          <w:sz w:val="22"/>
          <w:szCs w:val="22"/>
        </w:rPr>
      </w:pPr>
    </w:p>
    <w:p w:rsidR="009E59D0" w:rsidRDefault="009E59D0">
      <w:pPr>
        <w:widowControl w:val="0"/>
        <w:tabs>
          <w:tab w:val="left" w:pos="567"/>
        </w:tabs>
        <w:jc w:val="both"/>
        <w:rPr>
          <w:color w:val="000000"/>
          <w:sz w:val="22"/>
          <w:szCs w:val="22"/>
        </w:rPr>
      </w:pPr>
    </w:p>
    <w:p w:rsidR="009E59D0" w:rsidRDefault="00DC241A">
      <w:pPr>
        <w:widowControl w:val="0"/>
        <w:tabs>
          <w:tab w:val="left" w:pos="567"/>
        </w:tabs>
        <w:jc w:val="both"/>
        <w:rPr>
          <w:b/>
          <w:color w:val="000000"/>
          <w:sz w:val="24"/>
          <w:szCs w:val="24"/>
        </w:rPr>
      </w:pPr>
      <w:r>
        <w:rPr>
          <w:b/>
          <w:color w:val="000000"/>
          <w:sz w:val="24"/>
          <w:szCs w:val="24"/>
        </w:rPr>
        <w:t>13.1.1.2 Precio de los servicios de mantenimiento y reparación.</w:t>
      </w:r>
    </w:p>
    <w:p w:rsidR="009E59D0" w:rsidRDefault="009E59D0">
      <w:pPr>
        <w:widowControl w:val="0"/>
        <w:tabs>
          <w:tab w:val="left" w:pos="567"/>
        </w:tabs>
        <w:jc w:val="both"/>
        <w:rPr>
          <w:b/>
          <w:color w:val="000000"/>
          <w:sz w:val="24"/>
          <w:szCs w:val="24"/>
        </w:rPr>
      </w:pPr>
    </w:p>
    <w:p w:rsidR="009E59D0" w:rsidRDefault="009E59D0">
      <w:pPr>
        <w:widowControl w:val="0"/>
        <w:tabs>
          <w:tab w:val="left" w:pos="567"/>
        </w:tabs>
        <w:jc w:val="both"/>
        <w:rPr>
          <w:b/>
          <w:color w:val="000000"/>
          <w:sz w:val="24"/>
          <w:szCs w:val="24"/>
        </w:rPr>
      </w:pPr>
    </w:p>
    <w:tbl>
      <w:tblPr>
        <w:tblW w:w="10190" w:type="dxa"/>
        <w:tblInd w:w="-5" w:type="dxa"/>
        <w:tblLayout w:type="fixed"/>
        <w:tblCellMar>
          <w:left w:w="70" w:type="dxa"/>
          <w:right w:w="70" w:type="dxa"/>
        </w:tblCellMar>
        <w:tblLook w:val="0000" w:firstRow="0" w:lastRow="0" w:firstColumn="0" w:lastColumn="0" w:noHBand="0" w:noVBand="0"/>
      </w:tblPr>
      <w:tblGrid>
        <w:gridCol w:w="3947"/>
        <w:gridCol w:w="1640"/>
        <w:gridCol w:w="1640"/>
        <w:gridCol w:w="1633"/>
        <w:gridCol w:w="1330"/>
      </w:tblGrid>
      <w:tr w:rsidR="009E59D0">
        <w:trPr>
          <w:trHeight w:val="288"/>
        </w:trPr>
        <w:tc>
          <w:tcPr>
            <w:tcW w:w="10180" w:type="dxa"/>
            <w:gridSpan w:val="5"/>
            <w:tcBorders>
              <w:left w:val="single" w:sz="4" w:space="0" w:color="000000"/>
              <w:bottom w:val="single" w:sz="4" w:space="0" w:color="000000"/>
            </w:tcBorders>
            <w:shd w:val="clear" w:color="auto" w:fill="FFC000"/>
            <w:vAlign w:val="center"/>
          </w:tcPr>
          <w:p w:rsidR="009E59D0" w:rsidRDefault="00DC241A">
            <w:pPr>
              <w:suppressAutoHyphens w:val="0"/>
              <w:jc w:val="center"/>
              <w:rPr>
                <w:rFonts w:ascii="Calibri" w:hAnsi="Calibri" w:cs="Calibri"/>
                <w:b/>
                <w:bCs/>
                <w:sz w:val="22"/>
                <w:szCs w:val="22"/>
                <w:lang w:val="es-ES" w:eastAsia="es-ES"/>
              </w:rPr>
            </w:pPr>
            <w:r>
              <w:rPr>
                <w:rFonts w:ascii="Calibri" w:hAnsi="Calibri" w:cs="Calibri"/>
                <w:b/>
                <w:bCs/>
                <w:sz w:val="22"/>
                <w:szCs w:val="22"/>
                <w:lang w:val="es-ES" w:eastAsia="es-ES"/>
              </w:rPr>
              <w:t>CÁLCULO ESTIMATIVO COSTE ANUAL PRESTACIONES DE SERVICIOS</w:t>
            </w:r>
          </w:p>
        </w:tc>
      </w:tr>
      <w:tr w:rsidR="009E59D0">
        <w:trPr>
          <w:trHeight w:val="768"/>
        </w:trPr>
        <w:tc>
          <w:tcPr>
            <w:tcW w:w="3947" w:type="dxa"/>
            <w:tcBorders>
              <w:left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rFonts w:ascii="Calibri" w:hAnsi="Calibri" w:cs="Calibri"/>
                <w:b/>
                <w:bCs/>
                <w:sz w:val="22"/>
                <w:szCs w:val="22"/>
                <w:lang w:val="es-ES" w:eastAsia="es-ES"/>
              </w:rPr>
            </w:pPr>
            <w:r>
              <w:rPr>
                <w:rFonts w:ascii="Calibri" w:hAnsi="Calibri" w:cs="Calibri"/>
                <w:b/>
                <w:bCs/>
                <w:sz w:val="22"/>
                <w:szCs w:val="22"/>
                <w:lang w:val="es-ES" w:eastAsia="es-ES"/>
              </w:rPr>
              <w:t>TIPO CAMIONES Y BARREDAS</w:t>
            </w:r>
          </w:p>
        </w:tc>
        <w:tc>
          <w:tcPr>
            <w:tcW w:w="164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VOLUMETRÍA</w:t>
            </w:r>
          </w:p>
        </w:tc>
        <w:tc>
          <w:tcPr>
            <w:tcW w:w="164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MÁXIMO</w:t>
            </w:r>
          </w:p>
        </w:tc>
        <w:tc>
          <w:tcPr>
            <w:tcW w:w="1633"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OFERTA</w:t>
            </w:r>
          </w:p>
        </w:tc>
        <w:tc>
          <w:tcPr>
            <w:tcW w:w="133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TOTAL OFERTA</w:t>
            </w:r>
          </w:p>
        </w:tc>
      </w:tr>
      <w:tr w:rsidR="009E59D0">
        <w:trPr>
          <w:trHeight w:val="324"/>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Reparación pinchazos</w:t>
            </w:r>
            <w:r>
              <w:rPr>
                <w:rFonts w:ascii="Calibri" w:hAnsi="Calibri" w:cs="Calibri"/>
                <w:sz w:val="22"/>
                <w:szCs w:val="22"/>
                <w:vertAlign w:val="superscript"/>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13</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Rallado cubiertas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Cambio de cubiertas nuevas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Descalzar y calzar rueda</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224</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Montaje y desmontaje de cubiertas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208</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Permuta de neumáticos (descalzar y montar)</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224</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21,00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Equilibrado de ruedas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56</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15,50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Alineación de direcciones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81,00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Asistencia en ruta FESTIVO</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220,00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Asistencia en ruta NOCTURNO</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180,00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Gestión residuos NFU</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125</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11,00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Válvula camión</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100</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Alargadera camión</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100</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816"/>
        </w:trPr>
        <w:tc>
          <w:tcPr>
            <w:tcW w:w="3947" w:type="dxa"/>
            <w:tcBorders>
              <w:left w:val="single" w:sz="4" w:space="0" w:color="000000"/>
              <w:bottom w:val="single" w:sz="4" w:space="0" w:color="000000"/>
              <w:right w:val="single" w:sz="4" w:space="0" w:color="000000"/>
            </w:tcBorders>
            <w:shd w:val="clear" w:color="auto" w:fill="CCFFFF"/>
            <w:vAlign w:val="center"/>
          </w:tcPr>
          <w:p w:rsidR="009E59D0" w:rsidRDefault="00DC241A">
            <w:pPr>
              <w:suppressAutoHyphens w:val="0"/>
              <w:jc w:val="center"/>
              <w:rPr>
                <w:rFonts w:ascii="Calibri" w:hAnsi="Calibri" w:cs="Calibri"/>
                <w:b/>
                <w:bCs/>
                <w:sz w:val="22"/>
                <w:szCs w:val="22"/>
                <w:lang w:val="es-ES" w:eastAsia="es-ES"/>
              </w:rPr>
            </w:pPr>
            <w:r>
              <w:rPr>
                <w:rFonts w:ascii="Calibri" w:hAnsi="Calibri" w:cs="Calibri"/>
                <w:b/>
                <w:bCs/>
                <w:sz w:val="22"/>
                <w:szCs w:val="22"/>
                <w:lang w:val="es-ES" w:eastAsia="es-ES"/>
              </w:rPr>
              <w:t>TIPO VEHÍCULOS LIGEROS Y FURGONETAS</w:t>
            </w:r>
          </w:p>
        </w:tc>
        <w:tc>
          <w:tcPr>
            <w:tcW w:w="164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VOLUMETRÍA</w:t>
            </w:r>
          </w:p>
        </w:tc>
        <w:tc>
          <w:tcPr>
            <w:tcW w:w="164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MÁXIMO</w:t>
            </w:r>
          </w:p>
        </w:tc>
        <w:tc>
          <w:tcPr>
            <w:tcW w:w="1633"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UNITARIO OFERTA</w:t>
            </w:r>
          </w:p>
        </w:tc>
        <w:tc>
          <w:tcPr>
            <w:tcW w:w="1330" w:type="dxa"/>
            <w:tcBorders>
              <w:bottom w:val="single" w:sz="4" w:space="0" w:color="000000"/>
              <w:right w:val="single" w:sz="4" w:space="0" w:color="000000"/>
            </w:tcBorders>
            <w:shd w:val="clear" w:color="auto" w:fill="CCFFFF"/>
            <w:vAlign w:val="center"/>
          </w:tcPr>
          <w:p w:rsidR="009E59D0" w:rsidRDefault="00DC241A">
            <w:pPr>
              <w:suppressAutoHyphens w:val="0"/>
              <w:jc w:val="center"/>
              <w:rPr>
                <w:b/>
                <w:bCs/>
                <w:lang w:val="es-ES" w:eastAsia="es-ES"/>
              </w:rPr>
            </w:pPr>
            <w:r>
              <w:rPr>
                <w:b/>
                <w:bCs/>
                <w:lang w:val="es-ES" w:eastAsia="es-ES"/>
              </w:rPr>
              <w:t>PRECIO TOTAL OFERTA</w:t>
            </w:r>
          </w:p>
        </w:tc>
      </w:tr>
      <w:tr w:rsidR="009E59D0">
        <w:trPr>
          <w:trHeight w:val="324"/>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Reparación pinchazos</w:t>
            </w:r>
            <w:r>
              <w:rPr>
                <w:rFonts w:ascii="Calibri" w:hAnsi="Calibri" w:cs="Calibri"/>
                <w:sz w:val="22"/>
                <w:szCs w:val="22"/>
                <w:vertAlign w:val="superscript"/>
                <w:lang w:val="es-ES" w:eastAsia="es-ES"/>
              </w:rPr>
              <w:t>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188</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Cambio de cubiertas nuevas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152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Descalzar y calzar rueda</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146</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6,00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Montaje y desmontaje de cubiertas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162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Permuta de neumáticos (descalzar y montar)</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162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13,00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Equilibrado de ruedas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146</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7,50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Alineación</w:t>
            </w:r>
            <w:r>
              <w:rPr>
                <w:rFonts w:ascii="Calibri" w:hAnsi="Calibri" w:cs="Calibri"/>
                <w:color w:val="000000"/>
                <w:sz w:val="22"/>
                <w:szCs w:val="22"/>
                <w:lang w:val="es-ES" w:eastAsia="es-ES"/>
              </w:rPr>
              <w:t xml:space="preserve"> de direcciones</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38,00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Asistencia en ruta FESTIVO</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220,00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Asistencia en ruta NOCTURNO</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180,00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bottom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Gestión residuos NFU</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152</w:t>
            </w:r>
          </w:p>
        </w:tc>
        <w:tc>
          <w:tcPr>
            <w:tcW w:w="1640" w:type="dxa"/>
            <w:tcBorders>
              <w:bottom w:val="single" w:sz="4" w:space="0" w:color="000000"/>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3,50</w:t>
            </w:r>
          </w:p>
        </w:tc>
        <w:tc>
          <w:tcPr>
            <w:tcW w:w="1633"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bottom w:val="single" w:sz="4" w:space="0" w:color="000000"/>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left w:val="single" w:sz="4" w:space="0" w:color="000000"/>
              <w:right w:val="single" w:sz="4" w:space="0" w:color="000000"/>
            </w:tcBorders>
            <w:vAlign w:val="bottom"/>
          </w:tcPr>
          <w:p w:rsidR="009E59D0" w:rsidRDefault="00DC241A">
            <w:pPr>
              <w:suppressAutoHyphens w:val="0"/>
              <w:rPr>
                <w:rFonts w:ascii="Calibri" w:hAnsi="Calibri" w:cs="Calibri"/>
                <w:color w:val="000000"/>
                <w:sz w:val="22"/>
                <w:szCs w:val="22"/>
                <w:lang w:val="es-ES" w:eastAsia="es-ES"/>
              </w:rPr>
            </w:pPr>
            <w:r>
              <w:rPr>
                <w:rFonts w:ascii="Calibri" w:hAnsi="Calibri" w:cs="Calibri"/>
                <w:color w:val="000000"/>
                <w:sz w:val="22"/>
                <w:szCs w:val="22"/>
                <w:lang w:val="es-ES" w:eastAsia="es-ES"/>
              </w:rPr>
              <w:t>Válvulas goma furgón</w:t>
            </w:r>
          </w:p>
        </w:tc>
        <w:tc>
          <w:tcPr>
            <w:tcW w:w="1640" w:type="dxa"/>
            <w:tcBorders>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100</w:t>
            </w:r>
          </w:p>
        </w:tc>
        <w:tc>
          <w:tcPr>
            <w:tcW w:w="1640" w:type="dxa"/>
            <w:tcBorders>
              <w:right w:val="single" w:sz="4" w:space="0" w:color="000000"/>
            </w:tcBorders>
            <w:vAlign w:val="bottom"/>
          </w:tcPr>
          <w:p w:rsidR="009E59D0" w:rsidRDefault="00DC241A">
            <w:pPr>
              <w:suppressAutoHyphens w:val="0"/>
              <w:jc w:val="center"/>
              <w:rPr>
                <w:rFonts w:ascii="Calibri" w:hAnsi="Calibri" w:cs="Calibri"/>
                <w:color w:val="000000"/>
                <w:sz w:val="22"/>
                <w:szCs w:val="22"/>
                <w:lang w:val="es-ES" w:eastAsia="es-ES"/>
              </w:rPr>
            </w:pPr>
            <w:r>
              <w:rPr>
                <w:rFonts w:ascii="Calibri" w:hAnsi="Calibri" w:cs="Calibri"/>
                <w:color w:val="000000"/>
                <w:sz w:val="22"/>
                <w:szCs w:val="22"/>
                <w:lang w:val="es-ES" w:eastAsia="es-ES"/>
              </w:rPr>
              <w:t>3,65</w:t>
            </w:r>
          </w:p>
        </w:tc>
        <w:tc>
          <w:tcPr>
            <w:tcW w:w="1633" w:type="dxa"/>
            <w:tcBorders>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c>
          <w:tcPr>
            <w:tcW w:w="1330" w:type="dxa"/>
            <w:tcBorders>
              <w:right w:val="single" w:sz="4" w:space="0" w:color="000000"/>
            </w:tcBorders>
            <w:vAlign w:val="bottom"/>
          </w:tcPr>
          <w:p w:rsidR="009E59D0" w:rsidRDefault="009E59D0">
            <w:pPr>
              <w:suppressAutoHyphens w:val="0"/>
              <w:jc w:val="center"/>
              <w:rPr>
                <w:rFonts w:ascii="Calibri" w:hAnsi="Calibri" w:cs="Calibri"/>
                <w:color w:val="000000"/>
                <w:sz w:val="22"/>
                <w:szCs w:val="22"/>
                <w:lang w:val="es-ES" w:eastAsia="es-ES"/>
              </w:rPr>
            </w:pPr>
          </w:p>
        </w:tc>
      </w:tr>
      <w:tr w:rsidR="009E59D0">
        <w:trPr>
          <w:trHeight w:val="288"/>
        </w:trPr>
        <w:tc>
          <w:tcPr>
            <w:tcW w:w="3947"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9E59D0" w:rsidRDefault="00DC241A">
            <w:pPr>
              <w:suppressAutoHyphens w:val="0"/>
              <w:rPr>
                <w:rFonts w:ascii="Calibri" w:hAnsi="Calibri" w:cs="Calibri"/>
                <w:b/>
                <w:bCs/>
                <w:color w:val="000000"/>
                <w:sz w:val="22"/>
                <w:szCs w:val="22"/>
                <w:lang w:val="es-ES" w:eastAsia="es-ES"/>
              </w:rPr>
            </w:pPr>
            <w:proofErr w:type="gramStart"/>
            <w:r>
              <w:rPr>
                <w:rFonts w:ascii="Calibri" w:hAnsi="Calibri" w:cs="Calibri"/>
                <w:b/>
                <w:bCs/>
                <w:color w:val="000000"/>
                <w:sz w:val="22"/>
                <w:szCs w:val="22"/>
                <w:lang w:val="es-ES" w:eastAsia="es-ES"/>
              </w:rPr>
              <w:t>TOTAL</w:t>
            </w:r>
            <w:proofErr w:type="gramEnd"/>
            <w:r>
              <w:rPr>
                <w:rFonts w:ascii="Calibri" w:hAnsi="Calibri" w:cs="Calibri"/>
                <w:b/>
                <w:bCs/>
                <w:color w:val="000000"/>
                <w:sz w:val="22"/>
                <w:szCs w:val="22"/>
                <w:lang w:val="es-ES" w:eastAsia="es-ES"/>
              </w:rPr>
              <w:t xml:space="preserve"> COSTE ANUAL PREVISIÓN SERVICIOS</w:t>
            </w:r>
          </w:p>
        </w:tc>
        <w:tc>
          <w:tcPr>
            <w:tcW w:w="1640"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val="es-ES" w:eastAsia="es-ES"/>
              </w:rPr>
            </w:pPr>
          </w:p>
        </w:tc>
        <w:tc>
          <w:tcPr>
            <w:tcW w:w="1640"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val="es-ES" w:eastAsia="es-ES"/>
              </w:rPr>
            </w:pPr>
          </w:p>
        </w:tc>
        <w:tc>
          <w:tcPr>
            <w:tcW w:w="1633"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val="es-ES" w:eastAsia="es-ES"/>
              </w:rPr>
            </w:pPr>
          </w:p>
        </w:tc>
        <w:tc>
          <w:tcPr>
            <w:tcW w:w="1330" w:type="dxa"/>
            <w:tcBorders>
              <w:top w:val="single" w:sz="4" w:space="0" w:color="000000"/>
              <w:bottom w:val="single" w:sz="4" w:space="0" w:color="000000"/>
              <w:right w:val="single" w:sz="4" w:space="0" w:color="000000"/>
            </w:tcBorders>
            <w:shd w:val="clear" w:color="auto" w:fill="BFBFBF"/>
            <w:vAlign w:val="bottom"/>
          </w:tcPr>
          <w:p w:rsidR="009E59D0" w:rsidRDefault="009E59D0">
            <w:pPr>
              <w:suppressAutoHyphens w:val="0"/>
              <w:jc w:val="center"/>
              <w:rPr>
                <w:rFonts w:ascii="Calibri" w:hAnsi="Calibri" w:cs="Calibri"/>
                <w:b/>
                <w:bCs/>
                <w:color w:val="000000"/>
                <w:sz w:val="22"/>
                <w:szCs w:val="22"/>
                <w:lang w:val="es-ES" w:eastAsia="es-ES"/>
              </w:rPr>
            </w:pPr>
          </w:p>
        </w:tc>
      </w:tr>
    </w:tbl>
    <w:p w:rsidR="009E59D0" w:rsidRDefault="00DC241A">
      <w:pPr>
        <w:widowControl w:val="0"/>
        <w:tabs>
          <w:tab w:val="left" w:pos="567"/>
        </w:tabs>
        <w:jc w:val="both"/>
        <w:rPr>
          <w:b/>
          <w:color w:val="000000"/>
          <w:sz w:val="24"/>
          <w:szCs w:val="24"/>
        </w:rPr>
      </w:pPr>
      <w:r>
        <w:br w:type="page"/>
      </w:r>
    </w:p>
    <w:p w:rsidR="009E59D0" w:rsidRDefault="00DC241A">
      <w:pPr>
        <w:widowControl w:val="0"/>
        <w:tabs>
          <w:tab w:val="left" w:pos="567"/>
        </w:tabs>
        <w:jc w:val="both"/>
      </w:pPr>
      <w:r>
        <w:rPr>
          <w:b/>
          <w:color w:val="000000"/>
          <w:sz w:val="22"/>
          <w:szCs w:val="22"/>
        </w:rPr>
        <w:lastRenderedPageBreak/>
        <w:t>13.1.1.3</w:t>
      </w:r>
      <w:r>
        <w:rPr>
          <w:b/>
          <w:sz w:val="22"/>
        </w:rPr>
        <w:t xml:space="preserve">Mejora en la frecuencia de </w:t>
      </w:r>
      <w:r>
        <w:rPr>
          <w:b/>
          <w:sz w:val="22"/>
        </w:rPr>
        <w:t>revisión de todos los neumáticos de la flota,</w:t>
      </w:r>
    </w:p>
    <w:p w:rsidR="009E59D0" w:rsidRDefault="009E59D0">
      <w:pPr>
        <w:widowControl w:val="0"/>
        <w:tabs>
          <w:tab w:val="left" w:pos="567"/>
        </w:tabs>
        <w:jc w:val="both"/>
        <w:rPr>
          <w:b/>
          <w:color w:val="000000"/>
          <w:sz w:val="22"/>
          <w:szCs w:val="22"/>
        </w:rPr>
      </w:pPr>
    </w:p>
    <w:tbl>
      <w:tblPr>
        <w:tblW w:w="4688" w:type="dxa"/>
        <w:tblInd w:w="-5" w:type="dxa"/>
        <w:tblLayout w:type="fixed"/>
        <w:tblCellMar>
          <w:left w:w="70" w:type="dxa"/>
          <w:right w:w="70" w:type="dxa"/>
        </w:tblCellMar>
        <w:tblLook w:val="0000" w:firstRow="0" w:lastRow="0" w:firstColumn="0" w:lastColumn="0" w:noHBand="0" w:noVBand="0"/>
      </w:tblPr>
      <w:tblGrid>
        <w:gridCol w:w="2127"/>
        <w:gridCol w:w="2561"/>
      </w:tblGrid>
      <w:tr w:rsidR="009E59D0">
        <w:trPr>
          <w:trHeight w:val="492"/>
        </w:trPr>
        <w:tc>
          <w:tcPr>
            <w:tcW w:w="2127" w:type="dxa"/>
            <w:tcBorders>
              <w:top w:val="single" w:sz="4" w:space="0" w:color="000000"/>
              <w:left w:val="single" w:sz="4" w:space="0" w:color="000000"/>
              <w:bottom w:val="single" w:sz="4" w:space="0" w:color="000000"/>
              <w:right w:val="single" w:sz="4" w:space="0" w:color="000000"/>
            </w:tcBorders>
            <w:vAlign w:val="center"/>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Frecuencia</w:t>
            </w:r>
          </w:p>
        </w:tc>
        <w:tc>
          <w:tcPr>
            <w:tcW w:w="2561"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Propuesta (señalar la opción elegida)</w:t>
            </w:r>
          </w:p>
        </w:tc>
      </w:tr>
      <w:tr w:rsidR="009E59D0">
        <w:trPr>
          <w:trHeight w:val="276"/>
        </w:trPr>
        <w:tc>
          <w:tcPr>
            <w:tcW w:w="2127"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lang w:eastAsia="es-ES"/>
              </w:rPr>
            </w:pPr>
            <w:r>
              <w:rPr>
                <w:color w:val="000000"/>
                <w:sz w:val="22"/>
                <w:lang w:eastAsia="es-ES"/>
              </w:rPr>
              <w:t>Mensual</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127"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Quincenal</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127"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Semanal</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bl>
    <w:p w:rsidR="009E59D0" w:rsidRDefault="009E59D0">
      <w:pPr>
        <w:widowControl w:val="0"/>
        <w:spacing w:line="360" w:lineRule="auto"/>
        <w:jc w:val="both"/>
        <w:rPr>
          <w:color w:val="00000A"/>
          <w:sz w:val="22"/>
          <w:szCs w:val="22"/>
        </w:rPr>
      </w:pPr>
    </w:p>
    <w:p w:rsidR="009E59D0" w:rsidRDefault="009E59D0">
      <w:pPr>
        <w:widowControl w:val="0"/>
        <w:tabs>
          <w:tab w:val="left" w:pos="567"/>
        </w:tabs>
        <w:ind w:left="1440"/>
        <w:jc w:val="both"/>
        <w:rPr>
          <w:color w:val="000000"/>
          <w:sz w:val="22"/>
          <w:szCs w:val="22"/>
        </w:rPr>
      </w:pPr>
    </w:p>
    <w:p w:rsidR="009E59D0" w:rsidRDefault="00DC241A">
      <w:pPr>
        <w:jc w:val="both"/>
      </w:pPr>
      <w:r>
        <w:rPr>
          <w:b/>
          <w:color w:val="000000"/>
          <w:sz w:val="22"/>
          <w:szCs w:val="22"/>
        </w:rPr>
        <w:t>13.1.1.4</w:t>
      </w:r>
      <w:r>
        <w:rPr>
          <w:b/>
          <w:sz w:val="22"/>
        </w:rPr>
        <w:t>Mejora en el plazo de respuesta ante incidencias en ruta en horario laborable,</w:t>
      </w:r>
    </w:p>
    <w:p w:rsidR="009E59D0" w:rsidRDefault="009E59D0">
      <w:pPr>
        <w:jc w:val="both"/>
        <w:rPr>
          <w:b/>
          <w:sz w:val="22"/>
        </w:rPr>
      </w:pPr>
    </w:p>
    <w:tbl>
      <w:tblPr>
        <w:tblW w:w="5113" w:type="dxa"/>
        <w:tblInd w:w="-5" w:type="dxa"/>
        <w:tblLayout w:type="fixed"/>
        <w:tblCellMar>
          <w:left w:w="70" w:type="dxa"/>
          <w:right w:w="70" w:type="dxa"/>
        </w:tblCellMar>
        <w:tblLook w:val="0000" w:firstRow="0" w:lastRow="0" w:firstColumn="0" w:lastColumn="0" w:noHBand="0" w:noVBand="0"/>
      </w:tblPr>
      <w:tblGrid>
        <w:gridCol w:w="2552"/>
        <w:gridCol w:w="2561"/>
      </w:tblGrid>
      <w:tr w:rsidR="009E59D0">
        <w:trPr>
          <w:trHeight w:val="492"/>
        </w:trPr>
        <w:tc>
          <w:tcPr>
            <w:tcW w:w="2552" w:type="dxa"/>
            <w:tcBorders>
              <w:top w:val="single" w:sz="4" w:space="0" w:color="000000"/>
              <w:left w:val="single" w:sz="4" w:space="0" w:color="000000"/>
              <w:bottom w:val="single" w:sz="4" w:space="0" w:color="000000"/>
              <w:right w:val="single" w:sz="4" w:space="0" w:color="000000"/>
            </w:tcBorders>
            <w:vAlign w:val="center"/>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Plazo de respuesta</w:t>
            </w:r>
          </w:p>
        </w:tc>
        <w:tc>
          <w:tcPr>
            <w:tcW w:w="2561"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Propuesta (señalar</w:t>
            </w:r>
            <w:r>
              <w:rPr>
                <w:b/>
                <w:bCs/>
                <w:color w:val="000000"/>
                <w:sz w:val="22"/>
                <w:szCs w:val="22"/>
                <w:lang w:val="es-ES" w:eastAsia="es-ES"/>
              </w:rPr>
              <w:t xml:space="preserve"> la opción elegida)</w:t>
            </w: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1 hora</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45 minutos</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30 minutos</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bl>
    <w:p w:rsidR="009E59D0" w:rsidRDefault="009E59D0">
      <w:pPr>
        <w:jc w:val="both"/>
        <w:rPr>
          <w:b/>
          <w:sz w:val="22"/>
        </w:rPr>
      </w:pPr>
    </w:p>
    <w:p w:rsidR="009E59D0" w:rsidRDefault="009E59D0">
      <w:pPr>
        <w:widowControl w:val="0"/>
        <w:tabs>
          <w:tab w:val="left" w:pos="567"/>
        </w:tabs>
        <w:ind w:left="1440"/>
        <w:jc w:val="both"/>
        <w:rPr>
          <w:b/>
          <w:color w:val="000000"/>
          <w:sz w:val="22"/>
          <w:szCs w:val="22"/>
        </w:rPr>
      </w:pPr>
    </w:p>
    <w:p w:rsidR="009E59D0" w:rsidRDefault="00DC241A">
      <w:pPr>
        <w:jc w:val="both"/>
      </w:pPr>
      <w:r>
        <w:rPr>
          <w:b/>
          <w:color w:val="000000"/>
          <w:sz w:val="22"/>
          <w:szCs w:val="22"/>
        </w:rPr>
        <w:t>13.1.1.5</w:t>
      </w:r>
      <w:r>
        <w:rPr>
          <w:b/>
          <w:sz w:val="22"/>
        </w:rPr>
        <w:t>Mejora en el plazo de respuesta frente a incidencias en ruta en horario nocturno o festivo</w:t>
      </w:r>
    </w:p>
    <w:p w:rsidR="009E59D0" w:rsidRDefault="009E59D0">
      <w:pPr>
        <w:jc w:val="both"/>
        <w:rPr>
          <w:b/>
          <w:sz w:val="22"/>
        </w:rPr>
      </w:pPr>
    </w:p>
    <w:tbl>
      <w:tblPr>
        <w:tblW w:w="5113" w:type="dxa"/>
        <w:tblInd w:w="-5" w:type="dxa"/>
        <w:tblLayout w:type="fixed"/>
        <w:tblCellMar>
          <w:left w:w="70" w:type="dxa"/>
          <w:right w:w="70" w:type="dxa"/>
        </w:tblCellMar>
        <w:tblLook w:val="0000" w:firstRow="0" w:lastRow="0" w:firstColumn="0" w:lastColumn="0" w:noHBand="0" w:noVBand="0"/>
      </w:tblPr>
      <w:tblGrid>
        <w:gridCol w:w="2552"/>
        <w:gridCol w:w="2561"/>
      </w:tblGrid>
      <w:tr w:rsidR="009E59D0">
        <w:trPr>
          <w:trHeight w:val="492"/>
        </w:trPr>
        <w:tc>
          <w:tcPr>
            <w:tcW w:w="2552" w:type="dxa"/>
            <w:tcBorders>
              <w:top w:val="single" w:sz="4" w:space="0" w:color="000000"/>
              <w:left w:val="single" w:sz="4" w:space="0" w:color="000000"/>
              <w:bottom w:val="single" w:sz="4" w:space="0" w:color="000000"/>
              <w:right w:val="single" w:sz="4" w:space="0" w:color="000000"/>
            </w:tcBorders>
            <w:vAlign w:val="center"/>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Plazo de respuesta</w:t>
            </w:r>
          </w:p>
        </w:tc>
        <w:tc>
          <w:tcPr>
            <w:tcW w:w="2561" w:type="dxa"/>
            <w:tcBorders>
              <w:top w:val="single" w:sz="4" w:space="0" w:color="000000"/>
              <w:bottom w:val="single" w:sz="4" w:space="0" w:color="000000"/>
              <w:right w:val="single" w:sz="4" w:space="0" w:color="000000"/>
            </w:tcBorders>
            <w:vAlign w:val="bottom"/>
          </w:tcPr>
          <w:p w:rsidR="009E59D0" w:rsidRDefault="00DC241A">
            <w:pPr>
              <w:suppressAutoHyphens w:val="0"/>
              <w:jc w:val="center"/>
              <w:rPr>
                <w:b/>
                <w:bCs/>
                <w:color w:val="000000"/>
                <w:sz w:val="22"/>
                <w:szCs w:val="22"/>
                <w:lang w:val="es-ES" w:eastAsia="es-ES"/>
              </w:rPr>
            </w:pPr>
            <w:r>
              <w:rPr>
                <w:b/>
                <w:bCs/>
                <w:color w:val="000000"/>
                <w:sz w:val="22"/>
                <w:szCs w:val="22"/>
                <w:lang w:val="es-ES" w:eastAsia="es-ES"/>
              </w:rPr>
              <w:t>Propuesta (señalar la opción elegida)</w:t>
            </w: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2 horas</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1 hora y 30 minutos</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r w:rsidR="009E59D0">
        <w:trPr>
          <w:trHeight w:val="276"/>
        </w:trPr>
        <w:tc>
          <w:tcPr>
            <w:tcW w:w="2552" w:type="dxa"/>
            <w:tcBorders>
              <w:left w:val="single" w:sz="4" w:space="0" w:color="000000"/>
              <w:bottom w:val="single" w:sz="4" w:space="0" w:color="000000"/>
              <w:right w:val="single" w:sz="4" w:space="0" w:color="000000"/>
            </w:tcBorders>
            <w:vAlign w:val="bottom"/>
          </w:tcPr>
          <w:p w:rsidR="009E59D0" w:rsidRDefault="00DC241A">
            <w:pPr>
              <w:suppressAutoHyphens w:val="0"/>
              <w:rPr>
                <w:color w:val="000000"/>
                <w:sz w:val="22"/>
                <w:szCs w:val="22"/>
                <w:lang w:val="es-ES" w:eastAsia="es-ES"/>
              </w:rPr>
            </w:pPr>
            <w:r>
              <w:rPr>
                <w:color w:val="000000"/>
                <w:sz w:val="22"/>
                <w:szCs w:val="22"/>
                <w:lang w:val="es-ES" w:eastAsia="es-ES"/>
              </w:rPr>
              <w:t>1 hora</w:t>
            </w:r>
          </w:p>
        </w:tc>
        <w:tc>
          <w:tcPr>
            <w:tcW w:w="2561" w:type="dxa"/>
            <w:tcBorders>
              <w:bottom w:val="single" w:sz="4" w:space="0" w:color="000000"/>
              <w:right w:val="single" w:sz="4" w:space="0" w:color="000000"/>
            </w:tcBorders>
            <w:vAlign w:val="bottom"/>
          </w:tcPr>
          <w:p w:rsidR="009E59D0" w:rsidRDefault="009E59D0">
            <w:pPr>
              <w:suppressAutoHyphens w:val="0"/>
              <w:rPr>
                <w:color w:val="000000"/>
                <w:sz w:val="22"/>
                <w:szCs w:val="22"/>
                <w:lang w:val="es-ES" w:eastAsia="es-ES"/>
              </w:rPr>
            </w:pPr>
          </w:p>
        </w:tc>
      </w:tr>
    </w:tbl>
    <w:p w:rsidR="009E59D0" w:rsidRDefault="009E59D0">
      <w:pPr>
        <w:jc w:val="both"/>
        <w:rPr>
          <w:b/>
          <w:sz w:val="22"/>
        </w:rPr>
      </w:pPr>
    </w:p>
    <w:p w:rsidR="009E59D0" w:rsidRDefault="009E59D0">
      <w:pPr>
        <w:jc w:val="both"/>
        <w:rPr>
          <w:b/>
          <w:sz w:val="22"/>
        </w:rPr>
      </w:pPr>
    </w:p>
    <w:p w:rsidR="009E59D0" w:rsidRDefault="009E59D0">
      <w:pPr>
        <w:widowControl w:val="0"/>
        <w:spacing w:line="360" w:lineRule="auto"/>
        <w:jc w:val="both"/>
        <w:rPr>
          <w:b/>
          <w:color w:val="00000A"/>
          <w:sz w:val="22"/>
          <w:szCs w:val="22"/>
        </w:rPr>
      </w:pPr>
    </w:p>
    <w:p w:rsidR="009E59D0" w:rsidRDefault="009E59D0">
      <w:pPr>
        <w:widowControl w:val="0"/>
        <w:spacing w:line="360" w:lineRule="auto"/>
        <w:jc w:val="both"/>
        <w:rPr>
          <w:b/>
          <w:color w:val="00000A"/>
          <w:sz w:val="22"/>
          <w:szCs w:val="22"/>
        </w:rPr>
      </w:pPr>
    </w:p>
    <w:p w:rsidR="009E59D0" w:rsidRDefault="00DC241A">
      <w:pPr>
        <w:widowControl w:val="0"/>
        <w:spacing w:line="360" w:lineRule="auto"/>
        <w:jc w:val="both"/>
        <w:rPr>
          <w:color w:val="00000A"/>
          <w:sz w:val="22"/>
          <w:szCs w:val="22"/>
        </w:rPr>
      </w:pPr>
      <w:r>
        <w:rPr>
          <w:color w:val="00000A"/>
          <w:sz w:val="22"/>
          <w:szCs w:val="22"/>
        </w:rPr>
        <w:t>(Lugar y fecha)</w:t>
      </w:r>
    </w:p>
    <w:p w:rsidR="009E59D0" w:rsidRDefault="00DC241A">
      <w:pPr>
        <w:widowControl w:val="0"/>
        <w:spacing w:line="360" w:lineRule="auto"/>
        <w:jc w:val="both"/>
        <w:rPr>
          <w:color w:val="00000A"/>
          <w:sz w:val="22"/>
          <w:szCs w:val="22"/>
        </w:rPr>
      </w:pPr>
      <w:r>
        <w:rPr>
          <w:color w:val="00000A"/>
          <w:sz w:val="22"/>
          <w:szCs w:val="22"/>
        </w:rPr>
        <w:t>Firma del/de la declarante</w:t>
      </w:r>
    </w:p>
    <w:p w:rsidR="009E59D0" w:rsidRDefault="00DC241A">
      <w:pPr>
        <w:spacing w:line="360" w:lineRule="auto"/>
        <w:rPr>
          <w:color w:val="00000A"/>
          <w:sz w:val="22"/>
          <w:szCs w:val="22"/>
        </w:rPr>
      </w:pPr>
      <w:r>
        <w:rPr>
          <w:color w:val="00000A"/>
          <w:sz w:val="22"/>
          <w:szCs w:val="22"/>
        </w:rPr>
        <w:t>Sello de la empresa</w:t>
      </w:r>
      <w:r>
        <w:br w:type="page"/>
      </w:r>
    </w:p>
    <w:p w:rsidR="009E59D0" w:rsidRDefault="00DC241A">
      <w:pPr>
        <w:spacing w:line="360" w:lineRule="auto"/>
        <w:ind w:right="-454"/>
        <w:jc w:val="both"/>
        <w:rPr>
          <w:b/>
          <w:sz w:val="22"/>
          <w:szCs w:val="22"/>
        </w:rPr>
      </w:pPr>
      <w:r>
        <w:rPr>
          <w:b/>
          <w:sz w:val="22"/>
          <w:szCs w:val="22"/>
        </w:rPr>
        <w:lastRenderedPageBreak/>
        <w:t>ANEXO 2 - MODELO DE DECLARACIÓN DE PORCENTAJE DE TRABAJADORES/AS CON DISCAPACIDAD EN LA EMPRESA.</w:t>
      </w:r>
    </w:p>
    <w:p w:rsidR="009E59D0" w:rsidRDefault="009E59D0">
      <w:pPr>
        <w:spacing w:line="360" w:lineRule="auto"/>
        <w:rPr>
          <w:b/>
        </w:rPr>
      </w:pPr>
    </w:p>
    <w:p w:rsidR="009E59D0" w:rsidRDefault="009E59D0">
      <w:pPr>
        <w:spacing w:line="360" w:lineRule="auto"/>
        <w:ind w:right="991"/>
        <w:rPr>
          <w:b/>
        </w:rPr>
      </w:pPr>
    </w:p>
    <w:p w:rsidR="009E59D0" w:rsidRDefault="009E59D0">
      <w:pPr>
        <w:ind w:left="-426" w:firstLine="426"/>
        <w:jc w:val="both"/>
        <w:rPr>
          <w:b/>
        </w:rPr>
      </w:pPr>
    </w:p>
    <w:p w:rsidR="009E59D0" w:rsidRDefault="00DC241A">
      <w:pPr>
        <w:spacing w:before="120" w:after="100" w:line="480" w:lineRule="auto"/>
        <w:ind w:right="-425"/>
        <w:jc w:val="both"/>
      </w:pPr>
      <w:r>
        <w:rPr>
          <w:sz w:val="22"/>
          <w:szCs w:val="22"/>
        </w:rPr>
        <w:t xml:space="preserve">EnNa____________________________________________________________________________, con </w:t>
      </w:r>
      <w:r>
        <w:rPr>
          <w:sz w:val="22"/>
          <w:szCs w:val="22"/>
        </w:rPr>
        <w:t>Documento Nacional de Identidad núm. ______________, con domicilio a efectos de notificación a_____________________, calle ____ núm.____, en nombre propio o en representación de ______________________________________________________________________________</w:t>
      </w:r>
      <w:r>
        <w:rPr>
          <w:sz w:val="22"/>
          <w:szCs w:val="22"/>
        </w:rPr>
        <w:t>___, con NIF___________ declaro:</w:t>
      </w:r>
    </w:p>
    <w:p w:rsidR="009E59D0" w:rsidRDefault="009E59D0">
      <w:pPr>
        <w:ind w:right="-142"/>
        <w:jc w:val="both"/>
        <w:rPr>
          <w:sz w:val="22"/>
          <w:szCs w:val="22"/>
        </w:rPr>
      </w:pPr>
    </w:p>
    <w:p w:rsidR="009E59D0" w:rsidRDefault="009E59D0">
      <w:pPr>
        <w:ind w:left="-426" w:right="-142"/>
        <w:jc w:val="both"/>
        <w:rPr>
          <w:sz w:val="22"/>
          <w:szCs w:val="22"/>
        </w:rPr>
      </w:pPr>
    </w:p>
    <w:p w:rsidR="009E59D0" w:rsidRDefault="00DC241A">
      <w:pPr>
        <w:ind w:right="-454"/>
        <w:jc w:val="both"/>
        <w:rPr>
          <w:sz w:val="22"/>
          <w:szCs w:val="22"/>
        </w:rPr>
      </w:pPr>
      <w:r>
        <w:rPr>
          <w:sz w:val="22"/>
          <w:szCs w:val="22"/>
        </w:rPr>
        <w:t>Que el porcentaje total de trabajadores con discapacidad en la plantilla de la empresa es del ____ %</w:t>
      </w:r>
    </w:p>
    <w:p w:rsidR="009E59D0" w:rsidRDefault="009E59D0">
      <w:pPr>
        <w:ind w:left="-426" w:right="-142"/>
        <w:jc w:val="both"/>
        <w:rPr>
          <w:sz w:val="22"/>
          <w:szCs w:val="22"/>
        </w:rPr>
      </w:pPr>
    </w:p>
    <w:p w:rsidR="009E59D0" w:rsidRDefault="00DC241A">
      <w:pPr>
        <w:ind w:right="-142"/>
        <w:jc w:val="both"/>
        <w:rPr>
          <w:sz w:val="22"/>
          <w:szCs w:val="22"/>
        </w:rPr>
      </w:pPr>
      <w:r>
        <w:rPr>
          <w:sz w:val="22"/>
          <w:szCs w:val="22"/>
        </w:rPr>
        <w:t>Que el porcentaje de trabajadores fijos con discapacidad en la plantilla es del _____ %</w:t>
      </w:r>
    </w:p>
    <w:p w:rsidR="009E59D0" w:rsidRDefault="009E59D0">
      <w:pPr>
        <w:pStyle w:val="Pargrafdellista"/>
        <w:ind w:right="-142"/>
        <w:jc w:val="both"/>
        <w:rPr>
          <w:sz w:val="22"/>
          <w:szCs w:val="22"/>
        </w:rPr>
      </w:pPr>
    </w:p>
    <w:p w:rsidR="009E59D0" w:rsidRDefault="009E59D0">
      <w:pPr>
        <w:pStyle w:val="Pargrafdellista"/>
        <w:ind w:right="-142"/>
        <w:jc w:val="both"/>
        <w:rPr>
          <w:sz w:val="24"/>
          <w:szCs w:val="24"/>
        </w:rPr>
      </w:pPr>
    </w:p>
    <w:p w:rsidR="009E59D0" w:rsidRDefault="009E59D0">
      <w:pPr>
        <w:pStyle w:val="Pargrafdellista"/>
        <w:ind w:right="-142"/>
        <w:jc w:val="both"/>
        <w:rPr>
          <w:sz w:val="24"/>
          <w:szCs w:val="24"/>
        </w:rPr>
      </w:pPr>
    </w:p>
    <w:p w:rsidR="009E59D0" w:rsidRDefault="009E59D0">
      <w:pPr>
        <w:pStyle w:val="Pargrafdellista"/>
        <w:ind w:right="-142"/>
        <w:jc w:val="both"/>
        <w:rPr>
          <w:sz w:val="24"/>
          <w:szCs w:val="24"/>
        </w:rPr>
      </w:pPr>
    </w:p>
    <w:p w:rsidR="009E59D0" w:rsidRDefault="009E59D0">
      <w:pPr>
        <w:pStyle w:val="Pargrafdellista"/>
        <w:ind w:right="-142"/>
        <w:jc w:val="both"/>
      </w:pPr>
    </w:p>
    <w:p w:rsidR="009E59D0" w:rsidRDefault="009E59D0">
      <w:pPr>
        <w:pStyle w:val="Pargrafdellista"/>
        <w:ind w:right="-142"/>
        <w:jc w:val="both"/>
      </w:pPr>
    </w:p>
    <w:p w:rsidR="009E59D0" w:rsidRDefault="009E59D0">
      <w:pPr>
        <w:pStyle w:val="Pargrafdellista"/>
        <w:ind w:right="-142"/>
        <w:jc w:val="both"/>
      </w:pPr>
    </w:p>
    <w:p w:rsidR="009E59D0" w:rsidRDefault="009E59D0">
      <w:pPr>
        <w:pStyle w:val="Pargrafdellista"/>
        <w:ind w:right="-142"/>
        <w:jc w:val="both"/>
      </w:pPr>
    </w:p>
    <w:p w:rsidR="009E59D0" w:rsidRDefault="00DC241A">
      <w:pPr>
        <w:pStyle w:val="Pargrafdellista"/>
        <w:ind w:left="0" w:right="-142"/>
        <w:jc w:val="both"/>
        <w:rPr>
          <w:sz w:val="22"/>
          <w:szCs w:val="22"/>
        </w:rPr>
      </w:pPr>
      <w:r>
        <w:rPr>
          <w:sz w:val="22"/>
          <w:szCs w:val="22"/>
        </w:rPr>
        <w:t>(Lugar y fecha)</w:t>
      </w:r>
    </w:p>
    <w:p w:rsidR="009E59D0" w:rsidRDefault="00DC241A">
      <w:pPr>
        <w:pStyle w:val="Pargrafdellista"/>
        <w:ind w:left="0" w:right="-142"/>
        <w:jc w:val="both"/>
        <w:rPr>
          <w:sz w:val="22"/>
          <w:szCs w:val="22"/>
        </w:rPr>
      </w:pPr>
      <w:r>
        <w:rPr>
          <w:sz w:val="22"/>
          <w:szCs w:val="22"/>
        </w:rPr>
        <w:t>Firma d</w:t>
      </w:r>
      <w:r>
        <w:rPr>
          <w:sz w:val="22"/>
          <w:szCs w:val="22"/>
        </w:rPr>
        <w:t>el/de la declarante</w:t>
      </w:r>
    </w:p>
    <w:p w:rsidR="009E59D0" w:rsidRDefault="00DC241A">
      <w:pPr>
        <w:pStyle w:val="Pargrafdellista"/>
        <w:ind w:left="0" w:right="-142"/>
        <w:jc w:val="both"/>
        <w:rPr>
          <w:sz w:val="22"/>
          <w:szCs w:val="22"/>
        </w:rPr>
      </w:pPr>
      <w:r>
        <w:rPr>
          <w:sz w:val="22"/>
          <w:szCs w:val="22"/>
        </w:rPr>
        <w:t>Sello de la empresa</w:t>
      </w:r>
    </w:p>
    <w:p w:rsidR="009E59D0" w:rsidRDefault="009E59D0">
      <w:pPr>
        <w:pStyle w:val="Pargrafdellista"/>
        <w:ind w:left="0" w:right="-850"/>
        <w:jc w:val="both"/>
        <w:rPr>
          <w:sz w:val="22"/>
          <w:szCs w:val="22"/>
        </w:rPr>
      </w:pPr>
    </w:p>
    <w:p w:rsidR="009E59D0" w:rsidRDefault="00DC241A">
      <w:pPr>
        <w:spacing w:line="360" w:lineRule="auto"/>
        <w:ind w:right="-850"/>
        <w:rPr>
          <w:color w:val="00000A"/>
          <w:sz w:val="22"/>
          <w:szCs w:val="22"/>
        </w:rPr>
      </w:pPr>
      <w:r>
        <w:br w:type="page"/>
      </w:r>
    </w:p>
    <w:p w:rsidR="009E59D0" w:rsidRDefault="00DC241A">
      <w:pPr>
        <w:pStyle w:val="Textosinformato"/>
        <w:spacing w:line="360" w:lineRule="auto"/>
        <w:jc w:val="both"/>
      </w:pPr>
      <w:r>
        <w:rPr>
          <w:rFonts w:ascii="Arial" w:hAnsi="Arial" w:cs="Arial"/>
          <w:b/>
          <w:sz w:val="22"/>
          <w:szCs w:val="22"/>
        </w:rPr>
        <w:lastRenderedPageBreak/>
        <w:t>ANEXO 3 – MODELO DE DECLARACIÓN DE ACEPTACIÓN DE MEDIOS ELECTRÓNICOS</w:t>
      </w:r>
      <w:r>
        <w:rPr>
          <w:rFonts w:ascii="Arial" w:hAnsi="Arial" w:cs="Arial"/>
          <w:sz w:val="22"/>
          <w:szCs w:val="22"/>
        </w:rPr>
        <w:t>:</w:t>
      </w:r>
    </w:p>
    <w:p w:rsidR="009E59D0" w:rsidRDefault="009E59D0">
      <w:pPr>
        <w:pStyle w:val="Textosinformato"/>
        <w:spacing w:line="360" w:lineRule="auto"/>
        <w:jc w:val="both"/>
        <w:rPr>
          <w:rFonts w:ascii="Arial" w:hAnsi="Arial" w:cs="Arial"/>
          <w:sz w:val="22"/>
          <w:szCs w:val="22"/>
        </w:rPr>
      </w:pPr>
    </w:p>
    <w:p w:rsidR="009E59D0" w:rsidRDefault="00DC241A">
      <w:pPr>
        <w:pStyle w:val="Textosinformato"/>
        <w:spacing w:line="360" w:lineRule="auto"/>
        <w:jc w:val="both"/>
        <w:rPr>
          <w:rFonts w:ascii="Arial" w:hAnsi="Arial" w:cs="Arial"/>
          <w:sz w:val="22"/>
          <w:szCs w:val="22"/>
        </w:rPr>
      </w:pPr>
      <w:r>
        <w:rPr>
          <w:rFonts w:ascii="Arial" w:hAnsi="Arial" w:cs="Arial"/>
          <w:sz w:val="22"/>
          <w:szCs w:val="22"/>
        </w:rPr>
        <w:t xml:space="preserve">En/Na____________________________________________________________________, con Documento Nacional de Identidad núm. ______________, con </w:t>
      </w:r>
      <w:r>
        <w:rPr>
          <w:rFonts w:ascii="Arial" w:hAnsi="Arial" w:cs="Arial"/>
          <w:sz w:val="22"/>
          <w:szCs w:val="22"/>
        </w:rPr>
        <w:t>domicilio a efectos de notificación a_____________________, calle ____ núm.____, en nombre propio o en representación de ___________________________________________________________ declaro:</w:t>
      </w:r>
    </w:p>
    <w:p w:rsidR="009E59D0" w:rsidRDefault="009E59D0">
      <w:pPr>
        <w:pStyle w:val="Textosinformato"/>
        <w:spacing w:line="360" w:lineRule="auto"/>
        <w:jc w:val="both"/>
        <w:rPr>
          <w:rFonts w:ascii="Arial" w:hAnsi="Arial" w:cs="Arial"/>
          <w:sz w:val="22"/>
          <w:szCs w:val="22"/>
        </w:rPr>
      </w:pPr>
    </w:p>
    <w:p w:rsidR="009E59D0" w:rsidRDefault="00DC241A">
      <w:pPr>
        <w:pStyle w:val="Textoindependiente3"/>
        <w:spacing w:line="360" w:lineRule="auto"/>
        <w:rPr>
          <w:sz w:val="22"/>
          <w:szCs w:val="22"/>
          <w:lang w:val="ca-ES"/>
        </w:rPr>
      </w:pPr>
      <w:r>
        <w:rPr>
          <w:sz w:val="22"/>
          <w:szCs w:val="22"/>
          <w:lang w:val="ca-ES"/>
        </w:rPr>
        <w:t>Que acepto los medios electrónicos para la realización de las not</w:t>
      </w:r>
      <w:r>
        <w:rPr>
          <w:sz w:val="22"/>
          <w:szCs w:val="22"/>
          <w:lang w:val="ca-ES"/>
        </w:rPr>
        <w:t>ificaciones administrativas (art. 58 de la Ley 30/1992, de 26 de noviembre, de régimen jurídico de las administraciones públicas y del procedimiento administrativo común) en este expediente de contratación, de conformidad con los datos que se indican:</w:t>
      </w:r>
    </w:p>
    <w:p w:rsidR="009E59D0" w:rsidRDefault="009E59D0">
      <w:pPr>
        <w:pStyle w:val="Textoindependiente3"/>
        <w:spacing w:line="360" w:lineRule="auto"/>
        <w:rPr>
          <w:sz w:val="22"/>
          <w:szCs w:val="22"/>
          <w:lang w:val="ca-ES"/>
        </w:rPr>
      </w:pPr>
    </w:p>
    <w:p w:rsidR="009E59D0" w:rsidRDefault="009E59D0">
      <w:pPr>
        <w:pStyle w:val="Textoindependiente3"/>
        <w:spacing w:line="360" w:lineRule="auto"/>
        <w:rPr>
          <w:sz w:val="22"/>
          <w:szCs w:val="22"/>
          <w:lang w:val="ca-ES"/>
        </w:rPr>
      </w:pPr>
    </w:p>
    <w:tbl>
      <w:tblPr>
        <w:tblW w:w="9082" w:type="dxa"/>
        <w:tblInd w:w="-5" w:type="dxa"/>
        <w:tblLayout w:type="fixed"/>
        <w:tblCellMar>
          <w:left w:w="70" w:type="dxa"/>
          <w:right w:w="70" w:type="dxa"/>
        </w:tblCellMar>
        <w:tblLook w:val="0000" w:firstRow="0" w:lastRow="0" w:firstColumn="0" w:lastColumn="0" w:noHBand="0" w:noVBand="0"/>
      </w:tblPr>
      <w:tblGrid>
        <w:gridCol w:w="2835"/>
        <w:gridCol w:w="1276"/>
        <w:gridCol w:w="3260"/>
        <w:gridCol w:w="1711"/>
      </w:tblGrid>
      <w:tr w:rsidR="009E59D0">
        <w:tc>
          <w:tcPr>
            <w:tcW w:w="2835" w:type="dxa"/>
            <w:tcBorders>
              <w:top w:val="single" w:sz="4" w:space="0" w:color="000000"/>
              <w:left w:val="single" w:sz="4" w:space="0" w:color="000000"/>
              <w:bottom w:val="single" w:sz="4" w:space="0" w:color="000000"/>
              <w:right w:val="single" w:sz="4" w:space="0" w:color="000000"/>
            </w:tcBorders>
          </w:tcPr>
          <w:p w:rsidR="009E59D0" w:rsidRDefault="00DC241A">
            <w:pPr>
              <w:pStyle w:val="Textoindependiente3"/>
              <w:spacing w:before="120" w:after="120"/>
              <w:jc w:val="center"/>
            </w:pPr>
            <w:r>
              <w:rPr>
                <w:sz w:val="22"/>
                <w:szCs w:val="22"/>
                <w:lang w:val="ca-ES"/>
              </w:rPr>
              <w:t>Pe</w:t>
            </w:r>
            <w:r>
              <w:rPr>
                <w:sz w:val="22"/>
                <w:szCs w:val="22"/>
                <w:lang w:val="ca-ES"/>
              </w:rPr>
              <w:t>rsona autorizada</w:t>
            </w:r>
            <w:r>
              <w:rPr>
                <w:color w:val="FF0000"/>
                <w:sz w:val="22"/>
                <w:szCs w:val="22"/>
                <w:lang w:val="ca-ES"/>
              </w:rPr>
              <w:t>*</w:t>
            </w:r>
          </w:p>
        </w:tc>
        <w:tc>
          <w:tcPr>
            <w:tcW w:w="1276" w:type="dxa"/>
            <w:tcBorders>
              <w:top w:val="single" w:sz="4" w:space="0" w:color="000000"/>
              <w:left w:val="single" w:sz="4" w:space="0" w:color="000000"/>
              <w:bottom w:val="single" w:sz="4" w:space="0" w:color="000000"/>
              <w:right w:val="single" w:sz="4" w:space="0" w:color="000000"/>
            </w:tcBorders>
          </w:tcPr>
          <w:p w:rsidR="009E59D0" w:rsidRDefault="00DC241A">
            <w:pPr>
              <w:pStyle w:val="Textoindependiente3"/>
              <w:spacing w:before="120" w:after="120"/>
              <w:jc w:val="center"/>
            </w:pPr>
            <w:r>
              <w:rPr>
                <w:sz w:val="22"/>
                <w:szCs w:val="22"/>
                <w:lang w:val="ca-ES"/>
              </w:rPr>
              <w:t>NIF</w:t>
            </w:r>
            <w:r>
              <w:rPr>
                <w:color w:val="FF0000"/>
                <w:sz w:val="22"/>
                <w:szCs w:val="22"/>
                <w:lang w:val="ca-ES"/>
              </w:rPr>
              <w:t>*</w:t>
            </w:r>
          </w:p>
        </w:tc>
        <w:tc>
          <w:tcPr>
            <w:tcW w:w="3260" w:type="dxa"/>
            <w:tcBorders>
              <w:top w:val="single" w:sz="4" w:space="0" w:color="000000"/>
              <w:left w:val="single" w:sz="4" w:space="0" w:color="000000"/>
              <w:bottom w:val="single" w:sz="4" w:space="0" w:color="000000"/>
              <w:right w:val="single" w:sz="4" w:space="0" w:color="000000"/>
            </w:tcBorders>
          </w:tcPr>
          <w:p w:rsidR="009E59D0" w:rsidRDefault="00DC241A">
            <w:pPr>
              <w:pStyle w:val="Textoindependiente3"/>
              <w:spacing w:before="120" w:after="120"/>
              <w:jc w:val="center"/>
            </w:pPr>
            <w:r>
              <w:rPr>
                <w:sz w:val="22"/>
                <w:szCs w:val="22"/>
                <w:lang w:val="ca-ES"/>
              </w:rPr>
              <w:t>Correo electrónico</w:t>
            </w:r>
            <w:r>
              <w:rPr>
                <w:color w:val="FF0000"/>
                <w:sz w:val="22"/>
                <w:szCs w:val="22"/>
                <w:lang w:val="ca-ES"/>
              </w:rPr>
              <w:t>*</w:t>
            </w:r>
          </w:p>
        </w:tc>
        <w:tc>
          <w:tcPr>
            <w:tcW w:w="1711" w:type="dxa"/>
            <w:tcBorders>
              <w:top w:val="single" w:sz="4" w:space="0" w:color="000000"/>
              <w:left w:val="single" w:sz="4" w:space="0" w:color="000000"/>
              <w:bottom w:val="single" w:sz="4" w:space="0" w:color="000000"/>
              <w:right w:val="single" w:sz="4" w:space="0" w:color="000000"/>
            </w:tcBorders>
          </w:tcPr>
          <w:p w:rsidR="009E59D0" w:rsidRDefault="00DC241A">
            <w:pPr>
              <w:pStyle w:val="Textoindependiente3"/>
              <w:spacing w:before="120" w:after="120"/>
              <w:jc w:val="center"/>
            </w:pPr>
            <w:r>
              <w:rPr>
                <w:sz w:val="22"/>
                <w:szCs w:val="22"/>
                <w:lang w:val="ca-ES"/>
              </w:rPr>
              <w:t>Móvil</w:t>
            </w:r>
            <w:r>
              <w:rPr>
                <w:color w:val="FF0000"/>
                <w:sz w:val="22"/>
                <w:szCs w:val="22"/>
                <w:lang w:val="ca-ES"/>
              </w:rPr>
              <w:t>*</w:t>
            </w:r>
          </w:p>
        </w:tc>
      </w:tr>
      <w:tr w:rsidR="009E59D0">
        <w:tc>
          <w:tcPr>
            <w:tcW w:w="2835"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1276"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3260"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1711"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r>
      <w:tr w:rsidR="009E59D0">
        <w:tc>
          <w:tcPr>
            <w:tcW w:w="2835"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1276"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3260"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c>
          <w:tcPr>
            <w:tcW w:w="1711" w:type="dxa"/>
            <w:tcBorders>
              <w:top w:val="single" w:sz="4" w:space="0" w:color="000000"/>
              <w:left w:val="single" w:sz="4" w:space="0" w:color="000000"/>
              <w:bottom w:val="single" w:sz="4" w:space="0" w:color="000000"/>
              <w:right w:val="single" w:sz="4" w:space="0" w:color="000000"/>
            </w:tcBorders>
          </w:tcPr>
          <w:p w:rsidR="009E59D0" w:rsidRDefault="009E59D0">
            <w:pPr>
              <w:pStyle w:val="Textoindependiente3"/>
              <w:snapToGrid w:val="0"/>
              <w:spacing w:before="120" w:after="120"/>
              <w:rPr>
                <w:sz w:val="22"/>
                <w:szCs w:val="22"/>
                <w:lang w:val="ca-ES"/>
              </w:rPr>
            </w:pPr>
          </w:p>
        </w:tc>
      </w:tr>
    </w:tbl>
    <w:p w:rsidR="009E59D0" w:rsidRDefault="009E59D0">
      <w:pPr>
        <w:rPr>
          <w:sz w:val="22"/>
          <w:szCs w:val="22"/>
          <w:lang w:val="es-ES"/>
        </w:rPr>
      </w:pPr>
    </w:p>
    <w:p w:rsidR="009E59D0" w:rsidRDefault="00DC241A">
      <w:r>
        <w:rPr>
          <w:color w:val="FF0000"/>
          <w:sz w:val="22"/>
          <w:szCs w:val="22"/>
        </w:rPr>
        <w:t>*</w:t>
      </w:r>
      <w:r>
        <w:rPr>
          <w:sz w:val="22"/>
          <w:szCs w:val="22"/>
        </w:rPr>
        <w:t>Campos obligatorios.</w:t>
      </w:r>
    </w:p>
    <w:p w:rsidR="009E59D0" w:rsidRDefault="009E59D0">
      <w:pPr>
        <w:rPr>
          <w:sz w:val="22"/>
          <w:szCs w:val="22"/>
          <w:lang w:val="es-ES"/>
        </w:rPr>
      </w:pPr>
    </w:p>
    <w:p w:rsidR="009E59D0" w:rsidRDefault="009E59D0">
      <w:pPr>
        <w:rPr>
          <w:sz w:val="22"/>
          <w:szCs w:val="22"/>
          <w:lang w:val="es-ES"/>
        </w:rPr>
      </w:pPr>
    </w:p>
    <w:p w:rsidR="009E59D0" w:rsidRDefault="00DC241A">
      <w:pPr>
        <w:shd w:val="clear" w:color="auto" w:fill="C0C0C0"/>
        <w:jc w:val="both"/>
      </w:pPr>
      <w:r>
        <w:t xml:space="preserve">Si el correo electrónico o teléfono móvil que ha facilitado a efectos de notificación quedara en desuso, debe comunicarlo para hacer la modificación correspondiente o </w:t>
      </w:r>
      <w:r>
        <w:t>revocar la autorización de notificación electrónica.</w:t>
      </w:r>
    </w:p>
    <w:p w:rsidR="009E59D0" w:rsidRDefault="00DC241A">
      <w:pPr>
        <w:shd w:val="clear" w:color="auto" w:fill="C0C0C0"/>
        <w:jc w:val="both"/>
        <w:rPr>
          <w:rFonts w:eastAsia="Arial"/>
        </w:rPr>
      </w:pPr>
      <w:r>
        <w:rPr>
          <w:rFonts w:eastAsia="Arial"/>
        </w:rPr>
        <w:t xml:space="preserve"> </w:t>
      </w:r>
    </w:p>
    <w:p w:rsidR="009E59D0" w:rsidRDefault="00DC241A">
      <w:pPr>
        <w:shd w:val="clear" w:color="auto" w:fill="C0C0C0"/>
        <w:jc w:val="both"/>
      </w:pPr>
      <w:r>
        <w:t>Todas las comunicaciones correspondientes a este expediente que deba efectuar Eco-equipo se dirigirán a las direcciones indicadas en esta declaración.</w:t>
      </w:r>
    </w:p>
    <w:p w:rsidR="009E59D0" w:rsidRDefault="009E59D0">
      <w:pPr>
        <w:shd w:val="clear" w:color="auto" w:fill="C0C0C0"/>
        <w:jc w:val="both"/>
      </w:pPr>
    </w:p>
    <w:p w:rsidR="009E59D0" w:rsidRDefault="009E59D0">
      <w:pPr>
        <w:rPr>
          <w:sz w:val="22"/>
          <w:szCs w:val="22"/>
          <w:lang w:val="es-ES"/>
        </w:rPr>
      </w:pPr>
    </w:p>
    <w:p w:rsidR="009E59D0" w:rsidRDefault="009E59D0">
      <w:pPr>
        <w:rPr>
          <w:sz w:val="22"/>
          <w:szCs w:val="22"/>
          <w:lang w:val="es-ES"/>
        </w:rPr>
      </w:pPr>
    </w:p>
    <w:p w:rsidR="009E59D0" w:rsidRDefault="009E59D0">
      <w:pPr>
        <w:pStyle w:val="Textosinformato"/>
        <w:spacing w:line="360" w:lineRule="auto"/>
        <w:jc w:val="both"/>
        <w:rPr>
          <w:rFonts w:ascii="Arial" w:hAnsi="Arial" w:cs="Arial"/>
          <w:color w:val="000000"/>
          <w:sz w:val="22"/>
          <w:szCs w:val="22"/>
          <w:lang w:val="es-ES"/>
        </w:rPr>
      </w:pPr>
    </w:p>
    <w:p w:rsidR="009E59D0" w:rsidRDefault="009E59D0">
      <w:pPr>
        <w:pStyle w:val="Textosinformato"/>
        <w:spacing w:line="360" w:lineRule="auto"/>
        <w:jc w:val="both"/>
        <w:rPr>
          <w:rFonts w:ascii="Arial" w:hAnsi="Arial" w:cs="Arial"/>
          <w:color w:val="000000"/>
          <w:sz w:val="22"/>
          <w:szCs w:val="22"/>
          <w:lang w:val="es-ES"/>
        </w:rPr>
      </w:pPr>
    </w:p>
    <w:p w:rsidR="009E59D0" w:rsidRDefault="009E59D0">
      <w:pPr>
        <w:pStyle w:val="Textosinformato"/>
        <w:spacing w:line="360" w:lineRule="auto"/>
        <w:jc w:val="both"/>
        <w:rPr>
          <w:rFonts w:ascii="Arial" w:hAnsi="Arial" w:cs="Arial"/>
          <w:color w:val="000000"/>
          <w:sz w:val="22"/>
          <w:szCs w:val="22"/>
          <w:lang w:val="es-ES"/>
        </w:rPr>
      </w:pPr>
    </w:p>
    <w:p w:rsidR="009E59D0" w:rsidRDefault="00DC241A">
      <w:pPr>
        <w:widowControl w:val="0"/>
        <w:spacing w:line="360" w:lineRule="auto"/>
        <w:jc w:val="both"/>
        <w:rPr>
          <w:sz w:val="22"/>
          <w:szCs w:val="22"/>
        </w:rPr>
      </w:pPr>
      <w:r>
        <w:rPr>
          <w:sz w:val="22"/>
          <w:szCs w:val="22"/>
        </w:rPr>
        <w:t>(Lugar y fecha)</w:t>
      </w:r>
    </w:p>
    <w:p w:rsidR="009E59D0" w:rsidRDefault="00DC241A">
      <w:pPr>
        <w:widowControl w:val="0"/>
        <w:spacing w:line="360" w:lineRule="auto"/>
        <w:jc w:val="both"/>
        <w:rPr>
          <w:sz w:val="22"/>
          <w:szCs w:val="22"/>
        </w:rPr>
      </w:pPr>
      <w:r>
        <w:rPr>
          <w:sz w:val="22"/>
          <w:szCs w:val="22"/>
        </w:rPr>
        <w:t>Firma del/de la declarante</w:t>
      </w:r>
    </w:p>
    <w:p w:rsidR="009E59D0" w:rsidRDefault="00DC241A">
      <w:pPr>
        <w:widowControl w:val="0"/>
        <w:spacing w:line="360" w:lineRule="auto"/>
        <w:jc w:val="both"/>
      </w:pPr>
      <w:r>
        <w:rPr>
          <w:sz w:val="22"/>
          <w:szCs w:val="22"/>
        </w:rPr>
        <w:t>Sello de la empresa</w:t>
      </w:r>
    </w:p>
    <w:p w:rsidR="009E59D0" w:rsidRDefault="009E59D0">
      <w:pPr>
        <w:jc w:val="both"/>
      </w:pPr>
      <w:bookmarkStart w:id="14" w:name="_Hlk176367806"/>
      <w:bookmarkEnd w:id="14"/>
    </w:p>
    <w:sectPr w:rsidR="009E59D0">
      <w:headerReference w:type="default" r:id="rId15"/>
      <w:footerReference w:type="default" r:id="rId16"/>
      <w:pgSz w:w="11906" w:h="16838"/>
      <w:pgMar w:top="1701" w:right="1133" w:bottom="851" w:left="1276" w:header="397" w:footer="4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241A">
      <w:r>
        <w:separator/>
      </w:r>
    </w:p>
  </w:endnote>
  <w:endnote w:type="continuationSeparator" w:id="0">
    <w:p w:rsidR="00000000" w:rsidRDefault="00DC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altName w:val="Arial"/>
    <w:panose1 w:val="020B0604020202020204"/>
    <w:charset w:val="00"/>
    <w:family w:val="swiss"/>
    <w:pitch w:val="variable"/>
  </w:font>
  <w:font w:name="CIDFont+F3;Cambria">
    <w:altName w:val="Cambria"/>
    <w:panose1 w:val="00000000000000000000"/>
    <w:charset w:val="00"/>
    <w:family w:val="roman"/>
    <w:notTrueType/>
    <w:pitch w:val="default"/>
  </w:font>
  <w:font w:name="CIDFont+F4;Cambri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9D0" w:rsidRDefault="00DC241A">
    <w:pPr>
      <w:pStyle w:val="Peu"/>
      <w:ind w:right="360"/>
      <w:rPr>
        <w:lang w:val="es-ES_tradnl"/>
      </w:rPr>
    </w:pPr>
    <w:r>
      <w:rPr>
        <w:noProof/>
      </w:rPr>
      <mc:AlternateContent>
        <mc:Choice Requires="wps">
          <w:drawing>
            <wp:anchor distT="0" distB="0" distL="0" distR="0" simplePos="0" relativeHeight="28" behindDoc="0" locked="0" layoutInCell="0" allowOverlap="1">
              <wp:simplePos x="0" y="0"/>
              <wp:positionH relativeFrom="column">
                <wp:posOffset>5767070</wp:posOffset>
              </wp:positionH>
              <wp:positionV relativeFrom="paragraph">
                <wp:posOffset>635</wp:posOffset>
              </wp:positionV>
              <wp:extent cx="205740" cy="14541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205740" cy="145415"/>
                      </a:xfrm>
                      <a:prstGeom prst="rect">
                        <a:avLst/>
                      </a:prstGeom>
                      <a:solidFill>
                        <a:srgbClr val="FFFFFF">
                          <a:alpha val="0"/>
                        </a:srgbClr>
                      </a:solidFill>
                    </wps:spPr>
                    <wps:txbx>
                      <w:txbxContent>
                        <w:p w:rsidR="009E59D0" w:rsidRDefault="00DC241A">
                          <w:pPr>
                            <w:pStyle w:val="Peu"/>
                          </w:pPr>
                          <w:r>
                            <w:rPr>
                              <w:rStyle w:val="Nmerodepgina"/>
                              <w:sz w:val="18"/>
                            </w:rPr>
                            <w:fldChar w:fldCharType="begin"/>
                          </w:r>
                          <w:r>
                            <w:rPr>
                              <w:rStyle w:val="Nmerodepgina"/>
                              <w:sz w:val="18"/>
                            </w:rPr>
                            <w:instrText>PAGE</w:instrText>
                          </w:r>
                          <w:r>
                            <w:rPr>
                              <w:rStyle w:val="Nmerodepgina"/>
                              <w:sz w:val="18"/>
                            </w:rPr>
                            <w:fldChar w:fldCharType="separate"/>
                          </w:r>
                          <w:r>
                            <w:rPr>
                              <w:rStyle w:val="Nmerodepgina"/>
                              <w:sz w:val="18"/>
                            </w:rPr>
                            <w:t>21</w:t>
                          </w:r>
                          <w:r>
                            <w:rPr>
                              <w:rStyle w:val="Nmerodepgina"/>
                              <w:sz w:val="18"/>
                            </w:rPr>
                            <w:fldChar w:fldCharType="end"/>
                          </w:r>
                        </w:p>
                      </w:txbxContent>
                    </wps:txbx>
                    <wps:bodyPr lIns="5080" tIns="5080" rIns="5080" bIns="5080" anchor="t">
                      <a:noAutofit/>
                    </wps:bodyPr>
                  </wps:wsp>
                </a:graphicData>
              </a:graphic>
            </wp:anchor>
          </w:drawing>
        </mc:Choice>
        <mc:Fallback>
          <w:pict>
            <v:rect fillcolor="#FFFFFF" style="position:absolute;rotation:0;width:16.2pt;height:11.45pt;mso-wrap-distance-left:0pt;mso-wrap-distance-right:0pt;mso-wrap-distance-top:0pt;mso-wrap-distance-bottom:0pt;margin-top:0.05pt;mso-position-vertical-relative:text;margin-left:454.1pt;mso-position-horizontal-relative:text">
              <v:fill opacity="0f"/>
              <v:textbox inset="0.00555555555555556in,0.00555555555555556in,0.00555555555555556in,0.00555555555555556in">
                <w:txbxContent>
                  <w:p>
                    <w:pPr>
                      <w:pStyle w:val="Footer"/>
                      <w:rPr/>
                    </w:pPr>
                    <w:r>
                      <w:rPr>
                        <w:rStyle w:val="PageNumber"/>
                        <w:sz w:val="18"/>
                      </w:rPr>
                      <w:fldChar w:fldCharType="begin"/>
                    </w:r>
                    <w:r>
                      <w:rPr>
                        <w:rStyle w:val="PageNumber"/>
                        <w:sz w:val="18"/>
                      </w:rPr>
                      <w:instrText> PAGE </w:instrText>
                    </w:r>
                    <w:r>
                      <w:rPr>
                        <w:rStyle w:val="PageNumber"/>
                        <w:sz w:val="18"/>
                      </w:rPr>
                      <w:fldChar w:fldCharType="separate"/>
                    </w:r>
                    <w:r>
                      <w:rPr>
                        <w:rStyle w:val="PageNumber"/>
                        <w:sz w:val="18"/>
                      </w:rPr>
                      <w:t>21</w:t>
                    </w:r>
                    <w:r>
                      <w:rPr>
                        <w:rStyle w:val="PageNumber"/>
                        <w:sz w:val="18"/>
                      </w:rPr>
                      <w:fldChar w:fldCharType="end"/>
                    </w:r>
                  </w:p>
                </w:txbxContent>
              </v:textbox>
              <w10:wrap type="square" side="larges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9D0" w:rsidRDefault="00DC241A">
    <w:pPr>
      <w:pStyle w:val="Peu"/>
      <w:ind w:right="360"/>
      <w:rPr>
        <w:lang w:val="es-ES_tradnl"/>
      </w:rPr>
    </w:pPr>
    <w:r>
      <w:rPr>
        <w:noProof/>
      </w:rPr>
      <mc:AlternateContent>
        <mc:Choice Requires="wps">
          <w:drawing>
            <wp:anchor distT="0" distB="0" distL="0" distR="0" simplePos="0" relativeHeight="5" behindDoc="0" locked="0" layoutInCell="0" allowOverlap="1">
              <wp:simplePos x="0" y="0"/>
              <wp:positionH relativeFrom="column">
                <wp:posOffset>5767070</wp:posOffset>
              </wp:positionH>
              <wp:positionV relativeFrom="paragraph">
                <wp:posOffset>635</wp:posOffset>
              </wp:positionV>
              <wp:extent cx="205740" cy="145415"/>
              <wp:effectExtent l="0" t="0" r="0" b="0"/>
              <wp:wrapSquare wrapText="largest"/>
              <wp:docPr id="4" name="Frame2"/>
              <wp:cNvGraphicFramePr/>
              <a:graphic xmlns:a="http://schemas.openxmlformats.org/drawingml/2006/main">
                <a:graphicData uri="http://schemas.microsoft.com/office/word/2010/wordprocessingShape">
                  <wps:wsp>
                    <wps:cNvSpPr txBox="1"/>
                    <wps:spPr>
                      <a:xfrm>
                        <a:off x="0" y="0"/>
                        <a:ext cx="205740" cy="145415"/>
                      </a:xfrm>
                      <a:prstGeom prst="rect">
                        <a:avLst/>
                      </a:prstGeom>
                      <a:solidFill>
                        <a:srgbClr val="FFFFFF">
                          <a:alpha val="0"/>
                        </a:srgbClr>
                      </a:solidFill>
                    </wps:spPr>
                    <wps:txbx>
                      <w:txbxContent>
                        <w:p w:rsidR="009E59D0" w:rsidRDefault="00DC241A">
                          <w:pPr>
                            <w:pStyle w:val="Peu"/>
                          </w:pPr>
                          <w:r>
                            <w:rPr>
                              <w:rStyle w:val="Nmerodepgina"/>
                              <w:sz w:val="18"/>
                            </w:rPr>
                            <w:fldChar w:fldCharType="begin"/>
                          </w:r>
                          <w:r>
                            <w:rPr>
                              <w:rStyle w:val="Nmerodepgina"/>
                              <w:sz w:val="18"/>
                            </w:rPr>
                            <w:instrText>PAGE</w:instrText>
                          </w:r>
                          <w:r>
                            <w:rPr>
                              <w:rStyle w:val="Nmerodepgina"/>
                              <w:sz w:val="18"/>
                            </w:rPr>
                            <w:fldChar w:fldCharType="separate"/>
                          </w:r>
                          <w:r>
                            <w:rPr>
                              <w:rStyle w:val="Nmerodepgina"/>
                              <w:sz w:val="18"/>
                            </w:rPr>
                            <w:t>2</w:t>
                          </w:r>
                          <w:r>
                            <w:rPr>
                              <w:rStyle w:val="Nmerodepgina"/>
                              <w:sz w:val="18"/>
                            </w:rPr>
                            <w:t>7</w:t>
                          </w:r>
                          <w:r>
                            <w:rPr>
                              <w:rStyle w:val="Nmerodepgina"/>
                              <w:sz w:val="18"/>
                            </w:rPr>
                            <w:fldChar w:fldCharType="end"/>
                          </w:r>
                        </w:p>
                      </w:txbxContent>
                    </wps:txbx>
                    <wps:bodyPr lIns="5080" tIns="5080" rIns="5080" bIns="5080" anchor="t">
                      <a:noAutofit/>
                    </wps:bodyPr>
                  </wps:wsp>
                </a:graphicData>
              </a:graphic>
            </wp:anchor>
          </w:drawing>
        </mc:Choice>
        <mc:Fallback>
          <w:pict>
            <v:rect fillcolor="#FFFFFF" style="position:absolute;rotation:0;width:16.2pt;height:11.45pt;mso-wrap-distance-left:0pt;mso-wrap-distance-right:0pt;mso-wrap-distance-top:0pt;mso-wrap-distance-bottom:0pt;margin-top:0.05pt;mso-position-vertical-relative:text;margin-left:454.1pt;mso-position-horizontal-relative:text">
              <v:fill opacity="0f"/>
              <v:textbox inset="0.00555555555555556in,0.00555555555555556in,0.00555555555555556in,0.00555555555555556in">
                <w:txbxContent>
                  <w:p>
                    <w:pPr>
                      <w:pStyle w:val="Footer"/>
                      <w:rPr/>
                    </w:pPr>
                    <w:r>
                      <w:rPr>
                        <w:rStyle w:val="PageNumber"/>
                        <w:sz w:val="18"/>
                      </w:rPr>
                      <w:fldChar w:fldCharType="begin"/>
                    </w:r>
                    <w:r>
                      <w:rPr>
                        <w:rStyle w:val="PageNumber"/>
                        <w:sz w:val="18"/>
                      </w:rPr>
                      <w:instrText> PAGE </w:instrText>
                    </w:r>
                    <w:r>
                      <w:rPr>
                        <w:rStyle w:val="PageNumber"/>
                        <w:sz w:val="18"/>
                      </w:rPr>
                      <w:fldChar w:fldCharType="separate"/>
                    </w:r>
                    <w:r>
                      <w:rPr>
                        <w:rStyle w:val="PageNumber"/>
                        <w:sz w:val="18"/>
                      </w:rPr>
                      <w:t>27</w:t>
                    </w:r>
                    <w:r>
                      <w:rPr>
                        <w:rStyle w:val="PageNumber"/>
                        <w:sz w:val="18"/>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C241A">
      <w:r>
        <w:separator/>
      </w:r>
    </w:p>
  </w:footnote>
  <w:footnote w:type="continuationSeparator" w:id="0">
    <w:p w:rsidR="00000000" w:rsidRDefault="00DC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9D0" w:rsidRDefault="00DC241A">
    <w:pPr>
      <w:pStyle w:val="Capalera"/>
      <w:rPr>
        <w:lang w:val="es-ES" w:eastAsia="en-US"/>
      </w:rPr>
    </w:pPr>
    <w:r>
      <w:rPr>
        <w:noProof/>
      </w:rPr>
      <w:drawing>
        <wp:anchor distT="0" distB="0" distL="114935" distR="114935" simplePos="0" relativeHeight="55" behindDoc="1" locked="0" layoutInCell="0" allowOverlap="1">
          <wp:simplePos x="0" y="0"/>
          <wp:positionH relativeFrom="column">
            <wp:posOffset>-457200</wp:posOffset>
          </wp:positionH>
          <wp:positionV relativeFrom="paragraph">
            <wp:posOffset>93345</wp:posOffset>
          </wp:positionV>
          <wp:extent cx="1718310" cy="3651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216" t="-1007" r="-216" b="-1007"/>
                  <a:stretch>
                    <a:fillRect/>
                  </a:stretch>
                </pic:blipFill>
                <pic:spPr bwMode="auto">
                  <a:xfrm>
                    <a:off x="0" y="0"/>
                    <a:ext cx="1718310" cy="365125"/>
                  </a:xfrm>
                  <a:prstGeom prst="rect">
                    <a:avLst/>
                  </a:prstGeom>
                </pic:spPr>
              </pic:pic>
            </a:graphicData>
          </a:graphic>
        </wp:anchor>
      </w:drawing>
    </w:r>
    <w:r>
      <w:rPr>
        <w:lang w:val="es-ES" w:eastAsia="en-US"/>
      </w:rPr>
      <w:tab/>
    </w:r>
    <w:r>
      <w:rPr>
        <w:lang w:val="es-ES" w:eastAsia="en-US"/>
      </w:rPr>
      <w:tab/>
      <w:t xml:space="preserve">EE </w:t>
    </w:r>
    <w:r>
      <w:rPr>
        <w:lang w:val="es-ES" w:eastAsia="en-US"/>
      </w:rPr>
      <w:t>PNE2025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9D0" w:rsidRDefault="00DC241A">
    <w:pPr>
      <w:pStyle w:val="Capalera"/>
      <w:rPr>
        <w:lang w:val="es-ES" w:eastAsia="en-US"/>
      </w:rPr>
    </w:pPr>
    <w:r>
      <w:rPr>
        <w:noProof/>
      </w:rPr>
      <w:drawing>
        <wp:anchor distT="0" distB="0" distL="114935" distR="114935" simplePos="0" relativeHeight="32" behindDoc="1" locked="0" layoutInCell="0" allowOverlap="1">
          <wp:simplePos x="0" y="0"/>
          <wp:positionH relativeFrom="column">
            <wp:posOffset>-457200</wp:posOffset>
          </wp:positionH>
          <wp:positionV relativeFrom="paragraph">
            <wp:posOffset>93345</wp:posOffset>
          </wp:positionV>
          <wp:extent cx="1718310" cy="36512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216" t="-1007" r="-216" b="-1007"/>
                  <a:stretch>
                    <a:fillRect/>
                  </a:stretch>
                </pic:blipFill>
                <pic:spPr bwMode="auto">
                  <a:xfrm>
                    <a:off x="0" y="0"/>
                    <a:ext cx="1718310" cy="365125"/>
                  </a:xfrm>
                  <a:prstGeom prst="rect">
                    <a:avLst/>
                  </a:prstGeom>
                </pic:spPr>
              </pic:pic>
            </a:graphicData>
          </a:graphic>
        </wp:anchor>
      </w:drawing>
    </w:r>
    <w:r>
      <w:rPr>
        <w:lang w:val="es-ES" w:eastAsia="en-US"/>
      </w:rPr>
      <w:tab/>
    </w:r>
    <w:r>
      <w:rPr>
        <w:lang w:val="es-ES" w:eastAsia="en-US"/>
      </w:rPr>
      <w:tab/>
      <w:t>EE PNE2025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EC6"/>
    <w:multiLevelType w:val="multilevel"/>
    <w:tmpl w:val="272C2726"/>
    <w:lvl w:ilvl="0">
      <w:start w:val="13"/>
      <w:numFmt w:val="decimal"/>
      <w:lvlText w:val="%1"/>
      <w:lvlJc w:val="left"/>
      <w:pPr>
        <w:tabs>
          <w:tab w:val="num" w:pos="435"/>
        </w:tabs>
        <w:ind w:left="435" w:hanging="435"/>
      </w:pPr>
      <w:rPr>
        <w:u w:val="single"/>
      </w:rPr>
    </w:lvl>
    <w:lvl w:ilvl="1">
      <w:start w:val="1"/>
      <w:numFmt w:val="decimal"/>
      <w:lvlText w:val="%1.%2"/>
      <w:lvlJc w:val="left"/>
      <w:pPr>
        <w:tabs>
          <w:tab w:val="num" w:pos="435"/>
        </w:tabs>
        <w:ind w:left="435" w:hanging="435"/>
      </w:pPr>
      <w:rPr>
        <w:b/>
        <w:bCs w:val="0"/>
        <w:sz w:val="22"/>
        <w:u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1" w15:restartNumberingAfterBreak="0">
    <w:nsid w:val="0A337218"/>
    <w:multiLevelType w:val="multilevel"/>
    <w:tmpl w:val="AFBC2E3A"/>
    <w:lvl w:ilvl="0">
      <w:start w:val="1"/>
      <w:numFmt w:val="none"/>
      <w:pStyle w:val="Ttol5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F65018"/>
    <w:multiLevelType w:val="multilevel"/>
    <w:tmpl w:val="CA5E3588"/>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AB33F5E"/>
    <w:multiLevelType w:val="multilevel"/>
    <w:tmpl w:val="90407BC8"/>
    <w:lvl w:ilvl="0">
      <w:start w:val="13"/>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cs="Arial"/>
        <w:b/>
        <w:i w:val="0"/>
        <w:sz w:val="22"/>
        <w:szCs w:val="22"/>
        <w:u w:val="none"/>
      </w:rPr>
    </w:lvl>
    <w:lvl w:ilvl="2">
      <w:start w:val="1"/>
      <w:numFmt w:val="decimal"/>
      <w:lvlText w:val="%1.%2.%3."/>
      <w:lvlJc w:val="left"/>
      <w:pPr>
        <w:tabs>
          <w:tab w:val="num" w:pos="720"/>
        </w:tabs>
        <w:ind w:left="720" w:hanging="720"/>
      </w:pPr>
      <w:rPr>
        <w:b/>
        <w:i w:val="0"/>
        <w:sz w:val="22"/>
      </w:rPr>
    </w:lvl>
    <w:lvl w:ilvl="3">
      <w:start w:val="1"/>
      <w:numFmt w:val="decimal"/>
      <w:lvlText w:val="%1.%2.%3.%4."/>
      <w:lvlJc w:val="left"/>
      <w:pPr>
        <w:tabs>
          <w:tab w:val="num" w:pos="1080"/>
        </w:tabs>
        <w:ind w:left="1080" w:hanging="1080"/>
      </w:pPr>
      <w:rPr>
        <w:b w:val="0"/>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329D61A2"/>
    <w:multiLevelType w:val="multilevel"/>
    <w:tmpl w:val="9384CC32"/>
    <w:lvl w:ilvl="0">
      <w:start w:val="1"/>
      <w:numFmt w:val="none"/>
      <w:pStyle w:val="Ttol1"/>
      <w:suff w:val="nothing"/>
      <w:lvlText w:val=""/>
      <w:lvlJc w:val="left"/>
      <w:pPr>
        <w:tabs>
          <w:tab w:val="num" w:pos="0"/>
        </w:tabs>
        <w:ind w:left="0" w:firstLine="0"/>
      </w:pPr>
      <w:rPr>
        <w:rFonts w:cs="Arial"/>
      </w:r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pStyle w:val="Ttol6"/>
      <w:suff w:val="nothing"/>
      <w:lvlText w:val=""/>
      <w:lvlJc w:val="left"/>
      <w:pPr>
        <w:tabs>
          <w:tab w:val="num" w:pos="0"/>
        </w:tabs>
        <w:ind w:left="0" w:firstLine="0"/>
      </w:pPr>
    </w:lvl>
    <w:lvl w:ilvl="6">
      <w:start w:val="1"/>
      <w:numFmt w:val="none"/>
      <w:pStyle w:val="Ttol7"/>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5" w15:restartNumberingAfterBreak="0">
    <w:nsid w:val="3A917972"/>
    <w:multiLevelType w:val="multilevel"/>
    <w:tmpl w:val="B1F0FB3A"/>
    <w:lvl w:ilvl="0">
      <w:start w:val="1"/>
      <w:numFmt w:val="lowerLetter"/>
      <w:lvlText w:val="%1)"/>
      <w:lvlJc w:val="left"/>
      <w:pPr>
        <w:tabs>
          <w:tab w:val="num" w:pos="360"/>
        </w:tabs>
        <w:ind w:left="360" w:hanging="360"/>
      </w:pPr>
      <w:rPr>
        <w:rFonts w:ascii="Arial" w:hAnsi="Arial" w:cs="Arial"/>
        <w:b w:val="0"/>
        <w:sz w:val="22"/>
        <w:szCs w:val="22"/>
      </w:rPr>
    </w:lvl>
    <w:lvl w:ilvl="1">
      <w:numFmt w:val="bullet"/>
      <w:lvlText w:val="-"/>
      <w:lvlJc w:val="left"/>
      <w:pPr>
        <w:tabs>
          <w:tab w:val="num" w:pos="1440"/>
        </w:tabs>
        <w:ind w:left="1440" w:hanging="360"/>
      </w:pPr>
      <w:rPr>
        <w:rFonts w:ascii="Times New Roman" w:hAnsi="Times New Roman" w:cs="Times New Roman" w:hint="default"/>
        <w:color w:val="000000"/>
        <w:sz w:val="22"/>
        <w:szCs w:val="22"/>
        <w:u w:val="none"/>
        <w:lang w:val="es-E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0F2A81"/>
    <w:multiLevelType w:val="multilevel"/>
    <w:tmpl w:val="80CEBE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500"/>
        </w:tabs>
        <w:ind w:left="1500" w:hanging="420"/>
      </w:pPr>
      <w:rPr>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B9199D"/>
    <w:multiLevelType w:val="multilevel"/>
    <w:tmpl w:val="B3F08F78"/>
    <w:lvl w:ilvl="0">
      <w:start w:val="1"/>
      <w:numFmt w:val="lowerLetter"/>
      <w:pStyle w:val="titol1"/>
      <w:lvlText w:val="%1)"/>
      <w:lvlJc w:val="left"/>
      <w:pPr>
        <w:tabs>
          <w:tab w:val="num" w:pos="360"/>
        </w:tabs>
        <w:ind w:left="360" w:hanging="360"/>
      </w:pPr>
      <w:rPr>
        <w:rFonts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0A79EC"/>
    <w:multiLevelType w:val="multilevel"/>
    <w:tmpl w:val="2F9CFFF2"/>
    <w:lvl w:ilvl="0">
      <w:numFmt w:val="bullet"/>
      <w:lvlText w:val="-"/>
      <w:lvlJc w:val="left"/>
      <w:pPr>
        <w:tabs>
          <w:tab w:val="num" w:pos="360"/>
        </w:tabs>
        <w:ind w:left="360" w:hanging="360"/>
      </w:pPr>
      <w:rPr>
        <w:rFonts w:ascii="Times New Roman" w:hAnsi="Times New Roman" w:cs="Times New Roman" w:hint="default"/>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8"/>
  </w:num>
  <w:num w:numId="5">
    <w:abstractNumId w:val="7"/>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D0"/>
    <w:rsid w:val="009E59D0"/>
    <w:rsid w:val="00DC2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F995C-A730-45DE-83D3-138D0C12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Times New Roman" w:hAnsi="Arial" w:cs="Arial"/>
      <w:sz w:val="20"/>
      <w:szCs w:val="20"/>
      <w:lang w:val="ca-ES" w:bidi="ar-SA"/>
    </w:rPr>
  </w:style>
  <w:style w:type="paragraph" w:styleId="Ttol1">
    <w:name w:val="heading 1"/>
    <w:basedOn w:val="Normal"/>
    <w:next w:val="Normal"/>
    <w:uiPriority w:val="9"/>
    <w:qFormat/>
    <w:pPr>
      <w:keepNext/>
      <w:numPr>
        <w:numId w:val="1"/>
      </w:numPr>
      <w:spacing w:before="240" w:after="60"/>
      <w:outlineLvl w:val="0"/>
    </w:pPr>
    <w:rPr>
      <w:b/>
      <w:kern w:val="2"/>
      <w:sz w:val="28"/>
    </w:rPr>
  </w:style>
  <w:style w:type="paragraph" w:styleId="Ttol2">
    <w:name w:val="heading 2"/>
    <w:basedOn w:val="Normal"/>
    <w:next w:val="Normal"/>
    <w:uiPriority w:val="9"/>
    <w:semiHidden/>
    <w:unhideWhenUsed/>
    <w:qFormat/>
    <w:pPr>
      <w:keepNext/>
      <w:numPr>
        <w:ilvl w:val="1"/>
        <w:numId w:val="1"/>
      </w:numPr>
      <w:jc w:val="both"/>
      <w:outlineLvl w:val="1"/>
    </w:pPr>
    <w:rPr>
      <w:rFonts w:ascii="Times New Roman" w:hAnsi="Times New Roman" w:cs="Times New Roman"/>
      <w:sz w:val="28"/>
      <w:lang w:val="es-ES_tradnl"/>
    </w:rPr>
  </w:style>
  <w:style w:type="paragraph" w:styleId="Ttol3">
    <w:name w:val="heading 3"/>
    <w:basedOn w:val="Normal"/>
    <w:next w:val="Normal"/>
    <w:uiPriority w:val="9"/>
    <w:semiHidden/>
    <w:unhideWhenUsed/>
    <w:qFormat/>
    <w:pPr>
      <w:keepNext/>
      <w:numPr>
        <w:ilvl w:val="2"/>
        <w:numId w:val="1"/>
      </w:numPr>
      <w:jc w:val="both"/>
      <w:outlineLvl w:val="2"/>
    </w:pPr>
    <w:rPr>
      <w:b/>
      <w:color w:val="0000FF"/>
      <w:sz w:val="22"/>
    </w:rPr>
  </w:style>
  <w:style w:type="paragraph" w:styleId="Ttol4">
    <w:name w:val="heading 4"/>
    <w:basedOn w:val="Normal"/>
    <w:next w:val="Normal"/>
    <w:uiPriority w:val="9"/>
    <w:semiHidden/>
    <w:unhideWhenUsed/>
    <w:qFormat/>
    <w:pPr>
      <w:keepNext/>
      <w:numPr>
        <w:ilvl w:val="3"/>
        <w:numId w:val="1"/>
      </w:numPr>
      <w:jc w:val="center"/>
      <w:outlineLvl w:val="3"/>
    </w:pPr>
    <w:rPr>
      <w:b/>
      <w:sz w:val="28"/>
    </w:rPr>
  </w:style>
  <w:style w:type="paragraph" w:styleId="Ttol5">
    <w:name w:val="heading 5"/>
    <w:basedOn w:val="Normal"/>
    <w:next w:val="Normal"/>
    <w:uiPriority w:val="9"/>
    <w:semiHidden/>
    <w:unhideWhenUsed/>
    <w:qFormat/>
    <w:pPr>
      <w:keepNext/>
      <w:numPr>
        <w:ilvl w:val="4"/>
        <w:numId w:val="1"/>
      </w:numPr>
      <w:jc w:val="center"/>
      <w:outlineLvl w:val="4"/>
    </w:pPr>
    <w:rPr>
      <w:b/>
      <w:sz w:val="24"/>
    </w:rPr>
  </w:style>
  <w:style w:type="paragraph" w:styleId="Ttol6">
    <w:name w:val="heading 6"/>
    <w:basedOn w:val="Normal"/>
    <w:next w:val="Normal"/>
    <w:uiPriority w:val="9"/>
    <w:semiHidden/>
    <w:unhideWhenUsed/>
    <w:qFormat/>
    <w:pPr>
      <w:keepNext/>
      <w:numPr>
        <w:ilvl w:val="5"/>
        <w:numId w:val="1"/>
      </w:numPr>
      <w:jc w:val="both"/>
      <w:outlineLvl w:val="5"/>
    </w:pPr>
    <w:rPr>
      <w:sz w:val="24"/>
    </w:rPr>
  </w:style>
  <w:style w:type="paragraph" w:styleId="Ttol7">
    <w:name w:val="heading 7"/>
    <w:basedOn w:val="Normal"/>
    <w:next w:val="Normal"/>
    <w:qFormat/>
    <w:pPr>
      <w:keepNext/>
      <w:numPr>
        <w:ilvl w:val="6"/>
        <w:numId w:val="1"/>
      </w:numPr>
      <w:jc w:val="both"/>
      <w:outlineLvl w:val="6"/>
    </w:pPr>
    <w:rPr>
      <w:b/>
      <w:sz w:val="22"/>
    </w:rPr>
  </w:style>
  <w:style w:type="paragraph" w:styleId="Ttol8">
    <w:name w:val="heading 8"/>
    <w:basedOn w:val="Normal"/>
    <w:next w:val="Normal"/>
    <w:qFormat/>
    <w:pPr>
      <w:keepNext/>
      <w:numPr>
        <w:ilvl w:val="7"/>
        <w:numId w:val="1"/>
      </w:numPr>
      <w:outlineLvl w:val="7"/>
    </w:pPr>
    <w:rPr>
      <w:b/>
      <w:sz w:val="22"/>
    </w:rPr>
  </w:style>
  <w:style w:type="paragraph" w:styleId="Ttol9">
    <w:name w:val="heading 9"/>
    <w:basedOn w:val="Normal"/>
    <w:next w:val="Normal"/>
    <w:qFormat/>
    <w:pPr>
      <w:keepNext/>
      <w:numPr>
        <w:ilvl w:val="8"/>
        <w:numId w:val="1"/>
      </w:numPr>
      <w:jc w:val="center"/>
      <w:outlineLvl w:val="8"/>
    </w:pPr>
    <w:rPr>
      <w:b/>
      <w:color w:val="00000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rPr>
      <w:rFonts w:cs="Aria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Aria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u w:val="none"/>
    </w:rPr>
  </w:style>
  <w:style w:type="character" w:customStyle="1" w:styleId="WW8Num5z0">
    <w:name w:val="WW8Num5z0"/>
    <w:qFormat/>
    <w:rPr>
      <w:rFonts w:cs="Arial"/>
      <w:sz w:val="22"/>
      <w:szCs w:val="22"/>
    </w:rPr>
  </w:style>
  <w:style w:type="character" w:customStyle="1" w:styleId="WW8Num6z0">
    <w:name w:val="WW8Num6z0"/>
    <w:qFormat/>
    <w:rPr>
      <w:rFonts w:ascii="Arial" w:hAnsi="Arial" w:cs="Arial"/>
      <w:b w:val="0"/>
      <w:sz w:val="22"/>
      <w:szCs w:val="22"/>
    </w:rPr>
  </w:style>
  <w:style w:type="character" w:customStyle="1" w:styleId="WW8Num6z1">
    <w:name w:val="WW8Num6z1"/>
    <w:qFormat/>
    <w:rPr>
      <w:rFonts w:ascii="Times New Roman" w:hAnsi="Times New Roman" w:cs="Times New Roman"/>
      <w:color w:val="000000"/>
      <w:sz w:val="22"/>
      <w:szCs w:val="22"/>
      <w:u w:val="none"/>
      <w:lang w:val="es-ES"/>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7z1">
    <w:name w:val="WW8Num7z1"/>
    <w:qFormat/>
    <w:rPr>
      <w:b w:val="0"/>
      <w:i w:val="0"/>
      <w:sz w:val="22"/>
      <w:szCs w:val="22"/>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u w:val="single"/>
    </w:rPr>
  </w:style>
  <w:style w:type="character" w:customStyle="1" w:styleId="WW8Num8z1">
    <w:name w:val="WW8Num8z1"/>
    <w:qFormat/>
    <w:rPr>
      <w:b/>
      <w:bCs w:val="0"/>
      <w:sz w:val="22"/>
      <w:u w:val="none"/>
    </w:rPr>
  </w:style>
  <w:style w:type="character" w:customStyle="1" w:styleId="WW8Num9z0">
    <w:name w:val="WW8Num9z0"/>
    <w:qFormat/>
  </w:style>
  <w:style w:type="character" w:customStyle="1" w:styleId="WW8Num9z1">
    <w:name w:val="WW8Num9z1"/>
    <w:qFormat/>
    <w:rPr>
      <w:rFonts w:cs="Arial"/>
      <w:b/>
      <w:i w:val="0"/>
      <w:sz w:val="22"/>
      <w:szCs w:val="22"/>
      <w:u w:val="none"/>
    </w:rPr>
  </w:style>
  <w:style w:type="character" w:customStyle="1" w:styleId="WW8Num9z2">
    <w:name w:val="WW8Num9z2"/>
    <w:qFormat/>
    <w:rPr>
      <w:b/>
      <w:i w:val="0"/>
      <w:sz w:val="22"/>
    </w:rPr>
  </w:style>
  <w:style w:type="character" w:customStyle="1" w:styleId="WW8Num9z3">
    <w:name w:val="WW8Num9z3"/>
    <w:qFormat/>
    <w:rPr>
      <w:b w:val="0"/>
      <w:i w:val="0"/>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Arial"/>
      <w:bCs/>
      <w:color w:val="000000"/>
      <w:sz w:val="22"/>
      <w:szCs w:val="22"/>
    </w:rPr>
  </w:style>
  <w:style w:type="character" w:customStyle="1" w:styleId="WW8Num10z1">
    <w:name w:val="WW8Num10z1"/>
    <w:qFormat/>
    <w:rPr>
      <w:rFonts w:cs="Arial"/>
      <w:sz w:val="22"/>
      <w:szCs w:val="22"/>
    </w:rPr>
  </w:style>
  <w:style w:type="character" w:customStyle="1" w:styleId="WW8Num11z0">
    <w:name w:val="WW8Num11z0"/>
    <w:qFormat/>
    <w:rPr>
      <w:b/>
      <w:sz w:val="22"/>
    </w:rPr>
  </w:style>
  <w:style w:type="character" w:customStyle="1" w:styleId="WW8Num11z2">
    <w:name w:val="WW8Num11z2"/>
    <w:qFormat/>
    <w:rPr>
      <w:rFonts w:cs="Arial"/>
      <w:b/>
      <w:i/>
      <w:iCs/>
      <w:sz w:val="22"/>
      <w:szCs w:val="22"/>
    </w:rPr>
  </w:style>
  <w:style w:type="character" w:customStyle="1" w:styleId="WW8Num12z0">
    <w:name w:val="WW8Num12z0"/>
    <w:qFormat/>
  </w:style>
  <w:style w:type="character" w:customStyle="1" w:styleId="WW8Num13z0">
    <w:name w:val="WW8Num13z0"/>
    <w:qFormat/>
    <w:rPr>
      <w:rFonts w:cs="Arial"/>
      <w:sz w:val="22"/>
      <w:szCs w:val="22"/>
    </w:rPr>
  </w:style>
  <w:style w:type="character" w:customStyle="1" w:styleId="WW8Num14z0">
    <w:name w:val="WW8Num14z0"/>
    <w:qFormat/>
    <w:rPr>
      <w:u w:val="single"/>
    </w:rPr>
  </w:style>
  <w:style w:type="character" w:customStyle="1" w:styleId="WW8Num14z1">
    <w:name w:val="WW8Num14z1"/>
    <w:qFormat/>
    <w:rPr>
      <w:b/>
      <w:bCs w:val="0"/>
      <w:u w:val="none"/>
    </w:rPr>
  </w:style>
  <w:style w:type="character" w:customStyle="1" w:styleId="WW8Num14z2">
    <w:name w:val="WW8Num14z2"/>
    <w:qFormat/>
    <w:rPr>
      <w:b/>
      <w:i w:val="0"/>
      <w:u w:val="single"/>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u w:val="single"/>
    </w:rPr>
  </w:style>
  <w:style w:type="character" w:customStyle="1" w:styleId="WW8Num21z1">
    <w:name w:val="WW8Num21z1"/>
    <w:qFormat/>
    <w:rPr>
      <w:b/>
      <w:bCs w:val="0"/>
      <w:sz w:val="22"/>
      <w:u w:val="none"/>
    </w:rPr>
  </w:style>
  <w:style w:type="character" w:customStyle="1" w:styleId="WW8Num22z0">
    <w:name w:val="WW8Num22z0"/>
    <w:qFormat/>
    <w:rPr>
      <w:i/>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u w:val="single"/>
    </w:rPr>
  </w:style>
  <w:style w:type="character" w:customStyle="1" w:styleId="WW8Num24z0">
    <w:name w:val="WW8Num24z0"/>
    <w:qFormat/>
  </w:style>
  <w:style w:type="character" w:customStyle="1" w:styleId="WW8Num24z1">
    <w:name w:val="WW8Num24z1"/>
    <w:qFormat/>
    <w:rPr>
      <w:rFonts w:cs="Arial"/>
      <w:b/>
      <w:i w:val="0"/>
      <w:sz w:val="22"/>
      <w:szCs w:val="22"/>
      <w:u w:val="none"/>
    </w:rPr>
  </w:style>
  <w:style w:type="character" w:customStyle="1" w:styleId="WW8Num24z2">
    <w:name w:val="WW8Num24z2"/>
    <w:qFormat/>
    <w:rPr>
      <w:b/>
      <w:i w:val="0"/>
    </w:rPr>
  </w:style>
  <w:style w:type="character" w:customStyle="1" w:styleId="WW8Num24z3">
    <w:name w:val="WW8Num24z3"/>
    <w:qFormat/>
    <w:rPr>
      <w:b w:val="0"/>
      <w:i w:val="0"/>
    </w:rPr>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eastAsia="Times New Roman" w:hAnsi="Symbol" w:cs="Aria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cs="Arial"/>
      <w:sz w:val="22"/>
      <w:szCs w:val="22"/>
    </w:rPr>
  </w:style>
  <w:style w:type="character" w:customStyle="1" w:styleId="WW8Num31z0">
    <w:name w:val="WW8Num31z0"/>
    <w:qFormat/>
  </w:style>
  <w:style w:type="character" w:customStyle="1" w:styleId="WW8Num32z0">
    <w:name w:val="WW8Num32z0"/>
    <w:qFormat/>
    <w:rPr>
      <w:u w:val="single"/>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Lletraperdefectedelpargraf3">
    <w:name w:val="Lletra per defecte del paràgraf3"/>
    <w:qFormat/>
  </w:style>
  <w:style w:type="character" w:customStyle="1" w:styleId="WW8Num5z1">
    <w:name w:val="WW8Num5z1"/>
    <w:qFormat/>
    <w:rPr>
      <w:rFonts w:ascii="Times New Roman" w:hAnsi="Times New Roman" w:cs="Times New Roman"/>
      <w:color w:val="000000"/>
      <w:sz w:val="22"/>
      <w:szCs w:val="22"/>
      <w:u w:val="none"/>
      <w:lang w:val="es-ES"/>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2">
    <w:name w:val="WW8Num10z2"/>
    <w:qFormat/>
    <w:rPr>
      <w:rFonts w:cs="Arial"/>
      <w:b/>
      <w:i/>
      <w:iCs/>
      <w:sz w:val="22"/>
      <w:szCs w:val="22"/>
    </w:rPr>
  </w:style>
  <w:style w:type="character" w:customStyle="1" w:styleId="WW8Num4z1">
    <w:name w:val="WW8Num4z1"/>
    <w:qFormat/>
    <w:rPr>
      <w:rFonts w:ascii="Times New Roman" w:hAnsi="Times New Roman" w:cs="Times New Roman"/>
      <w:color w:val="000000"/>
      <w:sz w:val="22"/>
      <w:szCs w:val="22"/>
      <w:u w:val="none"/>
      <w:lang w:val="es-E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Lletraperdefectedelpargraf1">
    <w:name w:val="Lletra per defecte del paràgraf1"/>
    <w:qFormat/>
  </w:style>
  <w:style w:type="character" w:styleId="Nmerodepgina">
    <w:name w:val="page number"/>
    <w:basedOn w:val="Lletraperdefectedelpargraf1"/>
  </w:style>
  <w:style w:type="character" w:styleId="Enlla">
    <w:name w:val="Hyperlink"/>
    <w:rPr>
      <w:color w:val="0000FF"/>
      <w:u w:val="single"/>
    </w:rPr>
  </w:style>
  <w:style w:type="character" w:customStyle="1" w:styleId="Carctersdenotaalpeu">
    <w:name w:val="Caràcters de nota al peu"/>
    <w:qFormat/>
    <w:rPr>
      <w:vertAlign w:val="superscript"/>
    </w:rPr>
  </w:style>
  <w:style w:type="character" w:customStyle="1" w:styleId="EncabezadoCar">
    <w:name w:val="Encabezado Car"/>
    <w:qFormat/>
    <w:rPr>
      <w:rFonts w:ascii="Arial" w:hAnsi="Arial" w:cs="Arial"/>
      <w:lang w:val="ca-ES"/>
    </w:rPr>
  </w:style>
  <w:style w:type="character" w:customStyle="1" w:styleId="TextodegloboCar">
    <w:name w:val="Texto de globo Car"/>
    <w:qFormat/>
    <w:rPr>
      <w:rFonts w:ascii="Tahoma" w:hAnsi="Tahoma" w:cs="Wingdings"/>
      <w:sz w:val="16"/>
      <w:szCs w:val="16"/>
      <w:lang w:val="ca-ES"/>
    </w:rPr>
  </w:style>
  <w:style w:type="character" w:customStyle="1" w:styleId="34754876">
    <w:name w:val="34754876"/>
    <w:qFormat/>
    <w:rPr>
      <w:rFonts w:ascii="Arial" w:hAnsi="Arial" w:cs="Arial"/>
      <w:color w:val="000080"/>
      <w:sz w:val="20"/>
      <w:szCs w:val="20"/>
    </w:rPr>
  </w:style>
  <w:style w:type="character" w:customStyle="1" w:styleId="StrongEmphasis">
    <w:name w:val="Strong Emphasis"/>
    <w:qFormat/>
    <w:rPr>
      <w:b/>
      <w:bCs/>
    </w:rPr>
  </w:style>
  <w:style w:type="character" w:customStyle="1" w:styleId="TextindependentCar">
    <w:name w:val="Text independent Car"/>
    <w:qFormat/>
    <w:rPr>
      <w:sz w:val="28"/>
      <w:lang w:val="es-ES_tradnl"/>
    </w:rPr>
  </w:style>
  <w:style w:type="character" w:customStyle="1" w:styleId="hps">
    <w:name w:val="hps"/>
    <w:basedOn w:val="Lletraperdefectedelpargraf1"/>
    <w:qFormat/>
  </w:style>
  <w:style w:type="character" w:customStyle="1" w:styleId="TextsenseformatCar">
    <w:name w:val="Text sense format Car"/>
    <w:qFormat/>
    <w:rPr>
      <w:rFonts w:ascii="Courier New" w:hAnsi="Courier New" w:cs="Courier New"/>
      <w:lang w:val="ca-ES" w:bidi="ar-SA"/>
    </w:rPr>
  </w:style>
  <w:style w:type="character" w:customStyle="1" w:styleId="CarCar4">
    <w:name w:val="Car Car4"/>
    <w:qFormat/>
    <w:rPr>
      <w:rFonts w:ascii="Courier New" w:hAnsi="Courier New" w:cs="Courier New"/>
      <w:lang w:val="ca-ES" w:bidi="ar-SA"/>
    </w:rPr>
  </w:style>
  <w:style w:type="character" w:customStyle="1" w:styleId="Refernciadenotaapeudepgina1">
    <w:name w:val="Referència de nota a peu de pàgina1"/>
    <w:qFormat/>
    <w:rPr>
      <w:vertAlign w:val="superscript"/>
    </w:rPr>
  </w:style>
  <w:style w:type="character" w:customStyle="1" w:styleId="Carctersdenotafinal">
    <w:name w:val="Caràcters de nota final"/>
    <w:qFormat/>
    <w:rPr>
      <w:vertAlign w:val="superscript"/>
    </w:rPr>
  </w:style>
  <w:style w:type="character" w:customStyle="1" w:styleId="WW-Carctersdenotafinal">
    <w:name w:val="WW-Caràcters de nota final"/>
    <w:qFormat/>
  </w:style>
  <w:style w:type="character" w:styleId="Enllavisitat">
    <w:name w:val="FollowedHyperlink"/>
    <w:rPr>
      <w:rFonts w:cs="Times New Roman"/>
      <w:color w:val="800080"/>
      <w:u w:val="single"/>
    </w:rPr>
  </w:style>
  <w:style w:type="character" w:customStyle="1" w:styleId="Lletraperdefectedelpargraf2">
    <w:name w:val="Lletra per defecte del paràgraf2"/>
    <w:qFormat/>
  </w:style>
  <w:style w:type="character" w:styleId="Mencisenseresoldre">
    <w:name w:val="Unresolved Mention"/>
    <w:qFormat/>
    <w:rPr>
      <w:color w:val="605E5C"/>
      <w:shd w:val="clear" w:color="auto" w:fill="E1DFDD"/>
    </w:rPr>
  </w:style>
  <w:style w:type="character" w:customStyle="1" w:styleId="Sagniadetextindependent2Car">
    <w:name w:val="Sagnia de text independent 2 Car"/>
    <w:qFormat/>
    <w:rPr>
      <w:rFonts w:ascii="Arial" w:hAnsi="Arial" w:cs="Arial"/>
      <w:lang w:val="ca-ES" w:eastAsia="zh-CN"/>
    </w:rPr>
  </w:style>
  <w:style w:type="paragraph" w:customStyle="1" w:styleId="Heading">
    <w:name w:val="Heading"/>
    <w:basedOn w:val="Normal"/>
    <w:next w:val="Textindependent"/>
    <w:qFormat/>
    <w:pPr>
      <w:keepNext/>
      <w:spacing w:before="240" w:after="120"/>
    </w:pPr>
    <w:rPr>
      <w:rFonts w:ascii="Liberation Sans" w:eastAsia="Noto Sans CJK SC" w:hAnsi="Liberation Sans" w:cs="Lohit Devanagari"/>
      <w:sz w:val="28"/>
      <w:szCs w:val="28"/>
    </w:rPr>
  </w:style>
  <w:style w:type="paragraph" w:styleId="Textindependent">
    <w:name w:val="Body Text"/>
    <w:basedOn w:val="Normal"/>
    <w:pPr>
      <w:tabs>
        <w:tab w:val="center" w:pos="284"/>
      </w:tabs>
    </w:pPr>
    <w:rPr>
      <w:rFonts w:ascii="Times New Roman" w:hAnsi="Times New Roman" w:cs="Times New Roman"/>
      <w:sz w:val="28"/>
      <w:lang w:val="es-ES_tradnl"/>
    </w:rPr>
  </w:style>
  <w:style w:type="paragraph" w:styleId="Llista">
    <w:name w:val="List"/>
    <w:basedOn w:val="Textindependent"/>
    <w:rPr>
      <w:rFonts w:cs="Arial"/>
    </w:rPr>
  </w:style>
  <w:style w:type="paragraph" w:styleId="L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rFonts w:cs="Lohit Devanagari"/>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sz w:val="28"/>
      <w:szCs w:val="28"/>
    </w:rPr>
  </w:style>
  <w:style w:type="paragraph" w:customStyle="1" w:styleId="ndex">
    <w:name w:val="Índex"/>
    <w:basedOn w:val="Normal"/>
    <w:qFormat/>
    <w:pPr>
      <w:suppressLineNumbers/>
    </w:pPr>
  </w:style>
  <w:style w:type="paragraph" w:customStyle="1" w:styleId="Capaleraipeu">
    <w:name w:val="Capçalera i peu"/>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986"/>
        <w:tab w:val="right" w:pos="9972"/>
      </w:tabs>
    </w:p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customStyle="1" w:styleId="Autocorreccin">
    <w:name w:val="Autocorrección"/>
    <w:qFormat/>
    <w:rPr>
      <w:rFonts w:ascii="Times New Roman" w:eastAsia="Times New Roman" w:hAnsi="Times New Roman" w:cs="Times New Roman"/>
      <w:sz w:val="20"/>
      <w:szCs w:val="20"/>
      <w:lang w:val="es-ES" w:bidi="ar-SA"/>
    </w:rPr>
  </w:style>
  <w:style w:type="paragraph" w:customStyle="1" w:styleId="Textdebloc1">
    <w:name w:val="Text de bloc1"/>
    <w:basedOn w:val="Normal"/>
    <w:qFormat/>
    <w:pPr>
      <w:ind w:left="-142" w:right="-2001"/>
    </w:pPr>
    <w:rPr>
      <w:color w:val="000000"/>
      <w:sz w:val="24"/>
      <w:lang w:val="en-US"/>
    </w:rPr>
  </w:style>
  <w:style w:type="paragraph" w:customStyle="1" w:styleId="Textindependent21">
    <w:name w:val="Text independent 21"/>
    <w:basedOn w:val="Normal"/>
    <w:qFormat/>
    <w:pPr>
      <w:jc w:val="both"/>
    </w:pPr>
    <w:rPr>
      <w:rFonts w:ascii="Times New Roman" w:hAnsi="Times New Roman" w:cs="Times New Roman"/>
      <w:sz w:val="28"/>
      <w:lang w:val="es-ES_tradnl"/>
    </w:rPr>
  </w:style>
  <w:style w:type="paragraph" w:customStyle="1" w:styleId="Mapadeldocument1">
    <w:name w:val="Mapa del document1"/>
    <w:basedOn w:val="Normal"/>
    <w:qFormat/>
    <w:pPr>
      <w:shd w:val="clear" w:color="auto" w:fill="000080"/>
    </w:pPr>
    <w:rPr>
      <w:rFonts w:ascii="Tahoma" w:hAnsi="Tahoma" w:cs="Tahoma"/>
    </w:rPr>
  </w:style>
  <w:style w:type="paragraph" w:customStyle="1" w:styleId="Textindependent31">
    <w:name w:val="Text independent 31"/>
    <w:basedOn w:val="Normal"/>
    <w:qFormat/>
    <w:pPr>
      <w:jc w:val="both"/>
    </w:pPr>
    <w:rPr>
      <w:lang w:val="es-ES_tradnl"/>
    </w:rPr>
  </w:style>
  <w:style w:type="paragraph" w:customStyle="1" w:styleId="Textsenseformat2">
    <w:name w:val="Text sense format2"/>
    <w:basedOn w:val="Normal"/>
    <w:qFormat/>
    <w:rPr>
      <w:rFonts w:ascii="Courier New" w:hAnsi="Courier New" w:cs="Courier New"/>
    </w:rPr>
  </w:style>
  <w:style w:type="paragraph" w:styleId="Sagniadetextindependent">
    <w:name w:val="Body Text Indent"/>
    <w:basedOn w:val="Normal"/>
    <w:pPr>
      <w:ind w:left="360"/>
      <w:jc w:val="both"/>
    </w:pPr>
    <w:rPr>
      <w:sz w:val="22"/>
    </w:rPr>
  </w:style>
  <w:style w:type="paragraph" w:styleId="Textindependent2">
    <w:name w:val="Body Text 2"/>
    <w:basedOn w:val="Normal"/>
    <w:qFormat/>
    <w:pPr>
      <w:tabs>
        <w:tab w:val="left" w:pos="567"/>
        <w:tab w:val="left" w:pos="1134"/>
        <w:tab w:val="left" w:pos="1702"/>
        <w:tab w:val="left" w:pos="2880"/>
        <w:tab w:val="left" w:pos="3600"/>
        <w:tab w:val="left" w:pos="4320"/>
        <w:tab w:val="left" w:pos="5040"/>
        <w:tab w:val="left" w:pos="5760"/>
        <w:tab w:val="left" w:pos="6480"/>
        <w:tab w:val="left" w:pos="7200"/>
      </w:tabs>
      <w:ind w:right="-1"/>
      <w:jc w:val="both"/>
    </w:pPr>
  </w:style>
  <w:style w:type="paragraph" w:customStyle="1" w:styleId="Sagniadetextindependent21">
    <w:name w:val="Sagnia de text independent 21"/>
    <w:basedOn w:val="Normal"/>
    <w:qFormat/>
    <w:pPr>
      <w:ind w:left="426"/>
      <w:jc w:val="both"/>
    </w:pPr>
    <w:rPr>
      <w:sz w:val="22"/>
    </w:rPr>
  </w:style>
  <w:style w:type="paragraph" w:customStyle="1" w:styleId="Sagniadetextindependent31">
    <w:name w:val="Sagnia de text independent 31"/>
    <w:basedOn w:val="Normal"/>
    <w:qFormat/>
    <w:pPr>
      <w:tabs>
        <w:tab w:val="left" w:pos="426"/>
      </w:tabs>
      <w:ind w:left="426" w:hanging="426"/>
      <w:jc w:val="both"/>
    </w:pPr>
    <w:rPr>
      <w:sz w:val="22"/>
    </w:rPr>
  </w:style>
  <w:style w:type="paragraph" w:customStyle="1" w:styleId="Textopredeterminado">
    <w:name w:val="Texto predeterminado"/>
    <w:basedOn w:val="Normal"/>
    <w:qFormat/>
    <w:rPr>
      <w:rFonts w:ascii="Times New Roman" w:hAnsi="Times New Roman" w:cs="Times New Roman"/>
      <w:sz w:val="24"/>
    </w:rPr>
  </w:style>
  <w:style w:type="paragraph" w:customStyle="1" w:styleId="Estndar">
    <w:name w:val="Estándar"/>
    <w:basedOn w:val="Normal"/>
    <w:qFormat/>
    <w:rPr>
      <w:rFonts w:ascii="Times New Roman" w:hAnsi="Times New Roman" w:cs="Times New Roman"/>
      <w:sz w:val="24"/>
    </w:rPr>
  </w:style>
  <w:style w:type="paragraph" w:customStyle="1" w:styleId="Default">
    <w:name w:val="Default"/>
    <w:qFormat/>
    <w:rPr>
      <w:rFonts w:ascii="Arial" w:eastAsia="Times New Roman" w:hAnsi="Arial" w:cs="Arial"/>
      <w:color w:val="000000"/>
      <w:szCs w:val="20"/>
      <w:lang w:val="es-ES" w:bidi="ar-SA"/>
    </w:rPr>
  </w:style>
  <w:style w:type="paragraph" w:customStyle="1" w:styleId="quadro">
    <w:name w:val="quadro"/>
    <w:basedOn w:val="Normal"/>
    <w:qFormat/>
    <w:pPr>
      <w:keepNext/>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lang w:val="es-ES"/>
    </w:rPr>
  </w:style>
  <w:style w:type="paragraph" w:styleId="Textdenotaapeudepgina">
    <w:name w:val="footnote text"/>
    <w:basedOn w:val="Normal"/>
  </w:style>
  <w:style w:type="paragraph" w:styleId="Textdeglobus">
    <w:name w:val="Balloon Text"/>
    <w:basedOn w:val="Normal"/>
    <w:qFormat/>
    <w:rPr>
      <w:rFonts w:ascii="Tahoma" w:hAnsi="Tahoma" w:cs="Wingdings"/>
      <w:sz w:val="16"/>
      <w:szCs w:val="16"/>
    </w:rPr>
  </w:style>
  <w:style w:type="paragraph" w:customStyle="1" w:styleId="Pa6">
    <w:name w:val="Pa6"/>
    <w:basedOn w:val="Default"/>
    <w:next w:val="Default"/>
    <w:qFormat/>
    <w:pPr>
      <w:autoSpaceDE w:val="0"/>
      <w:spacing w:line="201" w:lineRule="atLeast"/>
    </w:pPr>
    <w:rPr>
      <w:szCs w:val="24"/>
      <w:lang/>
    </w:rPr>
  </w:style>
  <w:style w:type="paragraph" w:customStyle="1" w:styleId="titol1">
    <w:name w:val="titol 1"/>
    <w:basedOn w:val="Ttol1"/>
    <w:qFormat/>
    <w:pPr>
      <w:numPr>
        <w:numId w:val="5"/>
      </w:numPr>
      <w:spacing w:before="0" w:after="0" w:line="360" w:lineRule="auto"/>
      <w:jc w:val="both"/>
    </w:pPr>
    <w:rPr>
      <w:sz w:val="22"/>
    </w:rPr>
  </w:style>
  <w:style w:type="paragraph" w:customStyle="1" w:styleId="Contingutdelataula">
    <w:name w:val="Contingut de la taula"/>
    <w:basedOn w:val="Normal"/>
    <w:qFormat/>
    <w:pPr>
      <w:widowControl w:val="0"/>
      <w:suppressLineNumbers/>
    </w:pPr>
  </w:style>
  <w:style w:type="paragraph" w:customStyle="1" w:styleId="Encapalamentdelataula">
    <w:name w:val="Encapçalament de la taula"/>
    <w:basedOn w:val="Contingutdelataula"/>
    <w:qFormat/>
    <w:pPr>
      <w:jc w:val="center"/>
    </w:pPr>
    <w:rPr>
      <w:b/>
      <w:bCs/>
    </w:rPr>
  </w:style>
  <w:style w:type="paragraph" w:customStyle="1" w:styleId="Contingutdelmarc">
    <w:name w:val="Contingut del marc"/>
    <w:basedOn w:val="Normal"/>
    <w:qFormat/>
  </w:style>
  <w:style w:type="paragraph" w:customStyle="1" w:styleId="Textsenseformat1">
    <w:name w:val="Text sense format1"/>
    <w:basedOn w:val="Normal"/>
    <w:qFormat/>
    <w:rPr>
      <w:rFonts w:ascii="Courier New" w:hAnsi="Courier New" w:cs="Courier New"/>
    </w:rPr>
  </w:style>
  <w:style w:type="paragraph" w:customStyle="1" w:styleId="western">
    <w:name w:val="western"/>
    <w:basedOn w:val="Normal"/>
    <w:qFormat/>
    <w:pPr>
      <w:suppressAutoHyphens w:val="0"/>
      <w:spacing w:before="100" w:after="100"/>
    </w:pPr>
    <w:rPr>
      <w:rFonts w:ascii="Times New Roman" w:hAnsi="Times New Roman" w:cs="Times New Roman"/>
      <w:sz w:val="28"/>
      <w:szCs w:val="28"/>
    </w:rPr>
  </w:style>
  <w:style w:type="paragraph" w:customStyle="1" w:styleId="Textoindependiente32">
    <w:name w:val="Texto independiente 32"/>
    <w:basedOn w:val="Normal"/>
    <w:qFormat/>
    <w:pPr>
      <w:spacing w:after="120"/>
    </w:pPr>
    <w:rPr>
      <w:sz w:val="16"/>
      <w:szCs w:val="16"/>
    </w:rPr>
  </w:style>
  <w:style w:type="paragraph" w:customStyle="1" w:styleId="Textosinformato1">
    <w:name w:val="Texto sin formato1"/>
    <w:basedOn w:val="Normal"/>
    <w:qFormat/>
    <w:rPr>
      <w:rFonts w:ascii="Courier New" w:eastAsia="Courier New" w:hAnsi="Courier New" w:cs="Courier New"/>
    </w:rPr>
  </w:style>
  <w:style w:type="paragraph" w:customStyle="1" w:styleId="Ttol51">
    <w:name w:val="Títol 51"/>
    <w:basedOn w:val="Normal"/>
    <w:next w:val="Normal"/>
    <w:qFormat/>
    <w:pPr>
      <w:keepNext/>
      <w:numPr>
        <w:numId w:val="3"/>
      </w:numPr>
      <w:jc w:val="center"/>
    </w:pPr>
    <w:rPr>
      <w:b/>
      <w:sz w:val="24"/>
    </w:rPr>
  </w:style>
  <w:style w:type="paragraph" w:customStyle="1" w:styleId="Ttol71">
    <w:name w:val="Títol 71"/>
    <w:basedOn w:val="Normal"/>
    <w:next w:val="Normal"/>
    <w:qFormat/>
    <w:pPr>
      <w:keepNext/>
      <w:tabs>
        <w:tab w:val="num" w:pos="0"/>
      </w:tabs>
      <w:jc w:val="both"/>
    </w:pPr>
    <w:rPr>
      <w:b/>
      <w:sz w:val="22"/>
    </w:rPr>
  </w:style>
  <w:style w:type="paragraph" w:customStyle="1" w:styleId="Textosinformato">
    <w:name w:val="Texto sin formato"/>
    <w:basedOn w:val="Normal"/>
    <w:qFormat/>
    <w:rPr>
      <w:rFonts w:ascii="Courier New" w:hAnsi="Courier New" w:cs="Courier New"/>
    </w:rPr>
  </w:style>
  <w:style w:type="paragraph" w:customStyle="1" w:styleId="Textoindependiente3">
    <w:name w:val="Texto independiente 3"/>
    <w:basedOn w:val="Normal"/>
    <w:qFormat/>
    <w:pPr>
      <w:jc w:val="both"/>
    </w:pPr>
    <w:rPr>
      <w:lang w:val="es-ES_tradnl"/>
    </w:rPr>
  </w:style>
  <w:style w:type="paragraph" w:styleId="Pargrafdellista">
    <w:name w:val="List Paragraph"/>
    <w:basedOn w:val="Normal"/>
    <w:qFormat/>
    <w:pPr>
      <w:ind w:left="708"/>
    </w:pPr>
  </w:style>
  <w:style w:type="paragraph" w:customStyle="1" w:styleId="Sagniadetextindependent22">
    <w:name w:val="Sagnia de text independent 22"/>
    <w:basedOn w:val="Normal"/>
    <w:qFormat/>
    <w:pPr>
      <w:spacing w:after="120" w:line="480" w:lineRule="auto"/>
      <w:ind w:left="283"/>
    </w:pPr>
  </w:style>
  <w:style w:type="paragraph" w:customStyle="1" w:styleId="Textoindependiente2">
    <w:name w:val="Texto independiente 2"/>
    <w:basedOn w:val="Normal"/>
    <w:qFormat/>
    <w:pPr>
      <w:jc w:val="both"/>
    </w:pPr>
    <w:rPr>
      <w:rFonts w:ascii="Times New Roman" w:hAnsi="Times New Roman" w:cs="Times New Roman"/>
      <w:sz w:val="28"/>
      <w:lang w:val="es-ES_tradnl"/>
    </w:rPr>
  </w:style>
  <w:style w:type="paragraph" w:customStyle="1" w:styleId="Contenidodelatabla">
    <w:name w:val="Contenido de la tabla"/>
    <w:basedOn w:val="Normal"/>
    <w:qFormat/>
    <w:pPr>
      <w:suppressLineNumbers/>
      <w:textAlignment w:val="baseline"/>
    </w:pPr>
    <w:rPr>
      <w:rFonts w:eastAsia="Arial"/>
      <w:color w:val="00000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eco-equip&amp;idCap=11534561&amp;amb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publica.gencat.cat/ecofin_pscp/AppJava/cap.pscp?reqCode=viewDetail&amp;keyword=eco-equip&amp;idCap=11534561&amp;ambit" TargetMode="External"/><Relationship Id="rId12" Type="http://schemas.openxmlformats.org/officeDocument/2006/relationships/hyperlink" Target="https://contractaciopublica.gencat.cat/ecofin_pscp/AppJava/cap.pscp?reqCode=viewDetail&amp;keyword=eco-equip&amp;idCap=11534561&amp;amb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cat/ecofin_sobre/AppJava/views/ajuda/empreses/index.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ontractaciopublica.gencat.cat/ecofin_pscp/AppJava/cap.pscp?reqCode=viewDetail&amp;keyword=eco-equip&amp;idCap=11534561&amp;ambit" TargetMode="External"/><Relationship Id="rId4" Type="http://schemas.openxmlformats.org/officeDocument/2006/relationships/webSettings" Target="webSettings.xml"/><Relationship Id="rId9" Type="http://schemas.openxmlformats.org/officeDocument/2006/relationships/hyperlink" Target="https://contractaciopublica.cat/ca/perfils-contractant/detall/11534561?categoria=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11006</Words>
  <Characters>60533</Characters>
  <Application>Microsoft Office Word</Application>
  <DocSecurity>0</DocSecurity>
  <Lines>504</Lines>
  <Paragraphs>142</Paragraphs>
  <ScaleCrop>false</ScaleCrop>
  <HeadingPairs>
    <vt:vector size="2" baseType="variant">
      <vt:variant>
        <vt:lpstr>Títol</vt:lpstr>
      </vt:variant>
      <vt:variant>
        <vt:i4>1</vt:i4>
      </vt:variant>
    </vt:vector>
  </HeadingPairs>
  <TitlesOfParts>
    <vt:vector size="1" baseType="lpstr">
      <vt:lpstr/>
    </vt:vector>
  </TitlesOfParts>
  <Company>Foment de Terrassa</Company>
  <LinksUpToDate>false</LinksUpToDate>
  <CharactersWithSpaces>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Miquel Colomer Espinet</dc:creator>
  <cp:lastModifiedBy>Josep Miquel Colomer Espinet</cp:lastModifiedBy>
  <cp:revision>2</cp:revision>
  <dcterms:created xsi:type="dcterms:W3CDTF">2025-07-14T08:21:00Z</dcterms:created>
  <dcterms:modified xsi:type="dcterms:W3CDTF">2025-07-14T08:21:00Z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2025-06-10T07:55:00Z</dcterms:created>
  <dc:creator>27249345</dc:creator>
  <dc:description/>
  <cp:keywords> </cp:keywords>
  <dc:language>en-US</dc:language>
  <cp:lastModifiedBy>Nadia Pérez Linares</cp:lastModifiedBy>
  <cp:lastPrinted>2024-10-09T10:27:00Z</cp:lastPrinted>
  <dcterms:modified xsi:type="dcterms:W3CDTF">2025-06-27T11:54:00Z</dcterms:modified>
  <cp:revision>7</cp:revision>
  <dc:subject/>
  <dc:title>PLEC DE CLÀUSULES ADMINISTTRATIVES PARTICULARS REGULADORES DEL CONTRACTE D'OBRES D'URBANITZACIÓ DEL SECTOR DE SANTA MARGARITA I, UNITAT D'ACTUACIÓ EN SÒL URBÀ NÚM</dc:title>
</cp:coreProperties>
</file>