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099E" w14:textId="6FF5629C" w:rsidR="00222479" w:rsidRPr="00286BAD" w:rsidRDefault="00222479" w:rsidP="00947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142" w:hanging="142"/>
        <w:jc w:val="center"/>
        <w:rPr>
          <w:rFonts w:cs="Arial"/>
          <w:b/>
          <w:lang w:val="ca-ES"/>
        </w:rPr>
      </w:pPr>
      <w:r w:rsidRPr="00286BAD">
        <w:rPr>
          <w:rFonts w:cs="Arial"/>
          <w:b/>
          <w:lang w:val="ca-ES"/>
        </w:rPr>
        <w:t>ANNEX</w:t>
      </w:r>
      <w:r w:rsidR="00EB5605" w:rsidRPr="00286BAD">
        <w:rPr>
          <w:rFonts w:cs="Arial"/>
          <w:b/>
          <w:lang w:val="ca-ES"/>
        </w:rPr>
        <w:t xml:space="preserve"> </w:t>
      </w:r>
      <w:r w:rsidR="001710CC" w:rsidRPr="00286BAD">
        <w:rPr>
          <w:rFonts w:cs="Arial"/>
          <w:b/>
          <w:lang w:val="ca-ES"/>
        </w:rPr>
        <w:t>2</w:t>
      </w:r>
    </w:p>
    <w:p w14:paraId="46E4EA95" w14:textId="77777777" w:rsidR="00222479" w:rsidRPr="00286BAD" w:rsidRDefault="00222479" w:rsidP="00222479">
      <w:pPr>
        <w:spacing w:after="0" w:line="240" w:lineRule="auto"/>
        <w:ind w:left="720" w:hanging="436"/>
        <w:jc w:val="center"/>
        <w:rPr>
          <w:rFonts w:cs="Arial"/>
          <w:b/>
          <w:lang w:val="ca-ES"/>
        </w:rPr>
      </w:pPr>
    </w:p>
    <w:p w14:paraId="57083D74" w14:textId="186CD889" w:rsidR="00222479" w:rsidRPr="00286BAD" w:rsidRDefault="00222479" w:rsidP="00222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="Arial"/>
          <w:b/>
          <w:lang w:val="ca-ES"/>
        </w:rPr>
      </w:pPr>
      <w:r w:rsidRPr="00286BAD">
        <w:rPr>
          <w:rFonts w:cs="Arial"/>
          <w:b/>
          <w:lang w:val="ca-ES"/>
        </w:rPr>
        <w:t xml:space="preserve">Exp. </w:t>
      </w:r>
      <w:r w:rsidR="003E25FA" w:rsidRPr="00286BAD">
        <w:rPr>
          <w:rFonts w:cs="Arial"/>
          <w:b/>
          <w:lang w:val="ca-ES"/>
        </w:rPr>
        <w:t>1168/2025</w:t>
      </w:r>
    </w:p>
    <w:p w14:paraId="722A777C" w14:textId="67130E6C" w:rsidR="00222479" w:rsidRPr="00286BAD" w:rsidRDefault="00222479" w:rsidP="00222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0" w:line="240" w:lineRule="auto"/>
        <w:jc w:val="center"/>
        <w:rPr>
          <w:rFonts w:cs="Arial"/>
          <w:b/>
          <w:lang w:val="ca-ES"/>
        </w:rPr>
      </w:pPr>
      <w:r w:rsidRPr="00286BAD">
        <w:rPr>
          <w:rFonts w:cs="Arial"/>
          <w:b/>
          <w:lang w:val="ca-ES"/>
        </w:rPr>
        <w:t xml:space="preserve">Licitació obra </w:t>
      </w:r>
      <w:r w:rsidR="00F16F18" w:rsidRPr="00286BAD">
        <w:rPr>
          <w:rFonts w:cs="Arial"/>
          <w:b/>
          <w:lang w:val="ca-ES"/>
        </w:rPr>
        <w:t>de construcció coberta metàl·lica pista poliesportiva Pinedes Armengol</w:t>
      </w:r>
      <w:r w:rsidRPr="00286BAD">
        <w:rPr>
          <w:rFonts w:cs="Arial"/>
          <w:b/>
          <w:lang w:val="ca-ES"/>
        </w:rPr>
        <w:t xml:space="preserve"> </w:t>
      </w:r>
    </w:p>
    <w:p w14:paraId="6236C2E9" w14:textId="77777777" w:rsidR="00222479" w:rsidRPr="00286BAD" w:rsidRDefault="00222479" w:rsidP="00222479">
      <w:pPr>
        <w:spacing w:after="0" w:line="240" w:lineRule="auto"/>
        <w:ind w:left="720" w:hanging="11"/>
        <w:jc w:val="center"/>
        <w:rPr>
          <w:rFonts w:cs="Arial"/>
          <w:b/>
          <w:bCs/>
          <w:lang w:val="ca-ES"/>
        </w:rPr>
      </w:pPr>
    </w:p>
    <w:p w14:paraId="69E05004" w14:textId="396DFC81" w:rsidR="00222479" w:rsidRPr="00286BAD" w:rsidRDefault="001736FA" w:rsidP="00222479">
      <w:pPr>
        <w:spacing w:after="0" w:line="240" w:lineRule="auto"/>
        <w:ind w:left="720" w:hanging="11"/>
        <w:jc w:val="center"/>
        <w:rPr>
          <w:rFonts w:cs="Arial"/>
          <w:b/>
          <w:bCs/>
          <w:lang w:val="ca-ES"/>
        </w:rPr>
      </w:pPr>
      <w:r w:rsidRPr="00286BAD">
        <w:rPr>
          <w:rFonts w:cs="Arial"/>
          <w:b/>
          <w:bCs/>
          <w:lang w:val="ca-ES"/>
        </w:rPr>
        <w:t xml:space="preserve">CRITERIS ECONOMICS I AUTOMÀTICS  </w:t>
      </w:r>
    </w:p>
    <w:p w14:paraId="5D6A8E74" w14:textId="77777777" w:rsidR="00222479" w:rsidRPr="00286BAD" w:rsidRDefault="00222479" w:rsidP="00222479">
      <w:pPr>
        <w:spacing w:after="0" w:line="240" w:lineRule="auto"/>
        <w:ind w:left="720" w:hanging="11"/>
        <w:jc w:val="center"/>
        <w:rPr>
          <w:rFonts w:cs="Arial"/>
          <w:lang w:val="ca-ES"/>
        </w:rPr>
      </w:pPr>
    </w:p>
    <w:p w14:paraId="5BE7F2A6" w14:textId="1065799C" w:rsidR="00222479" w:rsidRPr="00286BAD" w:rsidRDefault="00222479" w:rsidP="003E25FA">
      <w:pPr>
        <w:spacing w:after="0" w:line="240" w:lineRule="auto"/>
        <w:jc w:val="both"/>
        <w:rPr>
          <w:rFonts w:cs="Arial"/>
          <w:i/>
          <w:lang w:val="ca-ES"/>
        </w:rPr>
      </w:pPr>
      <w:r w:rsidRPr="00286BAD">
        <w:rPr>
          <w:rFonts w:cs="Arial"/>
          <w:i/>
          <w:lang w:val="ca-ES"/>
        </w:rPr>
        <w:t xml:space="preserve">A INSERIR EN EL </w:t>
      </w:r>
      <w:r w:rsidRPr="00286BAD">
        <w:rPr>
          <w:rFonts w:cs="Arial"/>
          <w:b/>
          <w:bCs/>
          <w:i/>
          <w:lang w:val="ca-ES"/>
        </w:rPr>
        <w:t xml:space="preserve">SOBRE </w:t>
      </w:r>
      <w:r w:rsidR="001710CC" w:rsidRPr="00286BAD">
        <w:rPr>
          <w:rFonts w:cs="Arial"/>
          <w:b/>
          <w:bCs/>
          <w:i/>
          <w:lang w:val="ca-ES"/>
        </w:rPr>
        <w:t>B</w:t>
      </w:r>
      <w:r w:rsidRPr="00286BAD">
        <w:rPr>
          <w:rFonts w:cs="Arial"/>
          <w:i/>
          <w:lang w:val="ca-ES"/>
        </w:rPr>
        <w:t xml:space="preserve"> –per a procediment obert simplificat amb criteris d’adjudicació </w:t>
      </w:r>
      <w:r w:rsidR="003E25FA" w:rsidRPr="00286BAD">
        <w:rPr>
          <w:rFonts w:cs="Arial"/>
          <w:i/>
          <w:lang w:val="ca-ES"/>
        </w:rPr>
        <w:t>100%</w:t>
      </w:r>
      <w:r w:rsidRPr="00286BAD">
        <w:rPr>
          <w:rFonts w:cs="Arial"/>
          <w:i/>
          <w:lang w:val="ca-ES"/>
        </w:rPr>
        <w:t xml:space="preserve"> amb criteris automàtics</w:t>
      </w:r>
      <w:r w:rsidR="003E25FA" w:rsidRPr="00286BAD">
        <w:rPr>
          <w:rFonts w:cs="Arial"/>
          <w:i/>
          <w:lang w:val="ca-ES"/>
        </w:rPr>
        <w:t xml:space="preserve"> i objectius</w:t>
      </w:r>
    </w:p>
    <w:p w14:paraId="1AA71B93" w14:textId="77777777" w:rsidR="003E25FA" w:rsidRPr="00286BAD" w:rsidRDefault="003E25FA" w:rsidP="00222479">
      <w:pPr>
        <w:spacing w:after="0" w:line="240" w:lineRule="auto"/>
        <w:ind w:left="720" w:hanging="11"/>
        <w:jc w:val="both"/>
        <w:rPr>
          <w:rFonts w:cs="Arial"/>
          <w:i/>
          <w:lang w:val="ca-ES"/>
        </w:rPr>
      </w:pPr>
    </w:p>
    <w:p w14:paraId="1307A027" w14:textId="26AEE982" w:rsidR="00F16F18" w:rsidRPr="00286BAD" w:rsidRDefault="00F16F18" w:rsidP="001710CC">
      <w:pPr>
        <w:widowControl/>
        <w:autoSpaceDE/>
        <w:autoSpaceDN/>
        <w:spacing w:after="0" w:line="240" w:lineRule="auto"/>
        <w:contextualSpacing/>
        <w:jc w:val="center"/>
        <w:rPr>
          <w:b/>
          <w:bCs/>
          <w:color w:val="70AD47" w:themeColor="accent6"/>
          <w:kern w:val="2"/>
          <w:lang w:val="ca-ES"/>
          <w14:ligatures w14:val="standardContextual"/>
        </w:rPr>
      </w:pPr>
      <w:bookmarkStart w:id="0" w:name="_Hlk190157465"/>
      <w:r w:rsidRPr="00286BAD">
        <w:rPr>
          <w:b/>
          <w:bCs/>
          <w:color w:val="70AD47" w:themeColor="accent6"/>
          <w:kern w:val="2"/>
          <w:lang w:val="ca-ES"/>
          <w14:ligatures w14:val="standardContextual"/>
        </w:rPr>
        <w:t>Criteris automàtics i objectius</w:t>
      </w:r>
    </w:p>
    <w:p w14:paraId="52C60AF5" w14:textId="77777777" w:rsidR="00F16F18" w:rsidRPr="00286BAD" w:rsidRDefault="00F16F18" w:rsidP="001736FA">
      <w:pPr>
        <w:spacing w:after="0" w:line="240" w:lineRule="auto"/>
        <w:jc w:val="both"/>
        <w:rPr>
          <w:rFonts w:eastAsia="Times New Roman" w:cs="Arial"/>
          <w:lang w:val="ca-ES" w:eastAsia="es-ES"/>
        </w:rPr>
      </w:pPr>
    </w:p>
    <w:p w14:paraId="7CE909E9" w14:textId="60467C96" w:rsidR="001736FA" w:rsidRPr="00286BAD" w:rsidRDefault="003E25FA" w:rsidP="003E25FA">
      <w:pPr>
        <w:pStyle w:val="Prrafodelista"/>
        <w:widowControl/>
        <w:numPr>
          <w:ilvl w:val="0"/>
          <w:numId w:val="1"/>
        </w:numPr>
        <w:autoSpaceDE/>
        <w:autoSpaceDN/>
        <w:spacing w:after="0" w:line="240" w:lineRule="auto"/>
        <w:ind w:left="284"/>
        <w:contextualSpacing/>
        <w:rPr>
          <w:rFonts w:eastAsia="Times New Roman" w:cs="Arial"/>
          <w:lang w:val="ca-ES" w:eastAsia="es-ES"/>
        </w:rPr>
      </w:pPr>
      <w:r w:rsidRPr="00286BAD">
        <w:rPr>
          <w:rFonts w:eastAsia="Times New Roman" w:cs="Arial"/>
          <w:b/>
          <w:bCs/>
          <w:lang w:val="ca-ES" w:eastAsia="es-ES"/>
        </w:rPr>
        <w:t xml:space="preserve">Oferta econòmica: </w:t>
      </w:r>
      <w:r w:rsidR="001736FA" w:rsidRPr="00286BAD">
        <w:rPr>
          <w:rFonts w:eastAsia="Times New Roman" w:cs="Arial"/>
          <w:lang w:val="ca-ES" w:eastAsia="es-ES"/>
        </w:rPr>
        <w:t>Obtindrà la màxima puntuació (</w:t>
      </w:r>
      <w:r w:rsidRPr="00286BAD">
        <w:rPr>
          <w:rFonts w:eastAsia="Times New Roman" w:cs="Arial"/>
          <w:lang w:val="ca-ES" w:eastAsia="es-ES"/>
        </w:rPr>
        <w:t>90 punts</w:t>
      </w:r>
      <w:r w:rsidR="001736FA" w:rsidRPr="00286BAD">
        <w:rPr>
          <w:rFonts w:eastAsia="Times New Roman" w:cs="Arial"/>
          <w:lang w:val="ca-ES" w:eastAsia="es-ES"/>
        </w:rPr>
        <w:t xml:space="preserve">) l’oferta que presenti la baixa més econòmica sobre el preu de licitació total, sense comptar aquelles que, d’acord amb els criteris establerts en els plecs, es considerin com a baixes anormals. </w:t>
      </w:r>
    </w:p>
    <w:p w14:paraId="1747192E" w14:textId="77777777" w:rsidR="00F16F18" w:rsidRPr="00286BAD" w:rsidRDefault="00F16F18" w:rsidP="003E25FA">
      <w:pPr>
        <w:pStyle w:val="Prrafodelista"/>
        <w:widowControl/>
        <w:autoSpaceDE/>
        <w:autoSpaceDN/>
        <w:spacing w:after="0" w:line="240" w:lineRule="auto"/>
        <w:ind w:left="284" w:firstLine="0"/>
        <w:contextualSpacing/>
        <w:rPr>
          <w:rFonts w:eastAsia="Times New Roman" w:cs="Arial"/>
          <w:lang w:val="ca-ES" w:eastAsia="es-ES"/>
        </w:rPr>
      </w:pPr>
    </w:p>
    <w:p w14:paraId="132E3AB7" w14:textId="77777777" w:rsidR="001736FA" w:rsidRPr="00286BAD" w:rsidRDefault="001736FA" w:rsidP="003E25FA">
      <w:pPr>
        <w:pStyle w:val="Prrafodelista"/>
        <w:widowControl/>
        <w:autoSpaceDE/>
        <w:autoSpaceDN/>
        <w:spacing w:after="0" w:line="240" w:lineRule="auto"/>
        <w:ind w:left="284" w:firstLine="0"/>
        <w:contextualSpacing/>
        <w:rPr>
          <w:rFonts w:eastAsia="Times New Roman" w:cs="Arial"/>
          <w:lang w:val="ca-ES" w:eastAsia="es-ES"/>
        </w:rPr>
      </w:pPr>
      <w:r w:rsidRPr="00286BAD">
        <w:rPr>
          <w:rFonts w:eastAsia="Times New Roman" w:cs="Arial"/>
          <w:lang w:val="ca-ES" w:eastAsia="es-ES"/>
        </w:rPr>
        <w:t xml:space="preserve">Per a la determinació dels punts que corresponen a la resta d’ofertes, d’acord amb un criteri de proporcionalitat, s’aplicarà la fórmula següent: </w:t>
      </w:r>
    </w:p>
    <w:p w14:paraId="084263D1" w14:textId="77777777" w:rsidR="001B5BA5" w:rsidRPr="00286BAD" w:rsidRDefault="001B5BA5" w:rsidP="001736FA">
      <w:pPr>
        <w:pStyle w:val="Prrafodelista"/>
        <w:spacing w:after="0" w:line="240" w:lineRule="auto"/>
        <w:ind w:left="1080"/>
        <w:jc w:val="center"/>
        <w:rPr>
          <w:rFonts w:eastAsia="Times New Roman" w:cs="Arial"/>
          <w:lang w:val="ca-ES" w:eastAsia="es-ES"/>
        </w:rPr>
      </w:pPr>
    </w:p>
    <w:p w14:paraId="64344D66" w14:textId="12C24C13" w:rsidR="001736FA" w:rsidRPr="00286BAD" w:rsidRDefault="001710CC" w:rsidP="001736FA">
      <w:pPr>
        <w:pStyle w:val="Prrafodelista"/>
        <w:spacing w:after="0" w:line="240" w:lineRule="auto"/>
        <w:ind w:left="1080"/>
        <w:jc w:val="center"/>
        <w:rPr>
          <w:rFonts w:eastAsia="Times New Roman" w:cs="Arial"/>
          <w:lang w:val="ca-ES" w:eastAsia="es-ES"/>
        </w:rPr>
      </w:pPr>
      <w:r w:rsidRPr="00286BAD">
        <w:rPr>
          <w:noProof/>
          <w:lang w:val="ca-ES"/>
        </w:rPr>
        <w:drawing>
          <wp:inline distT="0" distB="0" distL="0" distR="0" wp14:anchorId="42ED2F7F" wp14:editId="2043F6A0">
            <wp:extent cx="5076825" cy="704850"/>
            <wp:effectExtent l="0" t="0" r="9525" b="0"/>
            <wp:docPr id="2017251898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51898" name="Imagen 1" descr="Imagen que contiene 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74B2DFF" w14:textId="77777777" w:rsidR="00286BAD" w:rsidRPr="00286BAD" w:rsidRDefault="00286BAD" w:rsidP="00286BAD">
      <w:pPr>
        <w:spacing w:after="0" w:line="240" w:lineRule="auto"/>
        <w:jc w:val="both"/>
        <w:rPr>
          <w:rFonts w:eastAsia="Times New Roman" w:cs="Arial"/>
          <w:lang w:val="ca-ES" w:eastAsia="es-ES"/>
        </w:rPr>
      </w:pPr>
      <w:r w:rsidRPr="00286BAD">
        <w:rPr>
          <w:rFonts w:eastAsia="Times New Roman" w:cs="Arial"/>
          <w:lang w:val="ca-ES" w:eastAsia="es-ES"/>
        </w:rPr>
        <w:t xml:space="preserve">Les ofertes que es trobin sobre el pressupost base de licitació seran excloses. </w:t>
      </w:r>
    </w:p>
    <w:p w14:paraId="4A307E88" w14:textId="77777777" w:rsidR="00286BAD" w:rsidRPr="00286BAD" w:rsidRDefault="00286BAD" w:rsidP="00286BAD">
      <w:pPr>
        <w:spacing w:after="0" w:line="240" w:lineRule="auto"/>
        <w:jc w:val="both"/>
        <w:rPr>
          <w:rFonts w:eastAsia="Times New Roman" w:cs="Arial"/>
          <w:lang w:val="ca-ES" w:eastAsia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2296"/>
        <w:gridCol w:w="3380"/>
      </w:tblGrid>
      <w:tr w:rsidR="00286BAD" w:rsidRPr="00286BAD" w14:paraId="7306AAF0" w14:textId="77777777" w:rsidTr="00521F9A">
        <w:trPr>
          <w:trHeight w:val="34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4172FAA7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 xml:space="preserve">PRESSUPOST BASE AJUNTAMENT </w:t>
            </w:r>
          </w:p>
        </w:tc>
      </w:tr>
      <w:tr w:rsidR="00286BAD" w:rsidRPr="00286BAD" w14:paraId="4CAFCA74" w14:textId="77777777" w:rsidTr="00521F9A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61D8A3F5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Pressupost base de licitació sense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AD47"/>
            <w:vAlign w:val="center"/>
            <w:hideMark/>
          </w:tcPr>
          <w:p w14:paraId="4F16E810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Import IVA aplicable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3CD18388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Pressupost base de licitació IVA inclòs</w:t>
            </w:r>
          </w:p>
        </w:tc>
      </w:tr>
      <w:tr w:rsidR="00286BAD" w:rsidRPr="00286BAD" w14:paraId="177ECEC2" w14:textId="77777777" w:rsidTr="00521F9A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69A03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sz w:val="20"/>
                <w:szCs w:val="20"/>
                <w:lang w:val="ca-ES"/>
              </w:rPr>
              <w:t>457.635,15€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7F1EB6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sz w:val="20"/>
                <w:szCs w:val="20"/>
                <w:lang w:val="ca-ES"/>
              </w:rPr>
              <w:t>96.103,38€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9F9BF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sz w:val="20"/>
                <w:szCs w:val="20"/>
                <w:lang w:val="ca-ES"/>
              </w:rPr>
              <w:t>553.738,53€</w:t>
            </w:r>
          </w:p>
        </w:tc>
      </w:tr>
    </w:tbl>
    <w:p w14:paraId="76CEAF0E" w14:textId="77777777" w:rsidR="00286BAD" w:rsidRPr="00286BAD" w:rsidRDefault="00286BAD" w:rsidP="00286BAD">
      <w:pPr>
        <w:spacing w:after="0" w:line="240" w:lineRule="auto"/>
        <w:jc w:val="both"/>
        <w:rPr>
          <w:rFonts w:eastAsia="Times New Roman" w:cs="Arial"/>
          <w:lang w:val="ca-ES" w:eastAsia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2286"/>
        <w:gridCol w:w="3377"/>
      </w:tblGrid>
      <w:tr w:rsidR="00286BAD" w:rsidRPr="00286BAD" w14:paraId="1E5F9DA6" w14:textId="77777777" w:rsidTr="00521F9A">
        <w:trPr>
          <w:trHeight w:val="34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721EB055" w14:textId="77777777" w:rsidR="00286BAD" w:rsidRPr="00286BAD" w:rsidRDefault="00286BAD" w:rsidP="00521F9A">
            <w:pPr>
              <w:ind w:right="65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OFERTA ECONOMICA EMPRESA</w:t>
            </w:r>
          </w:p>
        </w:tc>
      </w:tr>
      <w:tr w:rsidR="00286BAD" w:rsidRPr="00286BAD" w14:paraId="3E131208" w14:textId="77777777" w:rsidTr="00521F9A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52FAB04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Pressupost base de licitació sense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0C09DC2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Import IVA aplicable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870E522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b/>
                <w:bCs/>
                <w:sz w:val="20"/>
                <w:szCs w:val="20"/>
                <w:lang w:val="ca-ES"/>
              </w:rPr>
              <w:t>Pressupost base de licitació IVA inclòs</w:t>
            </w:r>
          </w:p>
        </w:tc>
      </w:tr>
      <w:tr w:rsidR="00286BAD" w:rsidRPr="00286BAD" w14:paraId="29DC1934" w14:textId="77777777" w:rsidTr="00521F9A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9E16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68A262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sz w:val="20"/>
                <w:szCs w:val="20"/>
                <w:lang w:val="ca-E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751F" w14:textId="77777777" w:rsidR="00286BAD" w:rsidRPr="00286BAD" w:rsidRDefault="00286BAD" w:rsidP="00521F9A">
            <w:pPr>
              <w:jc w:val="center"/>
              <w:rPr>
                <w:rFonts w:eastAsia="Times New Roman" w:cs="Calibri"/>
                <w:sz w:val="20"/>
                <w:szCs w:val="20"/>
                <w:lang w:val="ca-ES"/>
              </w:rPr>
            </w:pPr>
            <w:r w:rsidRPr="00286BAD">
              <w:rPr>
                <w:rFonts w:eastAsia="Times New Roman" w:cs="Calibri"/>
                <w:sz w:val="20"/>
                <w:szCs w:val="20"/>
                <w:lang w:val="ca-ES"/>
              </w:rPr>
              <w:t> </w:t>
            </w:r>
          </w:p>
        </w:tc>
      </w:tr>
    </w:tbl>
    <w:p w14:paraId="1E73B314" w14:textId="77777777" w:rsidR="007202A3" w:rsidRDefault="007202A3" w:rsidP="00947116">
      <w:pPr>
        <w:spacing w:after="0" w:line="240" w:lineRule="auto"/>
        <w:jc w:val="both"/>
        <w:rPr>
          <w:rFonts w:cs="Arial"/>
          <w:lang w:val="ca-ES"/>
        </w:rPr>
      </w:pPr>
    </w:p>
    <w:p w14:paraId="57A9B698" w14:textId="77777777" w:rsidR="007202A3" w:rsidRPr="00596BDF" w:rsidRDefault="007202A3" w:rsidP="007202A3">
      <w:pPr>
        <w:pStyle w:val="Sinespaciado"/>
        <w:jc w:val="both"/>
        <w:rPr>
          <w:rFonts w:ascii="Arial Nova" w:hAnsi="Arial Nova"/>
          <w:u w:val="single"/>
        </w:rPr>
      </w:pPr>
      <w:r w:rsidRPr="00596BDF">
        <w:rPr>
          <w:rFonts w:ascii="Arial Nova" w:hAnsi="Arial Nova"/>
          <w:u w:val="single"/>
        </w:rPr>
        <w:t xml:space="preserve">Els licitadors hauran d’igualar o disminuir en la seva oferta el pressupost base de licitació, indicant l’IVA a aplicar mitjançant partida independent.  </w:t>
      </w:r>
    </w:p>
    <w:p w14:paraId="548F834B" w14:textId="77777777" w:rsidR="007202A3" w:rsidRPr="00286BAD" w:rsidRDefault="007202A3" w:rsidP="00947116">
      <w:pPr>
        <w:spacing w:after="0" w:line="240" w:lineRule="auto"/>
        <w:jc w:val="both"/>
        <w:rPr>
          <w:rFonts w:cs="Arial"/>
          <w:lang w:val="ca-ES"/>
        </w:rPr>
      </w:pPr>
    </w:p>
    <w:p w14:paraId="6318691F" w14:textId="77777777" w:rsidR="003E25FA" w:rsidRPr="00286BAD" w:rsidRDefault="003E25FA" w:rsidP="003E25FA">
      <w:pPr>
        <w:pStyle w:val="Prrafodelista"/>
        <w:numPr>
          <w:ilvl w:val="0"/>
          <w:numId w:val="1"/>
        </w:numPr>
        <w:tabs>
          <w:tab w:val="left" w:pos="1701"/>
        </w:tabs>
        <w:spacing w:after="0" w:line="240" w:lineRule="auto"/>
        <w:ind w:left="284"/>
        <w:rPr>
          <w:lang w:val="ca-ES"/>
        </w:rPr>
      </w:pPr>
      <w:r w:rsidRPr="00286BAD">
        <w:rPr>
          <w:rFonts w:cs="Arial"/>
          <w:b/>
          <w:bCs/>
          <w:lang w:val="ca-ES"/>
        </w:rPr>
        <w:t xml:space="preserve">Reducció terminis execució: </w:t>
      </w:r>
      <w:r w:rsidRPr="00286BAD">
        <w:rPr>
          <w:rFonts w:cs="Arial"/>
          <w:lang w:val="ca-ES"/>
        </w:rPr>
        <w:t xml:space="preserve">Obtindrà la màxima puntuació (10 punts) l’empresa licitadora que presenti una major reducció de terminis d’execució de les obres en setmanes senceres </w:t>
      </w:r>
      <w:r w:rsidRPr="00286BAD">
        <w:rPr>
          <w:lang w:val="ca-ES"/>
        </w:rPr>
        <w:t xml:space="preserve">respecte del termini màxim establert en els plecs.  </w:t>
      </w:r>
    </w:p>
    <w:p w14:paraId="71A6CEC2" w14:textId="77777777" w:rsidR="003E25FA" w:rsidRPr="00286BAD" w:rsidRDefault="003E25FA" w:rsidP="003E25FA">
      <w:pPr>
        <w:tabs>
          <w:tab w:val="left" w:pos="2325"/>
        </w:tabs>
        <w:spacing w:after="0" w:line="240" w:lineRule="auto"/>
        <w:rPr>
          <w:lang w:val="ca-ES"/>
        </w:rPr>
      </w:pPr>
    </w:p>
    <w:p w14:paraId="69C99499" w14:textId="52399609" w:rsidR="003E25FA" w:rsidRPr="00286BAD" w:rsidRDefault="003E25FA" w:rsidP="003E25FA">
      <w:pPr>
        <w:tabs>
          <w:tab w:val="left" w:pos="2325"/>
        </w:tabs>
        <w:spacing w:after="0" w:line="240" w:lineRule="auto"/>
        <w:jc w:val="both"/>
        <w:rPr>
          <w:lang w:val="ca-ES"/>
        </w:rPr>
      </w:pPr>
      <w:r w:rsidRPr="00286BAD">
        <w:rPr>
          <w:lang w:val="ca-ES"/>
        </w:rPr>
        <w:t>Es valorarà la reducció del termini d’execució de les obres proposada per les licitadores, respecte del termini màxim de 4 mesos (16 setmanes) establert als plecs. Aquesta reducció serà valorada de manera automàtica, amb una puntuació proporcional per cada setmana de reducció, fins a un màxim de 4 setmanes.</w:t>
      </w:r>
    </w:p>
    <w:p w14:paraId="094FDEDF" w14:textId="77777777" w:rsidR="003E25FA" w:rsidRPr="00286BAD" w:rsidRDefault="003E25FA" w:rsidP="003E25FA">
      <w:pPr>
        <w:tabs>
          <w:tab w:val="left" w:pos="2325"/>
        </w:tabs>
        <w:spacing w:after="0" w:line="240" w:lineRule="auto"/>
        <w:jc w:val="both"/>
        <w:rPr>
          <w:lang w:val="ca-ES"/>
        </w:rPr>
      </w:pPr>
    </w:p>
    <w:p w14:paraId="67438330" w14:textId="77777777" w:rsidR="003E25FA" w:rsidRPr="00286BAD" w:rsidRDefault="003E25FA" w:rsidP="003E25FA">
      <w:pPr>
        <w:tabs>
          <w:tab w:val="left" w:pos="2325"/>
        </w:tabs>
        <w:spacing w:after="0" w:line="240" w:lineRule="auto"/>
        <w:jc w:val="both"/>
        <w:rPr>
          <w:lang w:val="ca-ES"/>
        </w:rPr>
      </w:pPr>
      <w:r w:rsidRPr="00286BAD">
        <w:rPr>
          <w:lang w:val="ca-ES"/>
        </w:rPr>
        <w:t>Condicions:</w:t>
      </w:r>
    </w:p>
    <w:p w14:paraId="240CC07A" w14:textId="77777777" w:rsidR="003E25FA" w:rsidRPr="00286BAD" w:rsidRDefault="003E25FA" w:rsidP="006A6CDD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2325"/>
        </w:tabs>
        <w:spacing w:after="0" w:line="240" w:lineRule="auto"/>
        <w:ind w:left="567" w:hanging="425"/>
        <w:jc w:val="both"/>
        <w:rPr>
          <w:lang w:val="ca-ES"/>
        </w:rPr>
      </w:pPr>
      <w:r w:rsidRPr="00286BAD">
        <w:rPr>
          <w:lang w:val="ca-ES"/>
        </w:rPr>
        <w:lastRenderedPageBreak/>
        <w:t>La reducció màxima valorable és de 4 setmanes (és a dir, executar les obres en 12 setmanes).</w:t>
      </w:r>
    </w:p>
    <w:p w14:paraId="1840BB59" w14:textId="77777777" w:rsidR="003E25FA" w:rsidRPr="00286BAD" w:rsidRDefault="003E25FA" w:rsidP="006A6CDD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2325"/>
        </w:tabs>
        <w:spacing w:after="0" w:line="240" w:lineRule="auto"/>
        <w:ind w:left="567" w:hanging="425"/>
        <w:jc w:val="both"/>
        <w:rPr>
          <w:lang w:val="ca-ES"/>
        </w:rPr>
      </w:pPr>
      <w:r w:rsidRPr="00286BAD">
        <w:rPr>
          <w:lang w:val="ca-ES"/>
        </w:rPr>
        <w:t>No s’assignarà cap puntuació per reduccions inferiors a 1 setmana ni per reduccions superiors a 4 setmanes.</w:t>
      </w:r>
    </w:p>
    <w:p w14:paraId="06601390" w14:textId="77777777" w:rsidR="003E25FA" w:rsidRPr="00286BAD" w:rsidRDefault="003E25FA" w:rsidP="006A6CDD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2325"/>
        </w:tabs>
        <w:spacing w:after="0" w:line="240" w:lineRule="auto"/>
        <w:ind w:left="567" w:hanging="425"/>
        <w:jc w:val="both"/>
        <w:rPr>
          <w:lang w:val="ca-ES"/>
        </w:rPr>
      </w:pPr>
      <w:r w:rsidRPr="00286BAD">
        <w:rPr>
          <w:lang w:val="ca-ES"/>
        </w:rPr>
        <w:t>La puntuació s’atorgarà de manera proporcional i lineal: 2,5 punts per setmana de reducció.</w:t>
      </w:r>
    </w:p>
    <w:p w14:paraId="5C3CFF8F" w14:textId="388F3C92" w:rsidR="003E25FA" w:rsidRPr="00286BAD" w:rsidRDefault="003E25FA" w:rsidP="006A6CDD">
      <w:pPr>
        <w:numPr>
          <w:ilvl w:val="0"/>
          <w:numId w:val="4"/>
        </w:numPr>
        <w:tabs>
          <w:tab w:val="clear" w:pos="720"/>
          <w:tab w:val="num" w:pos="567"/>
          <w:tab w:val="left" w:pos="851"/>
          <w:tab w:val="left" w:pos="2325"/>
        </w:tabs>
        <w:spacing w:after="0" w:line="240" w:lineRule="auto"/>
        <w:ind w:left="567" w:hanging="425"/>
        <w:jc w:val="both"/>
        <w:rPr>
          <w:lang w:val="ca-ES"/>
        </w:rPr>
      </w:pPr>
      <w:r w:rsidRPr="00286BAD">
        <w:rPr>
          <w:lang w:val="ca-ES"/>
        </w:rPr>
        <w:t>La licitadora haurà d’indicar expressament a la seva oferta el termini total proposat (en setmanes naturals) d’execució. L’oferta ha de ser viable tècnicament i justificar la capacitat d’executar dins el termini ofert.</w:t>
      </w:r>
    </w:p>
    <w:p w14:paraId="3C431D55" w14:textId="77777777" w:rsidR="003E25FA" w:rsidRPr="00286BAD" w:rsidRDefault="003E25FA" w:rsidP="003E25FA">
      <w:pPr>
        <w:tabs>
          <w:tab w:val="left" w:pos="2325"/>
        </w:tabs>
        <w:spacing w:after="0" w:line="240" w:lineRule="auto"/>
        <w:jc w:val="both"/>
        <w:rPr>
          <w:lang w:val="ca-ES"/>
        </w:rPr>
      </w:pPr>
    </w:p>
    <w:p w14:paraId="0A703B76" w14:textId="4D92A2D8" w:rsidR="006A6CDD" w:rsidRPr="00286BAD" w:rsidRDefault="006A6CDD" w:rsidP="003E25FA">
      <w:pPr>
        <w:tabs>
          <w:tab w:val="left" w:pos="2325"/>
        </w:tabs>
        <w:spacing w:after="0" w:line="240" w:lineRule="auto"/>
        <w:jc w:val="both"/>
        <w:rPr>
          <w:lang w:val="ca-ES"/>
        </w:rPr>
      </w:pPr>
      <w:r w:rsidRPr="00286BAD">
        <w:rPr>
          <w:lang w:val="ca-ES"/>
        </w:rPr>
        <w:t xml:space="preserve">Marcar amb una X l’opció seleccionada: </w:t>
      </w:r>
    </w:p>
    <w:p w14:paraId="39E742FB" w14:textId="77777777" w:rsidR="006A6CDD" w:rsidRPr="00286BAD" w:rsidRDefault="006A6CDD" w:rsidP="003E25FA">
      <w:pPr>
        <w:tabs>
          <w:tab w:val="left" w:pos="2325"/>
        </w:tabs>
        <w:spacing w:after="0" w:line="240" w:lineRule="auto"/>
        <w:jc w:val="both"/>
        <w:rPr>
          <w:lang w:val="ca-ES"/>
        </w:rPr>
      </w:pPr>
    </w:p>
    <w:tbl>
      <w:tblPr>
        <w:tblStyle w:val="Tablaconcuadrcula5oscura-nfasis6"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2185"/>
        <w:gridCol w:w="333"/>
        <w:gridCol w:w="2242"/>
      </w:tblGrid>
      <w:tr w:rsidR="006A6CDD" w:rsidRPr="00286BAD" w14:paraId="43EEE9C2" w14:textId="77777777" w:rsidTr="00BD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02CAB3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rPr>
                <w:lang w:val="ca-ES"/>
              </w:rPr>
            </w:pPr>
            <w:r w:rsidRPr="00286BAD">
              <w:rPr>
                <w:lang w:val="ca-ES"/>
              </w:rPr>
              <w:t>Reducció proposada</w:t>
            </w:r>
          </w:p>
        </w:tc>
        <w:tc>
          <w:tcPr>
            <w:tcW w:w="0" w:type="auto"/>
            <w:gridSpan w:val="2"/>
            <w:hideMark/>
          </w:tcPr>
          <w:p w14:paraId="72A9210C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286BAD">
              <w:rPr>
                <w:lang w:val="ca-ES"/>
              </w:rPr>
              <w:t>Termini total proposat</w:t>
            </w:r>
          </w:p>
          <w:p w14:paraId="3E796B63" w14:textId="5D65BA6D" w:rsidR="006A6CDD" w:rsidRPr="00286BAD" w:rsidRDefault="006A6CDD" w:rsidP="006A6CDD">
            <w:pPr>
              <w:tabs>
                <w:tab w:val="left" w:pos="232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286BAD">
              <w:rPr>
                <w:b w:val="0"/>
                <w:bCs w:val="0"/>
                <w:lang w:val="ca-ES"/>
              </w:rPr>
              <w:t xml:space="preserve">   </w:t>
            </w:r>
          </w:p>
        </w:tc>
        <w:tc>
          <w:tcPr>
            <w:tcW w:w="0" w:type="auto"/>
            <w:hideMark/>
          </w:tcPr>
          <w:p w14:paraId="61A9A369" w14:textId="6B2D288C" w:rsidR="006A6CDD" w:rsidRPr="00286BAD" w:rsidRDefault="006A6CDD" w:rsidP="006A6CDD">
            <w:pPr>
              <w:tabs>
                <w:tab w:val="left" w:pos="232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Puntuació atorgada</w:t>
            </w:r>
          </w:p>
        </w:tc>
      </w:tr>
      <w:tr w:rsidR="006A6CDD" w:rsidRPr="00286BAD" w14:paraId="59861A20" w14:textId="77777777" w:rsidTr="006A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8A7F8F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rPr>
                <w:lang w:val="ca-ES"/>
              </w:rPr>
            </w:pPr>
            <w:r w:rsidRPr="00286BAD">
              <w:rPr>
                <w:lang w:val="ca-ES"/>
              </w:rPr>
              <w:t>0 setmanes</w:t>
            </w:r>
          </w:p>
        </w:tc>
        <w:tc>
          <w:tcPr>
            <w:tcW w:w="0" w:type="auto"/>
            <w:hideMark/>
          </w:tcPr>
          <w:p w14:paraId="3F4C60C0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16 setmanes</w:t>
            </w:r>
          </w:p>
        </w:tc>
        <w:tc>
          <w:tcPr>
            <w:tcW w:w="0" w:type="auto"/>
          </w:tcPr>
          <w:p w14:paraId="13076EDC" w14:textId="22ADC52F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 xml:space="preserve"> </w:t>
            </w:r>
          </w:p>
        </w:tc>
        <w:tc>
          <w:tcPr>
            <w:tcW w:w="0" w:type="auto"/>
            <w:hideMark/>
          </w:tcPr>
          <w:p w14:paraId="70286A62" w14:textId="5319776D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0 punts</w:t>
            </w:r>
          </w:p>
        </w:tc>
      </w:tr>
      <w:tr w:rsidR="006A6CDD" w:rsidRPr="00286BAD" w14:paraId="7A6F5179" w14:textId="77777777" w:rsidTr="006A6C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A52674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rPr>
                <w:lang w:val="ca-ES"/>
              </w:rPr>
            </w:pPr>
            <w:r w:rsidRPr="00286BAD">
              <w:rPr>
                <w:lang w:val="ca-ES"/>
              </w:rPr>
              <w:t>1 setmana</w:t>
            </w:r>
          </w:p>
        </w:tc>
        <w:tc>
          <w:tcPr>
            <w:tcW w:w="0" w:type="auto"/>
            <w:hideMark/>
          </w:tcPr>
          <w:p w14:paraId="42C0E80A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15 setmanes</w:t>
            </w:r>
          </w:p>
        </w:tc>
        <w:tc>
          <w:tcPr>
            <w:tcW w:w="0" w:type="auto"/>
          </w:tcPr>
          <w:p w14:paraId="4406365C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0" w:type="auto"/>
            <w:hideMark/>
          </w:tcPr>
          <w:p w14:paraId="7D928E70" w14:textId="1F34B4BB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2,5 punts</w:t>
            </w:r>
          </w:p>
        </w:tc>
      </w:tr>
      <w:tr w:rsidR="006A6CDD" w:rsidRPr="00286BAD" w14:paraId="5EBE55AD" w14:textId="77777777" w:rsidTr="006A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599A7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rPr>
                <w:lang w:val="ca-ES"/>
              </w:rPr>
            </w:pPr>
            <w:r w:rsidRPr="00286BAD">
              <w:rPr>
                <w:lang w:val="ca-ES"/>
              </w:rPr>
              <w:t>2 setmanes</w:t>
            </w:r>
          </w:p>
        </w:tc>
        <w:tc>
          <w:tcPr>
            <w:tcW w:w="0" w:type="auto"/>
            <w:hideMark/>
          </w:tcPr>
          <w:p w14:paraId="55345789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14 setmanes</w:t>
            </w:r>
          </w:p>
        </w:tc>
        <w:tc>
          <w:tcPr>
            <w:tcW w:w="0" w:type="auto"/>
          </w:tcPr>
          <w:p w14:paraId="3246E6E8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0" w:type="auto"/>
            <w:hideMark/>
          </w:tcPr>
          <w:p w14:paraId="540F01A1" w14:textId="3D604BC0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5 punts</w:t>
            </w:r>
          </w:p>
        </w:tc>
      </w:tr>
      <w:tr w:rsidR="006A6CDD" w:rsidRPr="00286BAD" w14:paraId="7189E428" w14:textId="77777777" w:rsidTr="006A6C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9C608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rPr>
                <w:lang w:val="ca-ES"/>
              </w:rPr>
            </w:pPr>
            <w:r w:rsidRPr="00286BAD">
              <w:rPr>
                <w:lang w:val="ca-ES"/>
              </w:rPr>
              <w:t>3 setmanes</w:t>
            </w:r>
          </w:p>
        </w:tc>
        <w:tc>
          <w:tcPr>
            <w:tcW w:w="0" w:type="auto"/>
            <w:hideMark/>
          </w:tcPr>
          <w:p w14:paraId="115F083C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13 setmanes</w:t>
            </w:r>
          </w:p>
        </w:tc>
        <w:tc>
          <w:tcPr>
            <w:tcW w:w="0" w:type="auto"/>
          </w:tcPr>
          <w:p w14:paraId="77FFB64B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0" w:type="auto"/>
            <w:hideMark/>
          </w:tcPr>
          <w:p w14:paraId="05CBABC9" w14:textId="65152A2C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7,5 punts</w:t>
            </w:r>
          </w:p>
        </w:tc>
      </w:tr>
      <w:tr w:rsidR="006A6CDD" w:rsidRPr="00286BAD" w14:paraId="0DA6D0B4" w14:textId="77777777" w:rsidTr="006A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02BDD4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rPr>
                <w:lang w:val="ca-ES"/>
              </w:rPr>
            </w:pPr>
            <w:r w:rsidRPr="00286BAD">
              <w:rPr>
                <w:lang w:val="ca-ES"/>
              </w:rPr>
              <w:t>4 setmanes</w:t>
            </w:r>
          </w:p>
        </w:tc>
        <w:tc>
          <w:tcPr>
            <w:tcW w:w="0" w:type="auto"/>
            <w:hideMark/>
          </w:tcPr>
          <w:p w14:paraId="4E394C0D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12 setmanes</w:t>
            </w:r>
          </w:p>
        </w:tc>
        <w:tc>
          <w:tcPr>
            <w:tcW w:w="0" w:type="auto"/>
          </w:tcPr>
          <w:p w14:paraId="55DC2B02" w14:textId="77777777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</w:p>
        </w:tc>
        <w:tc>
          <w:tcPr>
            <w:tcW w:w="0" w:type="auto"/>
            <w:hideMark/>
          </w:tcPr>
          <w:p w14:paraId="072766FE" w14:textId="2801530F" w:rsidR="006A6CDD" w:rsidRPr="00286BAD" w:rsidRDefault="006A6CDD" w:rsidP="006A6CDD">
            <w:pPr>
              <w:tabs>
                <w:tab w:val="left" w:pos="232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a-ES"/>
              </w:rPr>
            </w:pPr>
            <w:r w:rsidRPr="00286BAD">
              <w:rPr>
                <w:lang w:val="ca-ES"/>
              </w:rPr>
              <w:t>10 punts</w:t>
            </w:r>
          </w:p>
        </w:tc>
      </w:tr>
    </w:tbl>
    <w:p w14:paraId="374F044C" w14:textId="77777777" w:rsidR="006A6CDD" w:rsidRPr="00286BAD" w:rsidRDefault="006A6CDD" w:rsidP="003E25FA">
      <w:pPr>
        <w:tabs>
          <w:tab w:val="left" w:pos="2325"/>
        </w:tabs>
        <w:spacing w:after="0" w:line="240" w:lineRule="auto"/>
        <w:jc w:val="both"/>
        <w:rPr>
          <w:lang w:val="ca-ES"/>
        </w:rPr>
      </w:pPr>
    </w:p>
    <w:p w14:paraId="36FA8854" w14:textId="77777777" w:rsidR="003E25FA" w:rsidRPr="00286BAD" w:rsidRDefault="003E25FA" w:rsidP="003E25FA">
      <w:pPr>
        <w:pStyle w:val="Prrafodelista"/>
        <w:tabs>
          <w:tab w:val="left" w:pos="2325"/>
        </w:tabs>
        <w:spacing w:after="0" w:line="240" w:lineRule="auto"/>
        <w:ind w:left="1080" w:firstLine="0"/>
        <w:rPr>
          <w:lang w:val="ca-ES"/>
        </w:rPr>
      </w:pPr>
    </w:p>
    <w:p w14:paraId="539C06A7" w14:textId="77777777" w:rsidR="003E25FA" w:rsidRPr="00286BAD" w:rsidRDefault="003E25FA" w:rsidP="003E25FA">
      <w:pPr>
        <w:pStyle w:val="Prrafodelista"/>
        <w:tabs>
          <w:tab w:val="left" w:pos="2325"/>
        </w:tabs>
        <w:spacing w:after="0" w:line="240" w:lineRule="auto"/>
        <w:ind w:left="1080" w:firstLine="0"/>
        <w:rPr>
          <w:lang w:val="ca-ES"/>
        </w:rPr>
      </w:pPr>
    </w:p>
    <w:sectPr w:rsidR="003E25FA" w:rsidRPr="00286BAD" w:rsidSect="007B02C1">
      <w:headerReference w:type="default" r:id="rId9"/>
      <w:footerReference w:type="default" r:id="rId10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E068" w14:textId="77777777" w:rsidR="007B02C1" w:rsidRDefault="007B02C1" w:rsidP="009F228D">
      <w:r>
        <w:separator/>
      </w:r>
    </w:p>
  </w:endnote>
  <w:endnote w:type="continuationSeparator" w:id="0">
    <w:p w14:paraId="20AB6EAE" w14:textId="77777777" w:rsidR="007B02C1" w:rsidRDefault="007B02C1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color w:val="C0C0C0"/>
      </w:rPr>
    </w:pPr>
    <w:proofErr w:type="spellStart"/>
    <w:r w:rsidRPr="0041356D">
      <w:rPr>
        <w:color w:val="C0C0C0"/>
      </w:rPr>
      <w:t>Ajuntament</w:t>
    </w:r>
    <w:proofErr w:type="spellEnd"/>
    <w:r w:rsidRPr="0041356D">
      <w:rPr>
        <w:color w:val="C0C0C0"/>
      </w:rPr>
      <w:t xml:space="preserve"> de La Torre de Claramunt, </w:t>
    </w:r>
    <w:proofErr w:type="spellStart"/>
    <w:r w:rsidRPr="0041356D">
      <w:rPr>
        <w:color w:val="C0C0C0"/>
      </w:rPr>
      <w:t>Plaça</w:t>
    </w:r>
    <w:proofErr w:type="spellEnd"/>
    <w:r w:rsidRPr="0041356D">
      <w:rPr>
        <w:color w:val="C0C0C0"/>
      </w:rPr>
      <w:t xml:space="preserve"> de </w:t>
    </w:r>
    <w:proofErr w:type="spellStart"/>
    <w:r w:rsidRPr="0041356D">
      <w:rPr>
        <w:color w:val="C0C0C0"/>
      </w:rPr>
      <w:t>l’Ajuntament</w:t>
    </w:r>
    <w:proofErr w:type="spellEnd"/>
    <w:r w:rsidRPr="0041356D">
      <w:rPr>
        <w:color w:val="C0C0C0"/>
      </w:rPr>
      <w:t>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</w:pPr>
    <w:proofErr w:type="spellStart"/>
    <w:r w:rsidRPr="0041356D">
      <w:rPr>
        <w:color w:val="C0C0C0"/>
      </w:rPr>
      <w:t>Telèfon</w:t>
    </w:r>
    <w:proofErr w:type="spellEnd"/>
    <w:r w:rsidRPr="0041356D">
      <w:rPr>
        <w:color w:val="C0C0C0"/>
      </w:rPr>
      <w:t xml:space="preserve"> 93 801 03 29 Fax 93 801 08 17  a/e </w:t>
    </w:r>
    <w:hyperlink r:id="rId1" w:history="1">
      <w:r w:rsidRPr="0041356D">
        <w:rPr>
          <w:rStyle w:val="Hipervnculo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cstheme="majorHAnsi"/>
      </w:rPr>
    </w:pPr>
    <w:r w:rsidRPr="0041356D">
      <w:rPr>
        <w:color w:val="4472C4" w:themeColor="accent1"/>
      </w:rPr>
      <w:t xml:space="preserve">Página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PAGE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  <w:r w:rsidRPr="0041356D">
      <w:rPr>
        <w:color w:val="4472C4" w:themeColor="accent1"/>
      </w:rPr>
      <w:t xml:space="preserve"> de </w:t>
    </w:r>
    <w:r w:rsidRPr="0041356D">
      <w:rPr>
        <w:color w:val="4472C4" w:themeColor="accent1"/>
      </w:rPr>
      <w:fldChar w:fldCharType="begin"/>
    </w:r>
    <w:r w:rsidRPr="0041356D">
      <w:rPr>
        <w:color w:val="4472C4" w:themeColor="accent1"/>
      </w:rPr>
      <w:instrText>NUMPAGES  \* Arabic  \* MERGEFORMAT</w:instrText>
    </w:r>
    <w:r w:rsidRPr="0041356D">
      <w:rPr>
        <w:color w:val="4472C4" w:themeColor="accent1"/>
      </w:rPr>
      <w:fldChar w:fldCharType="separate"/>
    </w:r>
    <w:r w:rsidRPr="0041356D">
      <w:rPr>
        <w:color w:val="4472C4" w:themeColor="accent1"/>
      </w:rPr>
      <w:t>2</w:t>
    </w:r>
    <w:r w:rsidRPr="0041356D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CF9E" w14:textId="77777777" w:rsidR="007B02C1" w:rsidRDefault="007B02C1" w:rsidP="009F228D">
      <w:r>
        <w:separator/>
      </w:r>
    </w:p>
  </w:footnote>
  <w:footnote w:type="continuationSeparator" w:id="0">
    <w:p w14:paraId="440F766E" w14:textId="77777777" w:rsidR="007B02C1" w:rsidRDefault="007B02C1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1F93"/>
    <w:multiLevelType w:val="hybridMultilevel"/>
    <w:tmpl w:val="E326B10A"/>
    <w:lvl w:ilvl="0" w:tplc="74F8DCC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57429"/>
    <w:multiLevelType w:val="multilevel"/>
    <w:tmpl w:val="562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26795"/>
    <w:multiLevelType w:val="multilevel"/>
    <w:tmpl w:val="0EDC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42BD9"/>
    <w:multiLevelType w:val="multilevel"/>
    <w:tmpl w:val="B69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914907">
    <w:abstractNumId w:val="0"/>
  </w:num>
  <w:num w:numId="2" w16cid:durableId="521895226">
    <w:abstractNumId w:val="3"/>
  </w:num>
  <w:num w:numId="3" w16cid:durableId="924340871">
    <w:abstractNumId w:val="1"/>
  </w:num>
  <w:num w:numId="4" w16cid:durableId="95645388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FF3"/>
    <w:rsid w:val="000803BA"/>
    <w:rsid w:val="0009316D"/>
    <w:rsid w:val="000A1940"/>
    <w:rsid w:val="000A352F"/>
    <w:rsid w:val="000B0C58"/>
    <w:rsid w:val="000B2093"/>
    <w:rsid w:val="000E564E"/>
    <w:rsid w:val="000F4D72"/>
    <w:rsid w:val="000F5729"/>
    <w:rsid w:val="00106B61"/>
    <w:rsid w:val="00121C69"/>
    <w:rsid w:val="00136B2C"/>
    <w:rsid w:val="00157F9F"/>
    <w:rsid w:val="001710CC"/>
    <w:rsid w:val="001736FA"/>
    <w:rsid w:val="00194C46"/>
    <w:rsid w:val="001B2F22"/>
    <w:rsid w:val="001B5BA5"/>
    <w:rsid w:val="001E6B0C"/>
    <w:rsid w:val="001F61DC"/>
    <w:rsid w:val="00213096"/>
    <w:rsid w:val="00220226"/>
    <w:rsid w:val="002217CB"/>
    <w:rsid w:val="00222479"/>
    <w:rsid w:val="00227A46"/>
    <w:rsid w:val="0023419E"/>
    <w:rsid w:val="002535D7"/>
    <w:rsid w:val="00280FB3"/>
    <w:rsid w:val="00286BAD"/>
    <w:rsid w:val="002A00AA"/>
    <w:rsid w:val="002A57AD"/>
    <w:rsid w:val="002C2383"/>
    <w:rsid w:val="002D34F3"/>
    <w:rsid w:val="002F39F4"/>
    <w:rsid w:val="0031710B"/>
    <w:rsid w:val="00321255"/>
    <w:rsid w:val="0032696D"/>
    <w:rsid w:val="00336589"/>
    <w:rsid w:val="00337DF1"/>
    <w:rsid w:val="003631F1"/>
    <w:rsid w:val="00382317"/>
    <w:rsid w:val="003929AD"/>
    <w:rsid w:val="003B1A97"/>
    <w:rsid w:val="003E25FA"/>
    <w:rsid w:val="003E3460"/>
    <w:rsid w:val="003F739B"/>
    <w:rsid w:val="0041356D"/>
    <w:rsid w:val="00425B54"/>
    <w:rsid w:val="004261A2"/>
    <w:rsid w:val="004404EA"/>
    <w:rsid w:val="004532B9"/>
    <w:rsid w:val="00453A9E"/>
    <w:rsid w:val="00453E11"/>
    <w:rsid w:val="004668F0"/>
    <w:rsid w:val="00466D3E"/>
    <w:rsid w:val="00471E19"/>
    <w:rsid w:val="004874AA"/>
    <w:rsid w:val="004937A4"/>
    <w:rsid w:val="004A64EB"/>
    <w:rsid w:val="004B1EC6"/>
    <w:rsid w:val="004E4E5C"/>
    <w:rsid w:val="00502198"/>
    <w:rsid w:val="00513F80"/>
    <w:rsid w:val="0053497B"/>
    <w:rsid w:val="00544E32"/>
    <w:rsid w:val="00575439"/>
    <w:rsid w:val="00577F69"/>
    <w:rsid w:val="00585806"/>
    <w:rsid w:val="005B4157"/>
    <w:rsid w:val="005B61A6"/>
    <w:rsid w:val="005C0AED"/>
    <w:rsid w:val="005D05BB"/>
    <w:rsid w:val="005D3694"/>
    <w:rsid w:val="005F4118"/>
    <w:rsid w:val="00601788"/>
    <w:rsid w:val="00607B58"/>
    <w:rsid w:val="006207F9"/>
    <w:rsid w:val="006212FF"/>
    <w:rsid w:val="00631D71"/>
    <w:rsid w:val="00651488"/>
    <w:rsid w:val="0066142E"/>
    <w:rsid w:val="00672C64"/>
    <w:rsid w:val="0069362F"/>
    <w:rsid w:val="00695725"/>
    <w:rsid w:val="006A02B8"/>
    <w:rsid w:val="006A6CDD"/>
    <w:rsid w:val="006C4DAE"/>
    <w:rsid w:val="006E5186"/>
    <w:rsid w:val="006E74CE"/>
    <w:rsid w:val="00706139"/>
    <w:rsid w:val="0071407E"/>
    <w:rsid w:val="007202A3"/>
    <w:rsid w:val="00724429"/>
    <w:rsid w:val="007305C4"/>
    <w:rsid w:val="00733F61"/>
    <w:rsid w:val="0074510F"/>
    <w:rsid w:val="00763B27"/>
    <w:rsid w:val="007740BC"/>
    <w:rsid w:val="0077593D"/>
    <w:rsid w:val="00777F95"/>
    <w:rsid w:val="007B02C1"/>
    <w:rsid w:val="007B357C"/>
    <w:rsid w:val="007C1696"/>
    <w:rsid w:val="007C7AE5"/>
    <w:rsid w:val="007D0951"/>
    <w:rsid w:val="007F5BCF"/>
    <w:rsid w:val="007F665D"/>
    <w:rsid w:val="00824431"/>
    <w:rsid w:val="00856A87"/>
    <w:rsid w:val="00862C50"/>
    <w:rsid w:val="00871080"/>
    <w:rsid w:val="00871F6C"/>
    <w:rsid w:val="00882558"/>
    <w:rsid w:val="008A36F5"/>
    <w:rsid w:val="008A45B2"/>
    <w:rsid w:val="008C12C3"/>
    <w:rsid w:val="008D5CCE"/>
    <w:rsid w:val="00900C2D"/>
    <w:rsid w:val="0090543F"/>
    <w:rsid w:val="0092094B"/>
    <w:rsid w:val="00934D86"/>
    <w:rsid w:val="00941A56"/>
    <w:rsid w:val="009421B9"/>
    <w:rsid w:val="0094505C"/>
    <w:rsid w:val="00947116"/>
    <w:rsid w:val="00952D1B"/>
    <w:rsid w:val="00956F4E"/>
    <w:rsid w:val="009722DC"/>
    <w:rsid w:val="009A1D8C"/>
    <w:rsid w:val="009D7D0F"/>
    <w:rsid w:val="009E743F"/>
    <w:rsid w:val="009E74C3"/>
    <w:rsid w:val="009F228D"/>
    <w:rsid w:val="009F6017"/>
    <w:rsid w:val="009F6A43"/>
    <w:rsid w:val="00A16FC6"/>
    <w:rsid w:val="00A344C7"/>
    <w:rsid w:val="00A74A89"/>
    <w:rsid w:val="00A86878"/>
    <w:rsid w:val="00AC048C"/>
    <w:rsid w:val="00AF01C1"/>
    <w:rsid w:val="00B16688"/>
    <w:rsid w:val="00B31F57"/>
    <w:rsid w:val="00B51FD5"/>
    <w:rsid w:val="00B543DC"/>
    <w:rsid w:val="00B74AC9"/>
    <w:rsid w:val="00B83087"/>
    <w:rsid w:val="00B8315A"/>
    <w:rsid w:val="00B90D14"/>
    <w:rsid w:val="00BA07FE"/>
    <w:rsid w:val="00BB726F"/>
    <w:rsid w:val="00BE2B97"/>
    <w:rsid w:val="00BE3732"/>
    <w:rsid w:val="00BE4D3C"/>
    <w:rsid w:val="00C14A19"/>
    <w:rsid w:val="00C22BBD"/>
    <w:rsid w:val="00C35366"/>
    <w:rsid w:val="00C441D1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4B45"/>
    <w:rsid w:val="00D76761"/>
    <w:rsid w:val="00D802E4"/>
    <w:rsid w:val="00D82F0A"/>
    <w:rsid w:val="00D83BD9"/>
    <w:rsid w:val="00D84D01"/>
    <w:rsid w:val="00DA3D28"/>
    <w:rsid w:val="00DB57E4"/>
    <w:rsid w:val="00DC1F78"/>
    <w:rsid w:val="00DD723A"/>
    <w:rsid w:val="00E03C61"/>
    <w:rsid w:val="00E119C7"/>
    <w:rsid w:val="00E23518"/>
    <w:rsid w:val="00E40453"/>
    <w:rsid w:val="00E423F1"/>
    <w:rsid w:val="00E44266"/>
    <w:rsid w:val="00E64876"/>
    <w:rsid w:val="00E7454B"/>
    <w:rsid w:val="00E77B27"/>
    <w:rsid w:val="00E8509E"/>
    <w:rsid w:val="00E9521C"/>
    <w:rsid w:val="00EA15F9"/>
    <w:rsid w:val="00EB234C"/>
    <w:rsid w:val="00EB5605"/>
    <w:rsid w:val="00EB61CA"/>
    <w:rsid w:val="00EC01A8"/>
    <w:rsid w:val="00ED2116"/>
    <w:rsid w:val="00F0772C"/>
    <w:rsid w:val="00F0798E"/>
    <w:rsid w:val="00F127DF"/>
    <w:rsid w:val="00F129D9"/>
    <w:rsid w:val="00F16F18"/>
    <w:rsid w:val="00F257A0"/>
    <w:rsid w:val="00F80A2D"/>
    <w:rsid w:val="00F81EE5"/>
    <w:rsid w:val="00FB5EFC"/>
    <w:rsid w:val="00FD2141"/>
    <w:rsid w:val="00FD4BF1"/>
    <w:rsid w:val="00FF5CD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21B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F16F18"/>
  </w:style>
  <w:style w:type="paragraph" w:styleId="NormalWeb">
    <w:name w:val="Normal (Web)"/>
    <w:basedOn w:val="Normal"/>
    <w:uiPriority w:val="99"/>
    <w:semiHidden/>
    <w:unhideWhenUsed/>
    <w:rsid w:val="003E25FA"/>
    <w:rPr>
      <w:rFonts w:ascii="Times New Roman" w:hAnsi="Times New Roman" w:cs="Times New Roman"/>
      <w:sz w:val="24"/>
      <w:szCs w:val="24"/>
    </w:rPr>
  </w:style>
  <w:style w:type="table" w:styleId="Tablaconcuadrcula5oscura-nfasis6">
    <w:name w:val="Grid Table 5 Dark Accent 6"/>
    <w:basedOn w:val="Tablanormal"/>
    <w:uiPriority w:val="50"/>
    <w:rsid w:val="006A6C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SinespaciadoCar">
    <w:name w:val="Sin espaciado Car"/>
    <w:link w:val="Sinespaciado"/>
    <w:uiPriority w:val="1"/>
    <w:locked/>
    <w:rsid w:val="007202A3"/>
    <w:rPr>
      <w:rFonts w:ascii="Liberation Sans" w:eastAsia="Liberation Sans" w:hAnsi="Liberation Sans" w:cs="Liberatio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8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23</cp:revision>
  <cp:lastPrinted>2025-02-11T08:12:00Z</cp:lastPrinted>
  <dcterms:created xsi:type="dcterms:W3CDTF">2025-01-28T08:41:00Z</dcterms:created>
  <dcterms:modified xsi:type="dcterms:W3CDTF">2025-05-28T10:22:00Z</dcterms:modified>
</cp:coreProperties>
</file>