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8F86" w14:textId="33A1A046" w:rsidR="00835F91" w:rsidRDefault="00835F91" w:rsidP="00835F91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PROTECCIÓ DE DADES I DEURE DE CONFIDENCIALITAT</w:t>
      </w:r>
    </w:p>
    <w:p w14:paraId="5F77CEB6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</w:p>
    <w:p w14:paraId="1241FD74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r la contractació dels serveis de</w:t>
      </w:r>
      <w:r w:rsidRPr="00C96FF8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8F10B7">
        <w:rPr>
          <w:sz w:val="22"/>
          <w:szCs w:val="22"/>
        </w:rPr>
        <w:t>MOSTREJOS DE MACROINVERTEBRATS I DIATOMEES EN PUNTS SELECCIONATS DEL DCFC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326,</w:t>
      </w:r>
      <w:r w:rsidRPr="00C036B4">
        <w:rPr>
          <w:sz w:val="22"/>
          <w:szCs w:val="22"/>
        </w:rPr>
        <w:t xml:space="preserve"> </w:t>
      </w:r>
      <w:r w:rsidRPr="00C96FF8">
        <w:rPr>
          <w:sz w:val="22"/>
          <w:szCs w:val="22"/>
          <w:u w:val="single"/>
        </w:rPr>
        <w:t>no implica el tractament de dades personals</w:t>
      </w:r>
      <w:r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Pr="003C4395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sz w:val="22"/>
          <w:szCs w:val="22"/>
        </w:rPr>
        <w:t>,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>
        <w:rPr>
          <w:sz w:val="22"/>
          <w:szCs w:val="22"/>
        </w:rPr>
        <w:t>’</w:t>
      </w:r>
      <w:r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08A4FCBF" w14:textId="77777777" w:rsidR="00835F91" w:rsidRPr="00C036B4" w:rsidRDefault="00835F91" w:rsidP="00835F91">
      <w:pPr>
        <w:pStyle w:val="Default"/>
        <w:jc w:val="both"/>
        <w:rPr>
          <w:sz w:val="22"/>
          <w:szCs w:val="22"/>
        </w:rPr>
      </w:pPr>
    </w:p>
    <w:p w14:paraId="3C80E84E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C4395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385CC5AA" w14:textId="77777777" w:rsidR="00835F91" w:rsidRPr="00C036B4" w:rsidRDefault="00835F91" w:rsidP="00835F91">
      <w:pPr>
        <w:pStyle w:val="Default"/>
        <w:jc w:val="both"/>
        <w:rPr>
          <w:sz w:val="22"/>
          <w:szCs w:val="22"/>
        </w:rPr>
      </w:pPr>
    </w:p>
    <w:p w14:paraId="5A17CF9E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C4395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Pr="00C036B4">
        <w:rPr>
          <w:i/>
          <w:iCs/>
          <w:sz w:val="22"/>
          <w:szCs w:val="22"/>
        </w:rPr>
        <w:t>l’òrgan de contractació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5E84B777" w14:textId="77777777" w:rsidR="00835F91" w:rsidRPr="00C036B4" w:rsidRDefault="00835F91" w:rsidP="00835F91">
      <w:pPr>
        <w:pStyle w:val="Default"/>
        <w:jc w:val="both"/>
        <w:rPr>
          <w:sz w:val="22"/>
          <w:szCs w:val="22"/>
        </w:rPr>
      </w:pPr>
    </w:p>
    <w:p w14:paraId="247F2C9E" w14:textId="77777777" w:rsidR="00835F91" w:rsidRDefault="00835F91" w:rsidP="00835F91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3DDF81D0" w14:textId="77777777" w:rsidR="00835F91" w:rsidRDefault="00835F91" w:rsidP="00835F91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4283EF4A" w14:textId="77777777" w:rsidR="00835F91" w:rsidRDefault="00835F91" w:rsidP="00835F91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C4395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5A7FC4D8" w14:textId="77777777" w:rsidR="00835F91" w:rsidRPr="002A0758" w:rsidRDefault="00835F91" w:rsidP="00835F91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C4395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2AF7FF0" w14:textId="77777777" w:rsidR="00835F91" w:rsidRDefault="00835F91" w:rsidP="00835F91">
      <w:pPr>
        <w:pStyle w:val="Default"/>
        <w:jc w:val="both"/>
      </w:pPr>
    </w:p>
    <w:p w14:paraId="51CC027D" w14:textId="7F7A7B40" w:rsidR="00835F91" w:rsidRDefault="00835F91" w:rsidP="00835F91">
      <w:pPr>
        <w:pStyle w:val="Default"/>
        <w:jc w:val="both"/>
        <w:rPr>
          <w:sz w:val="22"/>
          <w:szCs w:val="22"/>
        </w:rPr>
      </w:pPr>
      <w:r w:rsidRPr="003C4395">
        <w:rPr>
          <w:i/>
          <w:iCs/>
          <w:sz w:val="22"/>
          <w:szCs w:val="22"/>
          <w:highlight w:val="yellow"/>
        </w:rPr>
        <w:t>L’(empresa contractista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18D74196" w14:textId="77777777" w:rsidR="003C4395" w:rsidRDefault="003C4395" w:rsidP="00835F91">
      <w:pPr>
        <w:pStyle w:val="Default"/>
        <w:jc w:val="both"/>
        <w:rPr>
          <w:sz w:val="22"/>
          <w:szCs w:val="22"/>
        </w:rPr>
      </w:pPr>
    </w:p>
    <w:p w14:paraId="1A884942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3C4395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796F2644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</w:p>
    <w:p w14:paraId="296B2950" w14:textId="77777777" w:rsidR="003C4395" w:rsidRDefault="003C4395" w:rsidP="00835F91">
      <w:pPr>
        <w:pStyle w:val="Default"/>
        <w:jc w:val="both"/>
        <w:rPr>
          <w:sz w:val="22"/>
          <w:szCs w:val="22"/>
          <w:highlight w:val="yellow"/>
        </w:rPr>
      </w:pPr>
    </w:p>
    <w:p w14:paraId="5ABDB178" w14:textId="77777777" w:rsidR="003C4395" w:rsidRDefault="003C4395" w:rsidP="00835F91">
      <w:pPr>
        <w:pStyle w:val="Default"/>
        <w:jc w:val="both"/>
        <w:rPr>
          <w:sz w:val="22"/>
          <w:szCs w:val="22"/>
          <w:highlight w:val="yellow"/>
        </w:rPr>
      </w:pPr>
    </w:p>
    <w:p w14:paraId="6668A182" w14:textId="77777777" w:rsidR="003C4395" w:rsidRDefault="003C4395" w:rsidP="00835F91">
      <w:pPr>
        <w:pStyle w:val="Default"/>
        <w:jc w:val="both"/>
        <w:rPr>
          <w:sz w:val="22"/>
          <w:szCs w:val="22"/>
          <w:highlight w:val="yellow"/>
        </w:rPr>
      </w:pPr>
    </w:p>
    <w:p w14:paraId="08A36586" w14:textId="77777777" w:rsidR="003C4395" w:rsidRDefault="003C4395" w:rsidP="00835F91">
      <w:pPr>
        <w:pStyle w:val="Default"/>
        <w:jc w:val="both"/>
        <w:rPr>
          <w:sz w:val="22"/>
          <w:szCs w:val="22"/>
          <w:highlight w:val="yellow"/>
        </w:rPr>
      </w:pPr>
    </w:p>
    <w:p w14:paraId="381BEEDF" w14:textId="5708D36A" w:rsidR="00835F91" w:rsidRDefault="00835F91" w:rsidP="00835F91">
      <w:pPr>
        <w:pStyle w:val="Default"/>
        <w:jc w:val="both"/>
        <w:rPr>
          <w:sz w:val="22"/>
          <w:szCs w:val="22"/>
        </w:rPr>
      </w:pPr>
      <w:r w:rsidRPr="003C4395">
        <w:rPr>
          <w:sz w:val="22"/>
          <w:szCs w:val="22"/>
          <w:highlight w:val="yellow"/>
        </w:rPr>
        <w:t>L’(</w:t>
      </w:r>
      <w:r w:rsidRPr="003C4395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C4395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22A7B7B5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</w:p>
    <w:p w14:paraId="173F544D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C4395">
        <w:rPr>
          <w:sz w:val="22"/>
          <w:szCs w:val="22"/>
          <w:highlight w:val="yellow"/>
        </w:rPr>
        <w:t>(</w:t>
      </w:r>
      <w:r w:rsidRPr="003C4395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7391D4A1" w14:textId="77777777" w:rsidR="00835F91" w:rsidRDefault="00835F91" w:rsidP="00835F91">
      <w:pPr>
        <w:pStyle w:val="Default"/>
        <w:jc w:val="both"/>
        <w:rPr>
          <w:sz w:val="22"/>
          <w:szCs w:val="22"/>
        </w:rPr>
      </w:pPr>
    </w:p>
    <w:p w14:paraId="3C970958" w14:textId="69BF739A" w:rsidR="00835F91" w:rsidRPr="008D316D" w:rsidRDefault="00835F91" w:rsidP="00835F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1E6A1" wp14:editId="382B21E1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24FA" w14:textId="77777777" w:rsidR="00835F91" w:rsidRDefault="00835F91" w:rsidP="00835F91"/>
                          <w:p w14:paraId="4C044CAF" w14:textId="77777777" w:rsidR="00835F91" w:rsidRDefault="00835F91" w:rsidP="00835F91"/>
                          <w:p w14:paraId="5BFEA273" w14:textId="77777777" w:rsidR="00835F91" w:rsidRDefault="00835F91" w:rsidP="00835F91"/>
                          <w:p w14:paraId="52AAFD8D" w14:textId="77777777" w:rsidR="00835F91" w:rsidRDefault="00835F91" w:rsidP="00835F91"/>
                          <w:p w14:paraId="04CDFA05" w14:textId="77777777" w:rsidR="00835F91" w:rsidRPr="00493013" w:rsidRDefault="00835F91" w:rsidP="00835F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E6A1" id="Rectangle 8" o:spid="_x0000_s1029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285124FA" w14:textId="77777777" w:rsidR="00835F91" w:rsidRDefault="00835F91" w:rsidP="00835F91"/>
                    <w:p w14:paraId="4C044CAF" w14:textId="77777777" w:rsidR="00835F91" w:rsidRDefault="00835F91" w:rsidP="00835F91"/>
                    <w:p w14:paraId="5BFEA273" w14:textId="77777777" w:rsidR="00835F91" w:rsidRDefault="00835F91" w:rsidP="00835F91"/>
                    <w:p w14:paraId="52AAFD8D" w14:textId="77777777" w:rsidR="00835F91" w:rsidRDefault="00835F91" w:rsidP="00835F91"/>
                    <w:p w14:paraId="04CDFA05" w14:textId="77777777" w:rsidR="00835F91" w:rsidRPr="00493013" w:rsidRDefault="00835F91" w:rsidP="00835F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094E3B55" w14:textId="77777777" w:rsidR="00835F91" w:rsidRDefault="00835F91" w:rsidP="00835F91">
      <w:pPr>
        <w:rPr>
          <w:szCs w:val="22"/>
        </w:rPr>
      </w:pPr>
    </w:p>
    <w:p w14:paraId="1946CE80" w14:textId="77777777" w:rsidR="00835F91" w:rsidRDefault="00835F91" w:rsidP="00835F91">
      <w:pPr>
        <w:rPr>
          <w:szCs w:val="22"/>
        </w:rPr>
      </w:pPr>
    </w:p>
    <w:p w14:paraId="4C6CB4D4" w14:textId="77777777" w:rsidR="00835F91" w:rsidRDefault="00835F91" w:rsidP="00835F91">
      <w:pPr>
        <w:pStyle w:val="Capalera"/>
        <w:rPr>
          <w:rFonts w:cs="Arial"/>
          <w:bCs/>
          <w:szCs w:val="22"/>
        </w:rPr>
      </w:pPr>
    </w:p>
    <w:p w14:paraId="016208EE" w14:textId="77777777" w:rsidR="00835F91" w:rsidRDefault="00835F91" w:rsidP="00835F91">
      <w:pPr>
        <w:pStyle w:val="Default"/>
        <w:jc w:val="both"/>
        <w:rPr>
          <w:b/>
          <w:bCs/>
          <w:sz w:val="22"/>
          <w:szCs w:val="22"/>
        </w:rPr>
      </w:pPr>
    </w:p>
    <w:p w14:paraId="28FD32C2" w14:textId="77777777" w:rsidR="00835F91" w:rsidRDefault="00835F91" w:rsidP="00835F91">
      <w:pPr>
        <w:pStyle w:val="Default"/>
        <w:jc w:val="both"/>
        <w:rPr>
          <w:b/>
          <w:bCs/>
          <w:sz w:val="22"/>
          <w:szCs w:val="22"/>
        </w:rPr>
      </w:pPr>
    </w:p>
    <w:p w14:paraId="1490FAF9" w14:textId="77777777" w:rsidR="00835F91" w:rsidRDefault="00835F91" w:rsidP="00835F91">
      <w:pPr>
        <w:keepNext/>
        <w:keepLines/>
        <w:spacing w:line="276" w:lineRule="auto"/>
      </w:pPr>
    </w:p>
    <w:p w14:paraId="18F8CDCE" w14:textId="77777777" w:rsidR="00835F91" w:rsidRDefault="00835F91" w:rsidP="00835F91">
      <w:pPr>
        <w:keepNext/>
        <w:keepLines/>
        <w:spacing w:line="276" w:lineRule="auto"/>
      </w:pPr>
    </w:p>
    <w:p w14:paraId="1BFC2188" w14:textId="77777777" w:rsidR="00835F91" w:rsidRDefault="00835F91" w:rsidP="00835F91">
      <w:pPr>
        <w:jc w:val="center"/>
      </w:pPr>
    </w:p>
    <w:p w14:paraId="329F1764" w14:textId="77777777" w:rsidR="00835F91" w:rsidRDefault="00835F91" w:rsidP="00835F91"/>
    <w:p w14:paraId="1C512345" w14:textId="77777777" w:rsidR="00835F91" w:rsidRDefault="00835F91" w:rsidP="00835F91"/>
    <w:sectPr w:rsidR="00835F91" w:rsidSect="0019739B">
      <w:type w:val="continuous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B1D"/>
    <w:multiLevelType w:val="hybridMultilevel"/>
    <w:tmpl w:val="69684D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4846"/>
    <w:multiLevelType w:val="hybridMultilevel"/>
    <w:tmpl w:val="EA44FB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7C0F"/>
    <w:multiLevelType w:val="hybridMultilevel"/>
    <w:tmpl w:val="52FAB6D4"/>
    <w:lvl w:ilvl="0" w:tplc="CAACB7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133C6"/>
    <w:multiLevelType w:val="hybridMultilevel"/>
    <w:tmpl w:val="36FCB666"/>
    <w:lvl w:ilvl="0" w:tplc="A76C4E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F3A2B"/>
    <w:multiLevelType w:val="hybridMultilevel"/>
    <w:tmpl w:val="884660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C70F61"/>
    <w:multiLevelType w:val="hybridMultilevel"/>
    <w:tmpl w:val="71843B1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602B5"/>
    <w:multiLevelType w:val="hybridMultilevel"/>
    <w:tmpl w:val="22627B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7CA5B05"/>
    <w:multiLevelType w:val="hybridMultilevel"/>
    <w:tmpl w:val="3CEEC7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329EC"/>
    <w:multiLevelType w:val="hybridMultilevel"/>
    <w:tmpl w:val="5546D0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0FD8"/>
    <w:multiLevelType w:val="hybridMultilevel"/>
    <w:tmpl w:val="E2D49F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726ED"/>
    <w:multiLevelType w:val="hybridMultilevel"/>
    <w:tmpl w:val="A2EE34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4"/>
  </w:num>
  <w:num w:numId="7">
    <w:abstractNumId w:val="3"/>
  </w:num>
  <w:num w:numId="8">
    <w:abstractNumId w:val="2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6"/>
  </w:num>
  <w:num w:numId="14">
    <w:abstractNumId w:val="9"/>
  </w:num>
  <w:num w:numId="15">
    <w:abstractNumId w:val="31"/>
  </w:num>
  <w:num w:numId="16">
    <w:abstractNumId w:val="30"/>
  </w:num>
  <w:num w:numId="17">
    <w:abstractNumId w:val="15"/>
  </w:num>
  <w:num w:numId="18">
    <w:abstractNumId w:val="22"/>
  </w:num>
  <w:num w:numId="19">
    <w:abstractNumId w:val="17"/>
  </w:num>
  <w:num w:numId="20">
    <w:abstractNumId w:val="0"/>
  </w:num>
  <w:num w:numId="21">
    <w:abstractNumId w:val="20"/>
  </w:num>
  <w:num w:numId="22">
    <w:abstractNumId w:val="14"/>
  </w:num>
  <w:num w:numId="23">
    <w:abstractNumId w:val="10"/>
  </w:num>
  <w:num w:numId="24">
    <w:abstractNumId w:val="33"/>
  </w:num>
  <w:num w:numId="25">
    <w:abstractNumId w:val="29"/>
  </w:num>
  <w:num w:numId="26">
    <w:abstractNumId w:val="11"/>
  </w:num>
  <w:num w:numId="27">
    <w:abstractNumId w:val="28"/>
  </w:num>
  <w:num w:numId="28">
    <w:abstractNumId w:val="27"/>
  </w:num>
  <w:num w:numId="29">
    <w:abstractNumId w:val="26"/>
  </w:num>
  <w:num w:numId="30">
    <w:abstractNumId w:val="25"/>
  </w:num>
  <w:num w:numId="31">
    <w:abstractNumId w:val="32"/>
  </w:num>
  <w:num w:numId="32">
    <w:abstractNumId w:val="12"/>
  </w:num>
  <w:num w:numId="33">
    <w:abstractNumId w:val="2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1"/>
    <w:rsid w:val="000F52D3"/>
    <w:rsid w:val="0019739B"/>
    <w:rsid w:val="003C4395"/>
    <w:rsid w:val="008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67D9"/>
  <w15:chartTrackingRefBased/>
  <w15:docId w15:val="{FC087D01-839D-4739-A930-7C72D16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9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835F91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835F91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835F91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35F91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835F91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835F91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835F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835F91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835F9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835F91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835F91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835F91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835F91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835F91"/>
    <w:rPr>
      <w:noProof/>
      <w:color w:val="FF0000"/>
    </w:rPr>
  </w:style>
  <w:style w:type="paragraph" w:customStyle="1" w:styleId="DatoRemarcable">
    <w:name w:val="Dato Remarcable"/>
    <w:basedOn w:val="Normal"/>
    <w:rsid w:val="00835F91"/>
    <w:rPr>
      <w:b/>
      <w:noProof/>
    </w:rPr>
  </w:style>
  <w:style w:type="character" w:styleId="Enlla">
    <w:name w:val="Hyperlink"/>
    <w:uiPriority w:val="99"/>
    <w:unhideWhenUsed/>
    <w:rsid w:val="00835F91"/>
    <w:rPr>
      <w:color w:val="0563C1"/>
      <w:u w:val="single"/>
    </w:rPr>
  </w:style>
  <w:style w:type="paragraph" w:customStyle="1" w:styleId="paragraph">
    <w:name w:val="paragraph"/>
    <w:basedOn w:val="Normal"/>
    <w:rsid w:val="00835F91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835F91"/>
  </w:style>
  <w:style w:type="character" w:customStyle="1" w:styleId="eop">
    <w:name w:val="eop"/>
    <w:rsid w:val="00835F91"/>
  </w:style>
  <w:style w:type="paragraph" w:customStyle="1" w:styleId="Default">
    <w:name w:val="Default"/>
    <w:rsid w:val="00835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835F91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83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2025-06-24T05:54:00Z</dcterms:created>
  <dcterms:modified xsi:type="dcterms:W3CDTF">2025-06-24T06:03:00Z</dcterms:modified>
</cp:coreProperties>
</file>