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1143" w14:textId="77777777" w:rsidR="00212874" w:rsidRPr="000E2F45" w:rsidRDefault="00212874" w:rsidP="00212874">
      <w:pPr>
        <w:widowControl/>
        <w:suppressAutoHyphens w:val="0"/>
        <w:jc w:val="both"/>
        <w:rPr>
          <w:rFonts w:ascii="Arial" w:hAnsi="Arial" w:cs="Arial"/>
          <w:b/>
          <w:sz w:val="22"/>
          <w:szCs w:val="22"/>
        </w:rPr>
      </w:pPr>
      <w:r w:rsidRPr="000E2F45">
        <w:rPr>
          <w:rFonts w:ascii="Arial" w:hAnsi="Arial" w:cs="Arial"/>
          <w:b/>
          <w:sz w:val="22"/>
          <w:szCs w:val="22"/>
        </w:rPr>
        <w:t>ANNEX VII. PENALITATS</w:t>
      </w:r>
    </w:p>
    <w:p w14:paraId="2ABEFB9A" w14:textId="77777777" w:rsidR="00212874" w:rsidRPr="00A00E53" w:rsidRDefault="00212874" w:rsidP="00212874">
      <w:pPr>
        <w:tabs>
          <w:tab w:val="left" w:pos="284"/>
        </w:tabs>
        <w:ind w:left="360"/>
        <w:contextualSpacing/>
        <w:jc w:val="both"/>
        <w:rPr>
          <w:rFonts w:ascii="Arial" w:hAnsi="Arial" w:cs="Arial"/>
          <w:i/>
          <w:color w:val="FF0000"/>
          <w:spacing w:val="-3"/>
          <w:sz w:val="20"/>
          <w:szCs w:val="20"/>
        </w:rPr>
      </w:pPr>
    </w:p>
    <w:p w14:paraId="7BC708A0" w14:textId="77777777" w:rsidR="00212874" w:rsidRPr="00A00E53" w:rsidRDefault="00212874" w:rsidP="00212874">
      <w:pPr>
        <w:tabs>
          <w:tab w:val="left" w:pos="284"/>
        </w:tabs>
        <w:contextualSpacing/>
        <w:jc w:val="both"/>
        <w:rPr>
          <w:rFonts w:ascii="Arial" w:hAnsi="Arial" w:cs="Arial"/>
          <w:sz w:val="20"/>
          <w:szCs w:val="20"/>
        </w:rPr>
      </w:pPr>
    </w:p>
    <w:p w14:paraId="1DA2DF7C" w14:textId="77777777" w:rsidR="00212874" w:rsidRPr="000E2F45" w:rsidRDefault="00212874" w:rsidP="00212874">
      <w:pPr>
        <w:contextualSpacing/>
        <w:jc w:val="both"/>
        <w:rPr>
          <w:rFonts w:ascii="Arial" w:hAnsi="Arial" w:cs="Arial"/>
          <w:sz w:val="22"/>
          <w:szCs w:val="22"/>
        </w:rPr>
      </w:pPr>
      <w:r w:rsidRPr="000E2F45">
        <w:rPr>
          <w:rFonts w:ascii="Arial" w:hAnsi="Arial" w:cs="Arial"/>
          <w:color w:val="00000A"/>
          <w:spacing w:val="-3"/>
          <w:sz w:val="22"/>
          <w:szCs w:val="22"/>
        </w:rPr>
        <w:t xml:space="preserve">El contractista queda obligat al compliment del termini d’execució total del contracte en els termes previstos en el Plec, així com els terminis parcials derivats de la seva execució successiva. El règim de penalitats per execució defectuosa o demora serà el previst </w:t>
      </w:r>
      <w:r w:rsidRPr="000E2F45">
        <w:rPr>
          <w:rFonts w:ascii="Arial" w:hAnsi="Arial" w:cs="Arial"/>
          <w:spacing w:val="-3"/>
          <w:sz w:val="22"/>
          <w:szCs w:val="22"/>
        </w:rPr>
        <w:t xml:space="preserve">als articles 192 i 193 de la LCSP. </w:t>
      </w:r>
    </w:p>
    <w:p w14:paraId="0C64472E" w14:textId="77777777" w:rsidR="00212874" w:rsidRPr="000E2F45" w:rsidRDefault="00212874" w:rsidP="00212874">
      <w:pPr>
        <w:contextualSpacing/>
        <w:jc w:val="both"/>
        <w:rPr>
          <w:rFonts w:ascii="Arial" w:hAnsi="Arial" w:cs="Arial"/>
          <w:color w:val="FF0000"/>
          <w:spacing w:val="-3"/>
          <w:sz w:val="22"/>
          <w:szCs w:val="22"/>
        </w:rPr>
      </w:pPr>
    </w:p>
    <w:p w14:paraId="7E0B6CD9" w14:textId="77777777" w:rsidR="00212874" w:rsidRPr="000E2F45" w:rsidRDefault="00212874" w:rsidP="00212874">
      <w:pPr>
        <w:contextualSpacing/>
        <w:jc w:val="both"/>
        <w:rPr>
          <w:rFonts w:ascii="Arial" w:hAnsi="Arial" w:cs="Arial"/>
          <w:color w:val="00000A"/>
          <w:sz w:val="22"/>
          <w:szCs w:val="22"/>
        </w:rPr>
      </w:pPr>
      <w:r w:rsidRPr="000E2F45">
        <w:rPr>
          <w:rFonts w:ascii="Arial" w:hAnsi="Arial" w:cs="Arial"/>
          <w:color w:val="00000A"/>
          <w:spacing w:val="-3"/>
          <w:sz w:val="22"/>
          <w:szCs w:val="22"/>
        </w:rPr>
        <w:t xml:space="preserve">Es consideraran infraccions </w:t>
      </w:r>
      <w:proofErr w:type="spellStart"/>
      <w:r w:rsidRPr="000E2F45">
        <w:rPr>
          <w:rFonts w:ascii="Arial" w:hAnsi="Arial" w:cs="Arial"/>
          <w:color w:val="00000A"/>
          <w:spacing w:val="-3"/>
          <w:sz w:val="22"/>
          <w:szCs w:val="22"/>
        </w:rPr>
        <w:t>sancionables</w:t>
      </w:r>
      <w:proofErr w:type="spellEnd"/>
      <w:r w:rsidRPr="000E2F45">
        <w:rPr>
          <w:rFonts w:ascii="Arial" w:hAnsi="Arial" w:cs="Arial"/>
          <w:color w:val="00000A"/>
          <w:spacing w:val="-3"/>
          <w:sz w:val="22"/>
          <w:szCs w:val="22"/>
        </w:rPr>
        <w:t xml:space="preserve"> a efectes contractuals, totes les actuacions i omissions del contractista tipificades com segueix i que comportin un perjudici o una pèrdua en relació a les exigències especificades en aquest plec i en el plec de prescripcions tècniques.</w:t>
      </w:r>
    </w:p>
    <w:p w14:paraId="175BC96E" w14:textId="77777777" w:rsidR="00212874" w:rsidRPr="000E2F45" w:rsidRDefault="00212874" w:rsidP="00212874">
      <w:pPr>
        <w:contextualSpacing/>
        <w:jc w:val="both"/>
        <w:rPr>
          <w:rFonts w:ascii="Arial" w:hAnsi="Arial" w:cs="Arial"/>
          <w:color w:val="00000A"/>
          <w:spacing w:val="-3"/>
          <w:sz w:val="22"/>
          <w:szCs w:val="22"/>
        </w:rPr>
      </w:pPr>
    </w:p>
    <w:p w14:paraId="374B3988"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Els incompliments de les obligacions per part del concessionari podran ser de caràcter lleu o greu. En cas d’incompliment s’imposaran les penalitats de caràcter econòmic que es detallen a continuació, de caràcter proporcional al tipus d’incompliment i la seva importància econòmica sobre el servei, sense que en cap cas es pugui excedir del 20 per cent dels ingressos obtinguts per l’explotació del servei durant l’any anterior, a no ser que el dany causat sigui superior a aquest import que llavors ampliaria el límit fins al valor del dany.</w:t>
      </w:r>
    </w:p>
    <w:p w14:paraId="5BEAF590"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5FDB8960"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Quan per causa imputable al concessionari s’hagués incomplert parcialment l’execució de les prestacions objecte del contracte, l’òrgan de contractació podrà optar, atenent a les circumstàncies  de  cada  cas,  a  la  resolució  d’aquest  o  la  imposició  de  les  penalitats següents:</w:t>
      </w:r>
    </w:p>
    <w:p w14:paraId="04320F94"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0F8C633B"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Les penalitats aplicables consistiran en multa pecuniària amb la següent quantia i podran ser descomptades de la garantia definitiva depositada:</w:t>
      </w:r>
    </w:p>
    <w:p w14:paraId="17C78655"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5C7931AF"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  Per  incompliments  lleus:  entre  el  0%  i  el  5%  dels  ingressos  obtinguts  pel concessionari en l’últim exercici consolidat.</w:t>
      </w:r>
    </w:p>
    <w:p w14:paraId="3073F95E"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6C32491D"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2.  Per  incompliments  greus:  entre  el  5%  i  el  20%  dels  ingressos  obtinguts  pel concessionari en l’últim exercici consolidat.</w:t>
      </w:r>
    </w:p>
    <w:p w14:paraId="602BBFB1"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0965C158"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En cas que l’últim exercici consolidat fos inferior a l’any, es considerarà com a facturació anual bruta, l’obtinguda en el citat exercici.</w:t>
      </w:r>
    </w:p>
    <w:p w14:paraId="1FB710DB"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 xml:space="preserve"> </w:t>
      </w:r>
    </w:p>
    <w:p w14:paraId="4D0E6AC3"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Per a graduar el tipus d’incompliment s’estarà a la transcendència per al servei, la intencionalitat i la reincidència del concessionari.</w:t>
      </w:r>
    </w:p>
    <w:p w14:paraId="3D22A670"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7557EA3B" w14:textId="77777777" w:rsidR="00212874" w:rsidRPr="000E2F45" w:rsidRDefault="00212874" w:rsidP="00212874">
      <w:pPr>
        <w:autoSpaceDE w:val="0"/>
        <w:autoSpaceDN w:val="0"/>
        <w:adjustRightInd w:val="0"/>
        <w:jc w:val="both"/>
        <w:rPr>
          <w:rFonts w:ascii="Arial" w:eastAsia="Calibri" w:hAnsi="Arial" w:cs="Arial"/>
          <w:b/>
          <w:iCs/>
          <w:color w:val="000000"/>
          <w:sz w:val="22"/>
          <w:szCs w:val="22"/>
          <w:lang w:eastAsia="ca-ES"/>
        </w:rPr>
      </w:pPr>
      <w:r w:rsidRPr="000E2F45">
        <w:rPr>
          <w:rFonts w:ascii="Arial" w:eastAsia="Calibri" w:hAnsi="Arial" w:cs="Arial"/>
          <w:b/>
          <w:iCs/>
          <w:color w:val="000000"/>
          <w:sz w:val="22"/>
          <w:szCs w:val="22"/>
          <w:lang w:eastAsia="ca-ES"/>
        </w:rPr>
        <w:t xml:space="preserve"> Incompliments lleus</w:t>
      </w:r>
    </w:p>
    <w:p w14:paraId="48C1C794"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4D125334"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Són incompliments lleus els imputables al Concessionari que suposin deficiències en el normal desenvolupament de la prestació del servei, però no afectin desfavorablement a la qualitat, quantitat o temps en la prestació d’aquest ni siguin degudes a actuacions doloses, així com tampoc posin en perill a persones o coses, ni redueixin la vida econòmica dels components de les instal·lacions. Són, entre elles:</w:t>
      </w:r>
    </w:p>
    <w:p w14:paraId="530ED4F2"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7B0C26B2"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  No comunicar els talls o interrupcions programats en el subministrament d’aigua dins del termini mínim de 48 hores d’antelació, d’acord amb l’establert al Plec de Prescripcions Tècniques.</w:t>
      </w:r>
    </w:p>
    <w:p w14:paraId="1C357241"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2.  No contestar a les reclamacions que formulin els usuaris.</w:t>
      </w:r>
    </w:p>
    <w:p w14:paraId="496CD731"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3.  El retard en la realització dels treballs que li encomanin els usuaris i que siguin obligació del Concessionari.</w:t>
      </w:r>
    </w:p>
    <w:p w14:paraId="6F8859C0"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lastRenderedPageBreak/>
        <w:t>4.  La interrupció no habitual del funcionament de les oficines dels serveis, obertes al públic durant els horaris comercials establerts.</w:t>
      </w:r>
    </w:p>
    <w:p w14:paraId="5CE80A9E"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5.  L’incompliment esporàdic de les seves obligacions formals relatives a la preparació dels contractes amb els usuaris i el manteniment al dia del fitxer d’abonats.</w:t>
      </w:r>
    </w:p>
    <w:p w14:paraId="4CEC3094"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6. L’incompliment esporàdic de les seves obligacions relatives a la instal·lació i conservació dels comptadors, escomeses, boques de reg i boques d’incendi.</w:t>
      </w:r>
    </w:p>
    <w:p w14:paraId="1C108E29"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7.  Incomplir, esporàdicament, l’obligació de dur a terme la cerca, localització i reparació d’escapaments i fuites.</w:t>
      </w:r>
    </w:p>
    <w:p w14:paraId="422A800E"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8.  Incomplir, esporàdicament, l’obligació de realitzar maniobres de verificació del bon funcionament  de  vàlvules,  boques  de  reg,  boques  d’incendi,  pous  de  registre, càmeres de descàrrega, sobreeixidors, etc.</w:t>
      </w:r>
    </w:p>
    <w:p w14:paraId="737F65A9"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9.  Qualsevol altre incompliment d’obligacions que resultin exigibles al Concessionari que no tinguin l’entitat suficient per a considerar-les com a greus.</w:t>
      </w:r>
    </w:p>
    <w:p w14:paraId="796BF6A8"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3DE28B62"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b/>
          <w:iCs/>
          <w:color w:val="000000"/>
          <w:sz w:val="22"/>
          <w:szCs w:val="22"/>
          <w:lang w:eastAsia="ca-ES"/>
        </w:rPr>
        <w:t>Incompliments greus</w:t>
      </w:r>
      <w:r w:rsidRPr="000E2F45">
        <w:rPr>
          <w:rFonts w:ascii="Arial" w:eastAsia="Calibri" w:hAnsi="Arial" w:cs="Arial"/>
          <w:iCs/>
          <w:color w:val="000000"/>
          <w:sz w:val="22"/>
          <w:szCs w:val="22"/>
          <w:lang w:eastAsia="ca-ES"/>
        </w:rPr>
        <w:t xml:space="preserve"> que podran donar lloc a la resolució de la concessió en els casos previstos al present plec.</w:t>
      </w:r>
    </w:p>
    <w:p w14:paraId="370A0E49"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17D2DEA3"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 Cessar en la prestació dels serveis, excepte causa de força major o de vaga del personal, existint sempre l’obligació de complir amb els serveis mínims disposats per l’Autoritat competent.</w:t>
      </w:r>
    </w:p>
    <w:p w14:paraId="0FB3DE12"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2.</w:t>
      </w:r>
      <w:r>
        <w:rPr>
          <w:rFonts w:ascii="Arial" w:eastAsia="Calibri" w:hAnsi="Arial" w:cs="Arial"/>
          <w:iCs/>
          <w:color w:val="000000"/>
          <w:sz w:val="22"/>
          <w:szCs w:val="22"/>
          <w:lang w:eastAsia="ca-ES"/>
        </w:rPr>
        <w:t xml:space="preserve"> </w:t>
      </w:r>
      <w:r w:rsidRPr="000E2F45">
        <w:rPr>
          <w:rFonts w:ascii="Arial" w:eastAsia="Calibri" w:hAnsi="Arial" w:cs="Arial"/>
          <w:iCs/>
          <w:color w:val="000000"/>
          <w:sz w:val="22"/>
          <w:szCs w:val="22"/>
          <w:lang w:eastAsia="ca-ES"/>
        </w:rPr>
        <w:t>L’incompliment de les condicions especials d’execució del contracte.</w:t>
      </w:r>
      <w:r w:rsidRPr="000E2F45">
        <w:rPr>
          <w:rFonts w:ascii="Arial" w:eastAsia="Calibri" w:hAnsi="Arial" w:cs="Arial"/>
          <w:sz w:val="22"/>
          <w:szCs w:val="22"/>
          <w:lang w:eastAsia="en-US"/>
        </w:rPr>
        <w:t xml:space="preserve"> per part del contractista o </w:t>
      </w:r>
      <w:proofErr w:type="spellStart"/>
      <w:r w:rsidRPr="000E2F45">
        <w:rPr>
          <w:rFonts w:ascii="Arial" w:eastAsia="Calibri" w:hAnsi="Arial" w:cs="Arial"/>
          <w:sz w:val="22"/>
          <w:szCs w:val="22"/>
          <w:lang w:eastAsia="en-US"/>
        </w:rPr>
        <w:t>subcontractista</w:t>
      </w:r>
      <w:proofErr w:type="spellEnd"/>
      <w:r w:rsidRPr="000E2F45">
        <w:rPr>
          <w:rFonts w:ascii="Arial" w:eastAsia="Calibri" w:hAnsi="Arial" w:cs="Arial"/>
          <w:sz w:val="22"/>
          <w:szCs w:val="22"/>
          <w:lang w:eastAsia="en-US"/>
        </w:rPr>
        <w:t xml:space="preserve"> establertes a la </w:t>
      </w:r>
      <w:r w:rsidRPr="000E2F45">
        <w:rPr>
          <w:rFonts w:ascii="Arial" w:eastAsia="Calibri" w:hAnsi="Arial" w:cs="Arial"/>
          <w:b/>
          <w:bCs/>
          <w:sz w:val="22"/>
          <w:szCs w:val="22"/>
          <w:lang w:eastAsia="en-US"/>
        </w:rPr>
        <w:t>clàusula vint-i-quatrena</w:t>
      </w:r>
      <w:r w:rsidRPr="000E2F45">
        <w:rPr>
          <w:rFonts w:ascii="Arial" w:eastAsia="Calibri" w:hAnsi="Arial" w:cs="Arial"/>
          <w:sz w:val="22"/>
          <w:szCs w:val="22"/>
          <w:lang w:eastAsia="en-US"/>
        </w:rPr>
        <w:t xml:space="preserve"> del present Plec.</w:t>
      </w:r>
    </w:p>
    <w:p w14:paraId="025B1DA1"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3.  Les  aparicions  de  deficiències  en  la  qualitat  de  l’aigua  potable,  imputables  al tractament o a la gestió del Concessionari.</w:t>
      </w:r>
    </w:p>
    <w:p w14:paraId="7C8C48BB"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4.  Les que pertorbin o alterin greument el volum o qualitat sense arribar a la paralització del servei.</w:t>
      </w:r>
    </w:p>
    <w:p w14:paraId="2CCF2453"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5.  La dedicació de les obres, instal·lacions, equips i altres mitjans materials o humans a la realització d’activitats alienes a l’objecte del contracte, sense consentiment de l’òrgan de Contractació.</w:t>
      </w:r>
    </w:p>
    <w:p w14:paraId="21B14E69"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6.  La desobediència per part del Concessionari de les disposicions de la Corporació sobre conservació de les instal·lacions quan posin en perill la prestació del servei o la seguretat  dels  usuaris,  o  l’oblit  notable  en  la  conservació  i  manteniment  de l’edificació, instal·lacions i altres infraestructures bàsiques, excepte que tingués caràcter de molt greu.</w:t>
      </w:r>
    </w:p>
    <w:p w14:paraId="2A19C5D9"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7. No mantenir en les degudes condicions de seguretat, salubritat i ornat els locals, dependències, vehicles, maquinària o instal·lacions en general o efectuar obres i instal·lacions sense la pertinent llicència municipal.</w:t>
      </w:r>
    </w:p>
    <w:p w14:paraId="39C7D60C"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8.  Haver estat requerit per la Tresoreria de la Seguretat Social per falta de pagament de les quotes del personal.</w:t>
      </w:r>
    </w:p>
    <w:p w14:paraId="426B5763"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9.  No comunicar a la Corporació Municipal les dades i incidències que aquesta demandi en cada moment.</w:t>
      </w:r>
    </w:p>
    <w:p w14:paraId="2B044051"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10. El retard en el compliment de les directrius emanades de la Corporació Municipal tendents a millorar els serveis o a corregir deficiències en aquest.</w:t>
      </w:r>
    </w:p>
    <w:p w14:paraId="5D24249D"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11. La contractació de personal per part del concessionari durant els cinc últims anys de vigència d’aquesta, en els casos en que aquesta s’hagués efectuat sense la corresponent autorització de la Corporació.</w:t>
      </w:r>
    </w:p>
    <w:p w14:paraId="4E9D75EC"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12. No realitzar amb periodicitat anual campanyes que tinguin per objectiu fomentar l’estalvi, la utilització adequada i el consum responsable d’aigua.</w:t>
      </w:r>
    </w:p>
    <w:p w14:paraId="09C1C53D"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13. La falta de transparència en la gestió del servei per part del concessionari, i negativa a facilitar la informació sol·licitada, o falsedat en aquesta, per l’òrgan de Contractació, pel responsable del servei o per la Comissió de Seguiment i Control.</w:t>
      </w:r>
    </w:p>
    <w:p w14:paraId="69B87B37"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14. No abonar dins dels terminis establerts l’import dels cànons establerts a favor de l’òrgan de Contractació.</w:t>
      </w:r>
    </w:p>
    <w:p w14:paraId="655BE6D0"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 xml:space="preserve">15. Incomplir l’obligació de mantenir en les principals instal·lacions afectes al servei un nombre adequat de persones, equips o sistemes que desenvolupin funcions de </w:t>
      </w:r>
      <w:r w:rsidRPr="000E2F45">
        <w:rPr>
          <w:rFonts w:ascii="Arial" w:eastAsia="Calibri" w:hAnsi="Arial" w:cs="Arial"/>
          <w:iCs/>
          <w:color w:val="000000"/>
          <w:sz w:val="22"/>
          <w:szCs w:val="22"/>
          <w:lang w:eastAsia="ca-ES"/>
        </w:rPr>
        <w:lastRenderedPageBreak/>
        <w:t>seguretat, vigilància i control d’accés a aquestes.</w:t>
      </w:r>
    </w:p>
    <w:p w14:paraId="11B2A0BE"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 xml:space="preserve"> 16. Sense perjudici de la seva invalidesa, la subcontractació de prestacions accessòries, el traspàs o cessió del contracte o part d’aquest a tercers sense el consentiment de la Corporació Municipal i la Comissió de Seguiment i Control.</w:t>
      </w:r>
    </w:p>
    <w:p w14:paraId="0CCD5113"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17. No  complir  les  ordres  de  modificació  dels  serveis  dispostes  per  la  Corporació Municipal i la Comissió de Seguiment i Control, prèvia advertència d’aquesta.</w:t>
      </w:r>
    </w:p>
    <w:p w14:paraId="3BABF449"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18. La negativa o resistència a permetre la inspecció de l’òrgan de Contractació a les oficines, obres, instal·lacions i equips.</w:t>
      </w:r>
    </w:p>
    <w:p w14:paraId="4EC758B4"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19. Vendre, cedir o donar l’aigua procedent del sistema d’aigua potable i de reg del municipi a altres instal·lacions, municipis o usuaris que es trobin fora de l’àmbit territorial establert al Plec de Prescripcions Tècniques sense autorització expressa de la Corporació Municipal.</w:t>
      </w:r>
    </w:p>
    <w:p w14:paraId="50A2D678"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 xml:space="preserve">20. Incomplir l’obligació de tenir subscrita permanentment una pòlissa d’assegurança en els termes establerts en la </w:t>
      </w:r>
      <w:r w:rsidRPr="000E2F45">
        <w:rPr>
          <w:rFonts w:ascii="Arial" w:eastAsia="Calibri" w:hAnsi="Arial" w:cs="Arial"/>
          <w:b/>
          <w:bCs/>
          <w:iCs/>
          <w:color w:val="000000"/>
          <w:sz w:val="22"/>
          <w:szCs w:val="22"/>
          <w:lang w:eastAsia="ca-ES"/>
        </w:rPr>
        <w:t>clàusula 35.</w:t>
      </w:r>
    </w:p>
    <w:p w14:paraId="120A94B6"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21. L’expedició de rebuts que no s’ajustin a l’establert al Plec de prescripcions i altres documents contractuals, com per exemple tarifes diferents o conceptes no aprovats o autoritzats per l’òrgan de Contractació.</w:t>
      </w:r>
    </w:p>
    <w:p w14:paraId="3AF7B8CC"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22. Els que es derivin d’actuacions doloses i que comportin una realització deficient de les inspeccions o els treballs exigits pel servei i que influeixin negativament en la vida útil de les obres o els components de les instal·lacions, o redueixin el valor econòmic; les accions o omissions doloses que ocasionin perill a persones o coses, així com els perjudicis evidents per als usuaris.</w:t>
      </w:r>
    </w:p>
    <w:p w14:paraId="4C794A2B" w14:textId="77777777" w:rsidR="00212874" w:rsidRPr="000E2F45" w:rsidRDefault="00212874" w:rsidP="00212874">
      <w:pPr>
        <w:pStyle w:val="NormalWeb"/>
        <w:spacing w:before="0" w:beforeAutospacing="0" w:after="0" w:afterAutospacing="0"/>
        <w:jc w:val="both"/>
        <w:rPr>
          <w:rFonts w:ascii="Arial" w:eastAsia="Calibri" w:hAnsi="Arial" w:cs="Arial"/>
          <w:sz w:val="22"/>
          <w:szCs w:val="22"/>
          <w:lang w:eastAsia="en-US"/>
        </w:rPr>
      </w:pPr>
      <w:r w:rsidRPr="000E2F45">
        <w:rPr>
          <w:rFonts w:ascii="Arial" w:eastAsia="Calibri" w:hAnsi="Arial" w:cs="Arial"/>
          <w:sz w:val="22"/>
          <w:szCs w:val="22"/>
          <w:lang w:eastAsia="en-US"/>
        </w:rPr>
        <w:t xml:space="preserve">23. Incomplir les millores </w:t>
      </w:r>
      <w:proofErr w:type="spellStart"/>
      <w:r w:rsidRPr="000E2F45">
        <w:rPr>
          <w:rFonts w:ascii="Arial" w:eastAsia="Calibri" w:hAnsi="Arial" w:cs="Arial"/>
          <w:sz w:val="22"/>
          <w:szCs w:val="22"/>
          <w:lang w:eastAsia="en-US"/>
        </w:rPr>
        <w:t>ofertades</w:t>
      </w:r>
      <w:proofErr w:type="spellEnd"/>
      <w:r w:rsidRPr="000E2F45">
        <w:rPr>
          <w:rFonts w:ascii="Arial" w:eastAsia="Calibri" w:hAnsi="Arial" w:cs="Arial"/>
          <w:sz w:val="22"/>
          <w:szCs w:val="22"/>
          <w:lang w:eastAsia="en-US"/>
        </w:rPr>
        <w:t xml:space="preserve"> en la proposició presentada i acceptades per l’òrgan de contractació (si hi ha millores als criteris d’adjudicació)</w:t>
      </w:r>
    </w:p>
    <w:p w14:paraId="641F2837" w14:textId="77777777" w:rsidR="00212874" w:rsidRPr="000E2F45" w:rsidRDefault="00212874" w:rsidP="00212874">
      <w:pPr>
        <w:pStyle w:val="NormalWeb"/>
        <w:spacing w:before="0" w:beforeAutospacing="0" w:after="0" w:afterAutospacing="0"/>
        <w:jc w:val="both"/>
        <w:rPr>
          <w:rFonts w:ascii="Arial" w:eastAsia="Calibri" w:hAnsi="Arial" w:cs="Arial"/>
          <w:sz w:val="22"/>
          <w:szCs w:val="22"/>
          <w:lang w:eastAsia="en-US"/>
        </w:rPr>
      </w:pPr>
    </w:p>
    <w:p w14:paraId="1A56A298"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En tot cas, cometre tres o més infraccions lleus de la mateixa naturalesa, dins d’un termini de dotze mesos, o cinc o més infraccions lleus de diferent naturalesa dins del mateix termini.</w:t>
      </w:r>
    </w:p>
    <w:p w14:paraId="08A8682E"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3FB160B6"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Les penalitats seran imposades per la Corporació Municipal, prèvia instrucció del corresponent   expedient,   en   el   què   haurà   de   donar-se   audiència,   en   tot   cas,   al Concessionari. A l’hora de determinar la concreta penalitat que hagi de recaure sobre l’empresa, la Corporació Municipal vetllarà, en el seu cas, perquè la sanció que s’imposi no resulti, per al Concessionari, més avantatjosa que el compliment estricte del pactat al contracte.</w:t>
      </w:r>
    </w:p>
    <w:p w14:paraId="12D80235"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03D967CD"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 xml:space="preserve"> L’aplicació de sancions no exclou la indemnització per danys i perjudicis a que pugui tenir dret l’òrgan de Contractació, originada per la demora del concessionari.</w:t>
      </w:r>
    </w:p>
    <w:p w14:paraId="466FCDF5"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p>
    <w:p w14:paraId="4A3D0978" w14:textId="77777777" w:rsidR="00212874" w:rsidRPr="000E2F45" w:rsidRDefault="00212874" w:rsidP="00212874">
      <w:pPr>
        <w:autoSpaceDE w:val="0"/>
        <w:autoSpaceDN w:val="0"/>
        <w:adjustRightInd w:val="0"/>
        <w:jc w:val="both"/>
        <w:rPr>
          <w:rFonts w:ascii="Arial" w:eastAsia="Calibri" w:hAnsi="Arial" w:cs="Arial"/>
          <w:iCs/>
          <w:color w:val="000000"/>
          <w:sz w:val="22"/>
          <w:szCs w:val="22"/>
          <w:lang w:eastAsia="ca-ES"/>
        </w:rPr>
      </w:pPr>
      <w:r w:rsidRPr="000E2F45">
        <w:rPr>
          <w:rFonts w:ascii="Arial" w:eastAsia="Calibri" w:hAnsi="Arial" w:cs="Arial"/>
          <w:iCs/>
          <w:color w:val="000000"/>
          <w:sz w:val="22"/>
          <w:szCs w:val="22"/>
          <w:lang w:eastAsia="ca-ES"/>
        </w:rPr>
        <w:t>Aquestes  sancions  es  podran  deduir  del  pagament  de  les  factures</w:t>
      </w:r>
      <w:r w:rsidRPr="000E2F45">
        <w:rPr>
          <w:rFonts w:ascii="Arial" w:eastAsia="Calibri" w:hAnsi="Arial" w:cs="Arial"/>
          <w:i/>
          <w:iCs/>
          <w:color w:val="000000"/>
          <w:sz w:val="22"/>
          <w:szCs w:val="22"/>
          <w:lang w:eastAsia="ca-ES"/>
        </w:rPr>
        <w:t xml:space="preserve">  </w:t>
      </w:r>
      <w:r w:rsidRPr="000E2F45">
        <w:rPr>
          <w:rFonts w:ascii="Arial" w:eastAsia="Calibri" w:hAnsi="Arial" w:cs="Arial"/>
          <w:iCs/>
          <w:color w:val="000000"/>
          <w:sz w:val="22"/>
          <w:szCs w:val="22"/>
          <w:lang w:eastAsia="ca-ES"/>
        </w:rPr>
        <w:t>pendents  o executar-les a càrrec de la garantia dipositada.</w:t>
      </w:r>
    </w:p>
    <w:p w14:paraId="22A115CA" w14:textId="77777777" w:rsidR="00212874" w:rsidRPr="000E2F45" w:rsidRDefault="00212874" w:rsidP="00212874">
      <w:pPr>
        <w:contextualSpacing/>
        <w:jc w:val="both"/>
        <w:rPr>
          <w:rFonts w:ascii="Arial" w:hAnsi="Arial" w:cs="Arial"/>
          <w:color w:val="000000"/>
          <w:spacing w:val="-3"/>
          <w:sz w:val="22"/>
          <w:szCs w:val="22"/>
        </w:rPr>
      </w:pPr>
    </w:p>
    <w:p w14:paraId="18CDAE04" w14:textId="77777777" w:rsidR="00212874" w:rsidRPr="000E2F45" w:rsidRDefault="00212874" w:rsidP="00212874">
      <w:pPr>
        <w:contextualSpacing/>
        <w:jc w:val="both"/>
        <w:rPr>
          <w:rFonts w:ascii="Arial" w:hAnsi="Arial" w:cs="Arial"/>
          <w:color w:val="000000"/>
          <w:spacing w:val="-3"/>
          <w:sz w:val="22"/>
          <w:szCs w:val="22"/>
        </w:rPr>
      </w:pPr>
    </w:p>
    <w:p w14:paraId="25999BCF" w14:textId="77777777" w:rsidR="00212874" w:rsidRPr="000E2F45" w:rsidRDefault="00212874" w:rsidP="00212874">
      <w:pPr>
        <w:contextualSpacing/>
        <w:jc w:val="both"/>
        <w:rPr>
          <w:rFonts w:ascii="Arial" w:hAnsi="Arial" w:cs="Arial"/>
          <w:color w:val="000000"/>
          <w:spacing w:val="-3"/>
          <w:sz w:val="22"/>
          <w:szCs w:val="22"/>
        </w:rPr>
      </w:pPr>
      <w:r w:rsidRPr="000E2F45">
        <w:rPr>
          <w:rFonts w:ascii="Arial" w:hAnsi="Arial" w:cs="Arial"/>
          <w:color w:val="000000"/>
          <w:spacing w:val="-3"/>
          <w:sz w:val="22"/>
          <w:szCs w:val="22"/>
        </w:rPr>
        <w:t>Per a la imposició de la multa corresponent, l’òrgan de contractació tindrà en consideració els següents criteris de graduació:</w:t>
      </w:r>
    </w:p>
    <w:p w14:paraId="10FB0B33" w14:textId="77777777" w:rsidR="00212874" w:rsidRPr="000E2F45" w:rsidRDefault="00212874" w:rsidP="00212874">
      <w:pPr>
        <w:numPr>
          <w:ilvl w:val="0"/>
          <w:numId w:val="1"/>
        </w:numPr>
        <w:ind w:left="1843"/>
        <w:contextualSpacing/>
        <w:jc w:val="both"/>
        <w:rPr>
          <w:rFonts w:ascii="Arial" w:hAnsi="Arial" w:cs="Arial"/>
          <w:color w:val="000000"/>
          <w:spacing w:val="-3"/>
          <w:sz w:val="22"/>
          <w:szCs w:val="22"/>
        </w:rPr>
      </w:pPr>
      <w:r w:rsidRPr="000E2F45">
        <w:rPr>
          <w:rFonts w:ascii="Arial" w:hAnsi="Arial" w:cs="Arial"/>
          <w:color w:val="000000"/>
          <w:spacing w:val="-3"/>
          <w:sz w:val="22"/>
          <w:szCs w:val="22"/>
        </w:rPr>
        <w:t>la gravetat de la infracció comesa,</w:t>
      </w:r>
    </w:p>
    <w:p w14:paraId="09E96372" w14:textId="77777777" w:rsidR="00212874" w:rsidRPr="000E2F45" w:rsidRDefault="00212874" w:rsidP="00212874">
      <w:pPr>
        <w:numPr>
          <w:ilvl w:val="0"/>
          <w:numId w:val="1"/>
        </w:numPr>
        <w:ind w:left="1843"/>
        <w:contextualSpacing/>
        <w:jc w:val="both"/>
        <w:rPr>
          <w:rFonts w:ascii="Arial" w:hAnsi="Arial" w:cs="Arial"/>
          <w:color w:val="000000"/>
          <w:spacing w:val="-3"/>
          <w:sz w:val="22"/>
          <w:szCs w:val="22"/>
        </w:rPr>
      </w:pPr>
      <w:r w:rsidRPr="000E2F45">
        <w:rPr>
          <w:rFonts w:ascii="Arial" w:hAnsi="Arial" w:cs="Arial"/>
          <w:color w:val="000000"/>
          <w:spacing w:val="-3"/>
          <w:sz w:val="22"/>
          <w:szCs w:val="22"/>
        </w:rPr>
        <w:t>la importància econòmica,</w:t>
      </w:r>
    </w:p>
    <w:p w14:paraId="5998BD91" w14:textId="77777777" w:rsidR="00212874" w:rsidRPr="000E2F45" w:rsidRDefault="00212874" w:rsidP="00212874">
      <w:pPr>
        <w:numPr>
          <w:ilvl w:val="0"/>
          <w:numId w:val="1"/>
        </w:numPr>
        <w:ind w:left="1843"/>
        <w:contextualSpacing/>
        <w:jc w:val="both"/>
        <w:rPr>
          <w:rFonts w:ascii="Arial" w:hAnsi="Arial" w:cs="Arial"/>
          <w:color w:val="000000"/>
          <w:spacing w:val="-3"/>
          <w:sz w:val="22"/>
          <w:szCs w:val="22"/>
        </w:rPr>
      </w:pPr>
      <w:r w:rsidRPr="000E2F45">
        <w:rPr>
          <w:rFonts w:ascii="Arial" w:hAnsi="Arial" w:cs="Arial"/>
          <w:color w:val="000000"/>
          <w:spacing w:val="-3"/>
          <w:sz w:val="22"/>
          <w:szCs w:val="22"/>
        </w:rPr>
        <w:t>l’existència d’intencionalitat,</w:t>
      </w:r>
    </w:p>
    <w:p w14:paraId="53AD4382" w14:textId="77777777" w:rsidR="00212874" w:rsidRPr="000E2F45" w:rsidRDefault="00212874" w:rsidP="00212874">
      <w:pPr>
        <w:numPr>
          <w:ilvl w:val="0"/>
          <w:numId w:val="1"/>
        </w:numPr>
        <w:ind w:left="1843"/>
        <w:contextualSpacing/>
        <w:jc w:val="both"/>
        <w:rPr>
          <w:rFonts w:ascii="Arial" w:hAnsi="Arial" w:cs="Arial"/>
          <w:color w:val="000000"/>
          <w:spacing w:val="-3"/>
          <w:sz w:val="22"/>
          <w:szCs w:val="22"/>
        </w:rPr>
      </w:pPr>
      <w:r w:rsidRPr="000E2F45">
        <w:rPr>
          <w:rFonts w:ascii="Arial" w:hAnsi="Arial" w:cs="Arial"/>
          <w:color w:val="000000"/>
          <w:spacing w:val="-3"/>
          <w:sz w:val="22"/>
          <w:szCs w:val="22"/>
        </w:rPr>
        <w:t>la naturalesa i grau dels perjudicis ocasionats,</w:t>
      </w:r>
    </w:p>
    <w:p w14:paraId="3903B848" w14:textId="77777777" w:rsidR="00212874" w:rsidRPr="000E2F45" w:rsidRDefault="00212874" w:rsidP="00212874">
      <w:pPr>
        <w:numPr>
          <w:ilvl w:val="0"/>
          <w:numId w:val="1"/>
        </w:numPr>
        <w:ind w:left="1843"/>
        <w:contextualSpacing/>
        <w:jc w:val="both"/>
        <w:rPr>
          <w:rFonts w:ascii="Arial" w:hAnsi="Arial" w:cs="Arial"/>
          <w:color w:val="000000"/>
          <w:spacing w:val="-3"/>
          <w:sz w:val="22"/>
          <w:szCs w:val="22"/>
        </w:rPr>
      </w:pPr>
      <w:r w:rsidRPr="000E2F45">
        <w:rPr>
          <w:rFonts w:ascii="Arial" w:hAnsi="Arial" w:cs="Arial"/>
          <w:color w:val="000000"/>
          <w:spacing w:val="-3"/>
          <w:sz w:val="22"/>
          <w:szCs w:val="22"/>
        </w:rPr>
        <w:t>la reincidència, per incórrer, en el termini d’un any, en més d’un incompliment de la mateixa naturalesa,</w:t>
      </w:r>
    </w:p>
    <w:p w14:paraId="5EC164C4" w14:textId="77777777" w:rsidR="00212874" w:rsidRPr="000E2F45" w:rsidRDefault="00212874" w:rsidP="00212874">
      <w:pPr>
        <w:numPr>
          <w:ilvl w:val="0"/>
          <w:numId w:val="1"/>
        </w:numPr>
        <w:ind w:left="1843"/>
        <w:contextualSpacing/>
        <w:jc w:val="both"/>
        <w:rPr>
          <w:rFonts w:ascii="Arial" w:hAnsi="Arial" w:cs="Arial"/>
          <w:color w:val="000000"/>
          <w:spacing w:val="-3"/>
          <w:sz w:val="22"/>
          <w:szCs w:val="22"/>
        </w:rPr>
      </w:pPr>
      <w:r w:rsidRPr="000E2F45">
        <w:rPr>
          <w:rFonts w:ascii="Arial" w:hAnsi="Arial" w:cs="Arial"/>
          <w:color w:val="000000"/>
          <w:spacing w:val="-3"/>
          <w:sz w:val="22"/>
          <w:szCs w:val="22"/>
        </w:rPr>
        <w:t>el nombre d’avisos previs realitzats pel responsable del contracte, i</w:t>
      </w:r>
    </w:p>
    <w:p w14:paraId="3C439F66" w14:textId="77777777" w:rsidR="00212874" w:rsidRPr="000E2F45" w:rsidRDefault="00212874" w:rsidP="00212874">
      <w:pPr>
        <w:numPr>
          <w:ilvl w:val="0"/>
          <w:numId w:val="1"/>
        </w:numPr>
        <w:ind w:left="1843"/>
        <w:contextualSpacing/>
        <w:jc w:val="both"/>
        <w:rPr>
          <w:rFonts w:ascii="Arial" w:hAnsi="Arial" w:cs="Arial"/>
          <w:color w:val="000000"/>
          <w:spacing w:val="-3"/>
          <w:sz w:val="22"/>
          <w:szCs w:val="22"/>
        </w:rPr>
      </w:pPr>
      <w:r w:rsidRPr="000E2F45">
        <w:rPr>
          <w:rFonts w:ascii="Arial" w:hAnsi="Arial" w:cs="Arial"/>
          <w:color w:val="000000"/>
          <w:spacing w:val="-3"/>
          <w:sz w:val="22"/>
          <w:szCs w:val="22"/>
        </w:rPr>
        <w:t>el benefici obtingut pel contractista.</w:t>
      </w:r>
    </w:p>
    <w:p w14:paraId="0946F0FD" w14:textId="77777777" w:rsidR="00212874" w:rsidRPr="000E2F45" w:rsidRDefault="00212874" w:rsidP="00212874">
      <w:pPr>
        <w:autoSpaceDE w:val="0"/>
        <w:autoSpaceDN w:val="0"/>
        <w:adjustRightInd w:val="0"/>
        <w:jc w:val="both"/>
        <w:rPr>
          <w:rFonts w:ascii="Arial" w:hAnsi="Arial" w:cs="Arial"/>
          <w:i/>
          <w:iCs/>
          <w:color w:val="FF0000"/>
          <w:sz w:val="22"/>
          <w:szCs w:val="22"/>
        </w:rPr>
      </w:pPr>
    </w:p>
    <w:p w14:paraId="1B05C18B" w14:textId="77777777" w:rsidR="001A081F" w:rsidRDefault="001A081F"/>
    <w:sectPr w:rsidR="001A081F" w:rsidSect="009F22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7191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74"/>
    <w:rsid w:val="001A081F"/>
    <w:rsid w:val="00212874"/>
    <w:rsid w:val="005B20A8"/>
    <w:rsid w:val="008A09B0"/>
    <w:rsid w:val="00965B13"/>
    <w:rsid w:val="009F2287"/>
    <w:rsid w:val="00D94133"/>
    <w:rsid w:val="00D9552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7D25"/>
  <w15:chartTrackingRefBased/>
  <w15:docId w15:val="{8B87FF8F-B730-49A0-9944-282916F6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874"/>
    <w:pPr>
      <w:widowControl w:val="0"/>
      <w:suppressAutoHyphens/>
      <w:spacing w:after="0" w:line="240" w:lineRule="auto"/>
    </w:pPr>
    <w:rPr>
      <w:rFonts w:ascii="Times New Roman" w:eastAsia="SimSun" w:hAnsi="Times New Roman" w:cs="Mangal"/>
      <w:kern w:val="1"/>
      <w:sz w:val="24"/>
      <w:szCs w:val="24"/>
      <w:lang w:eastAsia="zh-CN" w:bidi="hi-IN"/>
      <w14:ligatures w14:val="none"/>
    </w:rPr>
  </w:style>
  <w:style w:type="paragraph" w:styleId="Ttol1">
    <w:name w:val="heading 1"/>
    <w:basedOn w:val="Normal"/>
    <w:next w:val="Normal"/>
    <w:link w:val="Ttol1Car"/>
    <w:uiPriority w:val="9"/>
    <w:qFormat/>
    <w:rsid w:val="00212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12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1287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1287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1287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1287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1287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1287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1287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1287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1287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1287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1287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1287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1287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1287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1287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12874"/>
    <w:rPr>
      <w:rFonts w:eastAsiaTheme="majorEastAsia" w:cstheme="majorBidi"/>
      <w:color w:val="272727" w:themeColor="text1" w:themeTint="D8"/>
    </w:rPr>
  </w:style>
  <w:style w:type="paragraph" w:styleId="Ttol">
    <w:name w:val="Title"/>
    <w:basedOn w:val="Normal"/>
    <w:next w:val="Normal"/>
    <w:link w:val="TtolCar"/>
    <w:uiPriority w:val="10"/>
    <w:qFormat/>
    <w:rsid w:val="0021287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1287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1287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128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2874"/>
    <w:pPr>
      <w:spacing w:before="160"/>
      <w:jc w:val="center"/>
    </w:pPr>
    <w:rPr>
      <w:i/>
      <w:iCs/>
      <w:color w:val="404040" w:themeColor="text1" w:themeTint="BF"/>
    </w:rPr>
  </w:style>
  <w:style w:type="character" w:customStyle="1" w:styleId="CitaCar">
    <w:name w:val="Cita Car"/>
    <w:basedOn w:val="Lletraperdefectedelpargraf"/>
    <w:link w:val="Cita"/>
    <w:uiPriority w:val="29"/>
    <w:rsid w:val="00212874"/>
    <w:rPr>
      <w:i/>
      <w:iCs/>
      <w:color w:val="404040" w:themeColor="text1" w:themeTint="BF"/>
    </w:rPr>
  </w:style>
  <w:style w:type="paragraph" w:styleId="Pargrafdellista">
    <w:name w:val="List Paragraph"/>
    <w:basedOn w:val="Normal"/>
    <w:uiPriority w:val="34"/>
    <w:qFormat/>
    <w:rsid w:val="00212874"/>
    <w:pPr>
      <w:ind w:left="720"/>
      <w:contextualSpacing/>
    </w:pPr>
  </w:style>
  <w:style w:type="character" w:styleId="mfasiintens">
    <w:name w:val="Intense Emphasis"/>
    <w:basedOn w:val="Lletraperdefectedelpargraf"/>
    <w:uiPriority w:val="21"/>
    <w:qFormat/>
    <w:rsid w:val="00212874"/>
    <w:rPr>
      <w:i/>
      <w:iCs/>
      <w:color w:val="0F4761" w:themeColor="accent1" w:themeShade="BF"/>
    </w:rPr>
  </w:style>
  <w:style w:type="paragraph" w:styleId="Citaintensa">
    <w:name w:val="Intense Quote"/>
    <w:basedOn w:val="Normal"/>
    <w:next w:val="Normal"/>
    <w:link w:val="CitaintensaCar"/>
    <w:uiPriority w:val="30"/>
    <w:qFormat/>
    <w:rsid w:val="00212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12874"/>
    <w:rPr>
      <w:i/>
      <w:iCs/>
      <w:color w:val="0F4761" w:themeColor="accent1" w:themeShade="BF"/>
    </w:rPr>
  </w:style>
  <w:style w:type="character" w:styleId="Refernciaintensa">
    <w:name w:val="Intense Reference"/>
    <w:basedOn w:val="Lletraperdefectedelpargraf"/>
    <w:uiPriority w:val="32"/>
    <w:qFormat/>
    <w:rsid w:val="00212874"/>
    <w:rPr>
      <w:b/>
      <w:bCs/>
      <w:smallCaps/>
      <w:color w:val="0F4761" w:themeColor="accent1" w:themeShade="BF"/>
      <w:spacing w:val="5"/>
    </w:rPr>
  </w:style>
  <w:style w:type="paragraph" w:styleId="NormalWeb">
    <w:name w:val="Normal (Web)"/>
    <w:basedOn w:val="Normal"/>
    <w:uiPriority w:val="99"/>
    <w:unhideWhenUsed/>
    <w:rsid w:val="00212874"/>
    <w:pPr>
      <w:widowControl/>
      <w:suppressAutoHyphens w:val="0"/>
      <w:spacing w:before="100" w:beforeAutospacing="1" w:after="100" w:afterAutospacing="1"/>
    </w:pPr>
    <w:rPr>
      <w:rFonts w:eastAsia="Times New Roman" w:cs="Times New Roman"/>
      <w:kern w:val="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 Ajuntament Llambilles</dc:creator>
  <cp:keywords/>
  <dc:description/>
  <cp:lastModifiedBy>Sheila - Ajuntament Llambilles</cp:lastModifiedBy>
  <cp:revision>1</cp:revision>
  <dcterms:created xsi:type="dcterms:W3CDTF">2025-05-27T11:16:00Z</dcterms:created>
  <dcterms:modified xsi:type="dcterms:W3CDTF">2025-05-27T11:17:00Z</dcterms:modified>
</cp:coreProperties>
</file>