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DB" w:rsidRDefault="00CD57DB" w:rsidP="00CD57DB">
      <w:pPr>
        <w:spacing w:after="240" w:line="276" w:lineRule="auto"/>
        <w:jc w:val="center"/>
        <w:rPr>
          <w:rFonts w:ascii="Arial Narrow" w:hAnsi="Arial Narrow"/>
          <w:b/>
          <w:color w:val="000000"/>
          <w:spacing w:val="1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ANNEX</w:t>
      </w:r>
      <w:r>
        <w:rPr>
          <w:rFonts w:ascii="Arial Narrow" w:hAnsi="Arial Narrow"/>
          <w:b/>
          <w:color w:val="000000"/>
          <w:spacing w:val="1"/>
          <w:sz w:val="22"/>
          <w:szCs w:val="22"/>
        </w:rPr>
        <w:t xml:space="preserve"> 6 </w:t>
      </w:r>
      <w:r>
        <w:rPr>
          <w:rFonts w:ascii="Arial Narrow" w:hAnsi="Arial Narrow"/>
          <w:b/>
          <w:color w:val="000000"/>
          <w:sz w:val="22"/>
          <w:szCs w:val="22"/>
        </w:rPr>
        <w:t>AL PCAP:</w:t>
      </w:r>
    </w:p>
    <w:p w:rsidR="00CD57DB" w:rsidRDefault="00CD57DB" w:rsidP="00CD57DB">
      <w:pPr>
        <w:pStyle w:val="Ttol1"/>
        <w:spacing w:before="93"/>
        <w:ind w:left="0" w:right="216"/>
        <w:jc w:val="both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Model de declaració de cessió i tractament de dades en relació amb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l’execució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d’actuacions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del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pla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de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recuperació,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transformació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i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resiliència</w:t>
      </w:r>
      <w:r>
        <w:rPr>
          <w:rFonts w:ascii="Arial Narrow" w:hAnsi="Arial Narrow"/>
          <w:spacing w:val="1"/>
          <w:u w:val="none"/>
        </w:rPr>
        <w:t xml:space="preserve"> </w:t>
      </w:r>
      <w:r>
        <w:rPr>
          <w:rFonts w:ascii="Arial Narrow" w:hAnsi="Arial Narrow"/>
          <w:u w:val="none"/>
        </w:rPr>
        <w:t>(PRTR)</w:t>
      </w:r>
    </w:p>
    <w:p w:rsidR="00CD57DB" w:rsidRDefault="00CD57DB" w:rsidP="00CD57DB">
      <w:pPr>
        <w:pStyle w:val="Textindependent"/>
        <w:jc w:val="both"/>
        <w:rPr>
          <w:rFonts w:ascii="Arial Narrow" w:hAnsi="Arial Narrow" w:cs="Arial"/>
        </w:rPr>
      </w:pPr>
    </w:p>
    <w:p w:rsidR="00CD57DB" w:rsidRDefault="00CD57DB" w:rsidP="00CD57DB">
      <w:pPr>
        <w:pStyle w:val="Textindependen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Senyor/Senyora,.............................,  </w:t>
      </w:r>
      <w:r>
        <w:rPr>
          <w:rFonts w:ascii="Arial Narrow" w:hAnsi="Arial Narrow" w:cs="Arial"/>
          <w:spacing w:val="35"/>
        </w:rPr>
        <w:t xml:space="preserve"> </w:t>
      </w:r>
      <w:r>
        <w:rPr>
          <w:rFonts w:ascii="Arial Narrow" w:hAnsi="Arial Narrow" w:cs="Arial"/>
        </w:rPr>
        <w:t xml:space="preserve">DNI   </w:t>
      </w:r>
      <w:r>
        <w:rPr>
          <w:rFonts w:ascii="Arial Narrow" w:hAnsi="Arial Narrow" w:cs="Arial"/>
          <w:spacing w:val="35"/>
        </w:rPr>
        <w:t xml:space="preserve"> </w:t>
      </w:r>
      <w:r>
        <w:rPr>
          <w:rFonts w:ascii="Arial Narrow" w:hAnsi="Arial Narrow" w:cs="Arial"/>
        </w:rPr>
        <w:t xml:space="preserve">............................,   </w:t>
      </w:r>
      <w:r>
        <w:rPr>
          <w:rFonts w:ascii="Arial Narrow" w:hAnsi="Arial Narrow" w:cs="Arial"/>
          <w:spacing w:val="35"/>
        </w:rPr>
        <w:t xml:space="preserve"> </w:t>
      </w:r>
      <w:r>
        <w:rPr>
          <w:rFonts w:ascii="Arial Narrow" w:hAnsi="Arial Narrow" w:cs="Arial"/>
        </w:rPr>
        <w:t xml:space="preserve">com   </w:t>
      </w:r>
      <w:r>
        <w:rPr>
          <w:rFonts w:ascii="Arial Narrow" w:hAnsi="Arial Narrow" w:cs="Arial"/>
          <w:spacing w:val="33"/>
        </w:rPr>
        <w:t xml:space="preserve"> </w:t>
      </w:r>
      <w:r>
        <w:rPr>
          <w:rFonts w:ascii="Arial Narrow" w:hAnsi="Arial Narrow" w:cs="Arial"/>
        </w:rPr>
        <w:t xml:space="preserve">a   </w:t>
      </w:r>
      <w:r>
        <w:rPr>
          <w:rFonts w:ascii="Arial Narrow" w:hAnsi="Arial Narrow" w:cs="Arial"/>
          <w:spacing w:val="36"/>
        </w:rPr>
        <w:t xml:space="preserve"> </w:t>
      </w:r>
      <w:r>
        <w:rPr>
          <w:rFonts w:ascii="Arial Narrow" w:hAnsi="Arial Narrow" w:cs="Arial"/>
        </w:rPr>
        <w:t>Conseller/Delegat/Gerent/ de l'entitat ...................................., amb NIF ........................, i domicili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fiscal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.......................................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que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participa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com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contractista/</w:t>
      </w:r>
      <w:proofErr w:type="spellStart"/>
      <w:r>
        <w:rPr>
          <w:rFonts w:ascii="Arial Narrow" w:hAnsi="Arial Narrow" w:cs="Arial"/>
        </w:rPr>
        <w:t>subcontractista</w:t>
      </w:r>
      <w:proofErr w:type="spellEnd"/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en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el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desenvolupament d'actuacions necessàries per a la consecució dels objectius definits</w:t>
      </w:r>
      <w:r>
        <w:rPr>
          <w:rFonts w:ascii="Arial Narrow" w:hAnsi="Arial Narrow" w:cs="Arial"/>
          <w:spacing w:val="1"/>
        </w:rPr>
        <w:t xml:space="preserve"> al Component 14 </w:t>
      </w:r>
      <w:r>
        <w:rPr>
          <w:rFonts w:ascii="Arial Narrow" w:hAnsi="Arial Narrow" w:cs="Arial"/>
        </w:rPr>
        <w:t>al “Pla de modernització i competitivitat del sector turístic” declara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conèixer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la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normativa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que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és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aplicable,</w:t>
      </w:r>
      <w:r>
        <w:rPr>
          <w:rFonts w:ascii="Arial Narrow" w:hAnsi="Arial Narrow" w:cs="Arial"/>
          <w:spacing w:val="61"/>
        </w:rPr>
        <w:t xml:space="preserve"> </w:t>
      </w:r>
      <w:r>
        <w:rPr>
          <w:rFonts w:ascii="Arial Narrow" w:hAnsi="Arial Narrow" w:cs="Arial"/>
        </w:rPr>
        <w:t>en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particular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els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apartats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següents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de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l'article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22,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del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Reglament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(UE)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2021/241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del</w:t>
      </w:r>
      <w:r>
        <w:rPr>
          <w:rFonts w:ascii="Arial Narrow" w:hAnsi="Arial Narrow" w:cs="Arial"/>
          <w:spacing w:val="-59"/>
        </w:rPr>
        <w:t xml:space="preserve"> </w:t>
      </w:r>
      <w:r>
        <w:rPr>
          <w:rFonts w:ascii="Arial Narrow" w:hAnsi="Arial Narrow" w:cs="Arial"/>
        </w:rPr>
        <w:t>Parlament Europeu i del Consell, de 12 de febrer de 2021, pel qual s'estableix el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Mecanisme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de Recuperació i Resiliència:</w:t>
      </w:r>
    </w:p>
    <w:p w:rsidR="00CD57DB" w:rsidRDefault="00CD57DB" w:rsidP="00CD57DB">
      <w:pPr>
        <w:pStyle w:val="Textindependent"/>
        <w:spacing w:before="38" w:line="276" w:lineRule="auto"/>
        <w:ind w:right="215"/>
        <w:jc w:val="both"/>
        <w:rPr>
          <w:rFonts w:ascii="Arial Narrow" w:hAnsi="Arial Narrow" w:cs="Arial"/>
        </w:rPr>
      </w:pPr>
    </w:p>
    <w:p w:rsidR="00CD57DB" w:rsidRDefault="00CD57DB" w:rsidP="00CD57DB">
      <w:pPr>
        <w:pStyle w:val="Pargrafdellista"/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line="276" w:lineRule="auto"/>
        <w:ind w:left="0" w:right="215" w:firstLine="0"/>
        <w:rPr>
          <w:rFonts w:ascii="Arial Narrow" w:hAnsi="Arial Narrow"/>
        </w:rPr>
      </w:pPr>
      <w:r>
        <w:rPr>
          <w:rFonts w:ascii="Arial Narrow" w:hAnsi="Arial Narrow"/>
        </w:rPr>
        <w:t>La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lletra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d)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l'apartat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2: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«recaptar,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als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efectes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d'auditoria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control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l'ús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fons</w:t>
      </w:r>
      <w:r>
        <w:rPr>
          <w:rFonts w:ascii="Arial Narrow" w:hAnsi="Arial Narrow"/>
          <w:spacing w:val="-59"/>
        </w:rPr>
        <w:t xml:space="preserve"> </w:t>
      </w:r>
      <w:r>
        <w:rPr>
          <w:rFonts w:ascii="Arial Narrow" w:hAnsi="Arial Narrow"/>
        </w:rPr>
        <w:t>en relació amb les mesures destinades a l'execució de reformes i projectes d'inversió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 el marc del pla de recuperació i resiliència, en un format electrònic que permeti fer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cerques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base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única,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categories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harmonitzades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següents:</w:t>
      </w:r>
    </w:p>
    <w:p w:rsidR="00CD57DB" w:rsidRDefault="00CD57DB" w:rsidP="00CD57DB">
      <w:pPr>
        <w:pStyle w:val="Pargrafdellista"/>
        <w:widowControl w:val="0"/>
        <w:numPr>
          <w:ilvl w:val="1"/>
          <w:numId w:val="3"/>
        </w:numPr>
        <w:tabs>
          <w:tab w:val="left" w:pos="649"/>
        </w:tabs>
        <w:autoSpaceDE w:val="0"/>
        <w:autoSpaceDN w:val="0"/>
        <w:spacing w:before="1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El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perceptor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final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dels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fons;</w:t>
      </w:r>
    </w:p>
    <w:p w:rsidR="00CD57DB" w:rsidRDefault="00CD57DB" w:rsidP="00CD57DB">
      <w:pPr>
        <w:pStyle w:val="Pargrafdellista"/>
        <w:widowControl w:val="0"/>
        <w:numPr>
          <w:ilvl w:val="1"/>
          <w:numId w:val="3"/>
        </w:numPr>
        <w:tabs>
          <w:tab w:val="left" w:pos="649"/>
        </w:tabs>
        <w:autoSpaceDE w:val="0"/>
        <w:autoSpaceDN w:val="0"/>
        <w:spacing w:before="1" w:line="276" w:lineRule="auto"/>
        <w:ind w:left="567" w:right="216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el nom del contractista i del </w:t>
      </w:r>
      <w:proofErr w:type="spellStart"/>
      <w:r>
        <w:rPr>
          <w:rFonts w:ascii="Arial Narrow" w:hAnsi="Arial Narrow"/>
        </w:rPr>
        <w:t>subcontractista</w:t>
      </w:r>
      <w:proofErr w:type="spellEnd"/>
      <w:r>
        <w:rPr>
          <w:rFonts w:ascii="Arial Narrow" w:hAnsi="Arial Narrow"/>
        </w:rPr>
        <w:t>, quan el perceptor final dels fons sigui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 poder adjudicador de conformitat amb el Dret de la Unió o nacional en matèria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contractació pública;</w:t>
      </w:r>
    </w:p>
    <w:p w:rsidR="00CD57DB" w:rsidRDefault="00CD57DB" w:rsidP="00CD57DB">
      <w:pPr>
        <w:pStyle w:val="Pargrafdellista"/>
        <w:widowControl w:val="0"/>
        <w:numPr>
          <w:ilvl w:val="1"/>
          <w:numId w:val="3"/>
        </w:numPr>
        <w:tabs>
          <w:tab w:val="left" w:pos="649"/>
        </w:tabs>
        <w:autoSpaceDE w:val="0"/>
        <w:autoSpaceDN w:val="0"/>
        <w:spacing w:line="276" w:lineRule="auto"/>
        <w:ind w:left="567" w:right="216" w:hanging="283"/>
        <w:rPr>
          <w:rFonts w:ascii="Arial Narrow" w:hAnsi="Arial Narrow"/>
        </w:rPr>
      </w:pPr>
      <w:r>
        <w:rPr>
          <w:rFonts w:ascii="Arial Narrow" w:hAnsi="Arial Narrow"/>
        </w:rPr>
        <w:t>els noms, cognoms i dates de naixement dels titulars reals del perceptor dels fons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 del contractista, segons es defineix a l'article 3, punt 6, de la Directiva (UE)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2015/849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del Parlament Europeu i del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Consell (26);</w:t>
      </w:r>
    </w:p>
    <w:p w:rsidR="00CD57DB" w:rsidRDefault="00CD57DB" w:rsidP="00CD57DB">
      <w:pPr>
        <w:pStyle w:val="Pargrafdellista"/>
        <w:widowControl w:val="0"/>
        <w:numPr>
          <w:ilvl w:val="1"/>
          <w:numId w:val="3"/>
        </w:numPr>
        <w:tabs>
          <w:tab w:val="left" w:pos="649"/>
        </w:tabs>
        <w:autoSpaceDE w:val="0"/>
        <w:autoSpaceDN w:val="0"/>
        <w:spacing w:line="276" w:lineRule="auto"/>
        <w:ind w:left="567" w:right="217" w:hanging="283"/>
        <w:rPr>
          <w:rFonts w:ascii="Arial Narrow" w:hAnsi="Arial Narrow"/>
        </w:rPr>
      </w:pPr>
      <w:r>
        <w:rPr>
          <w:rFonts w:ascii="Arial Narrow" w:hAnsi="Arial Narrow"/>
        </w:rPr>
        <w:t>una llista de mesures per a l'execució de reformes i projectes d'inversió en el marc</w:t>
      </w:r>
      <w:r>
        <w:rPr>
          <w:rFonts w:ascii="Arial Narrow" w:hAnsi="Arial Narrow"/>
          <w:spacing w:val="-59"/>
        </w:rPr>
        <w:t xml:space="preserve"> </w:t>
      </w:r>
      <w:r>
        <w:rPr>
          <w:rFonts w:ascii="Arial Narrow" w:hAnsi="Arial Narrow"/>
        </w:rPr>
        <w:t>del pla de recuperació i resiliència, juntament amb l'import total del finançament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públic de les mesures esmentades i que indiqui la quantia dels fons desemborsats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el marc del Mecanisme 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altres fons de la Unió».</w:t>
      </w:r>
    </w:p>
    <w:p w:rsidR="00CD57DB" w:rsidRDefault="00CD57DB" w:rsidP="00CD57DB">
      <w:pPr>
        <w:pStyle w:val="Pargrafdellista"/>
        <w:widowControl w:val="0"/>
        <w:tabs>
          <w:tab w:val="left" w:pos="649"/>
        </w:tabs>
        <w:autoSpaceDE w:val="0"/>
        <w:autoSpaceDN w:val="0"/>
        <w:spacing w:line="276" w:lineRule="auto"/>
        <w:ind w:left="0" w:right="217"/>
        <w:rPr>
          <w:rFonts w:ascii="Arial Narrow" w:hAnsi="Arial Narrow"/>
        </w:rPr>
      </w:pPr>
    </w:p>
    <w:p w:rsidR="00CD57DB" w:rsidRDefault="00CD57DB" w:rsidP="00CD57DB">
      <w:pPr>
        <w:pStyle w:val="Pargrafdellista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93" w:line="276" w:lineRule="auto"/>
        <w:ind w:left="0" w:right="216" w:firstLine="0"/>
        <w:rPr>
          <w:rFonts w:ascii="Arial Narrow" w:hAnsi="Arial Narrow"/>
        </w:rPr>
      </w:pPr>
      <w:r>
        <w:rPr>
          <w:rFonts w:ascii="Arial Narrow" w:hAnsi="Arial Narrow"/>
        </w:rPr>
        <w:t>Apartat 3: «Les dades personals esmentades a l'apartat 2, lletra d), del present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article només seran tractades pels Estats membres i per la Comissió als efectes 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durada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corresponent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auditoria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l'aprovació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gestió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pressupostària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dels procediments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control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relacionats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amb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utilització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dels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fons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relacionats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amb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l'aplicació dels acords a què fan referència els articles 15, apartat 2, i 23, apartat 1. En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el marc del procediment d'aprovació de la gestió de la Comissió, de conformitat amb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l'article 319 del TFUE, el Mecanisme estarà subjecte a la presentació d'informes en el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marc de la informació financera i de rendició de comptes integrada a què fa referència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l'article 247 del Reglament Financer i, en particular, per separat, a l'informe anual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gestió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 rendiment».</w:t>
      </w:r>
    </w:p>
    <w:p w:rsidR="00CD57DB" w:rsidRDefault="00CD57DB" w:rsidP="00CD57DB">
      <w:pPr>
        <w:pStyle w:val="Textindependent"/>
        <w:spacing w:before="1" w:line="276" w:lineRule="auto"/>
        <w:ind w:right="216"/>
        <w:jc w:val="both"/>
        <w:rPr>
          <w:rFonts w:ascii="Arial Narrow" w:hAnsi="Arial Narrow" w:cs="Arial"/>
        </w:rPr>
      </w:pPr>
    </w:p>
    <w:p w:rsidR="00CD57DB" w:rsidRDefault="00CD57DB" w:rsidP="00CD57DB">
      <w:pPr>
        <w:pStyle w:val="Textindependent"/>
        <w:spacing w:before="1" w:line="276" w:lineRule="auto"/>
        <w:ind w:right="21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Conforme al marc jurídic exposat, manifesta accedir a la cessió i tractament de les</w:t>
      </w:r>
      <w:r>
        <w:rPr>
          <w:rFonts w:ascii="Arial Narrow" w:hAnsi="Arial Narrow" w:cs="Arial"/>
          <w:spacing w:val="1"/>
        </w:rPr>
        <w:t xml:space="preserve"> </w:t>
      </w:r>
      <w:r>
        <w:rPr>
          <w:rFonts w:ascii="Arial Narrow" w:hAnsi="Arial Narrow" w:cs="Arial"/>
        </w:rPr>
        <w:t>dades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amb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les finalitats</w:t>
      </w:r>
      <w:r>
        <w:rPr>
          <w:rFonts w:ascii="Arial Narrow" w:hAnsi="Arial Narrow" w:cs="Arial"/>
          <w:spacing w:val="-2"/>
        </w:rPr>
        <w:t xml:space="preserve"> </w:t>
      </w:r>
      <w:r>
        <w:rPr>
          <w:rFonts w:ascii="Arial Narrow" w:hAnsi="Arial Narrow" w:cs="Arial"/>
        </w:rPr>
        <w:t>expressament relacionades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en els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articles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esmentats.</w:t>
      </w:r>
    </w:p>
    <w:p w:rsidR="00CD57DB" w:rsidRDefault="00CD57DB" w:rsidP="00CD57DB">
      <w:pPr>
        <w:pStyle w:val="Textindependent"/>
        <w:spacing w:before="1" w:line="276" w:lineRule="auto"/>
        <w:ind w:right="216"/>
        <w:jc w:val="both"/>
        <w:rPr>
          <w:rFonts w:ascii="Arial Narrow" w:hAnsi="Arial Narrow" w:cs="Arial"/>
        </w:rPr>
      </w:pPr>
    </w:p>
    <w:p w:rsidR="00CD57DB" w:rsidRDefault="00CD57DB" w:rsidP="00CD57DB">
      <w:pPr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……………………………..., XX de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  <w:t>de 202X</w:t>
      </w:r>
    </w:p>
    <w:p w:rsidR="00CD57DB" w:rsidRDefault="00CD57DB" w:rsidP="00CD57DB">
      <w:pPr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Signat. …………………………………………….</w:t>
      </w:r>
    </w:p>
    <w:p w:rsidR="00CD57DB" w:rsidRDefault="00CD57DB" w:rsidP="00CD57DB">
      <w:pPr>
        <w:jc w:val="lef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Càrrec: …………………………………………</w:t>
      </w:r>
    </w:p>
    <w:p w:rsidR="002B44C1" w:rsidRPr="00CD57DB" w:rsidRDefault="002B44C1" w:rsidP="00CD57DB">
      <w:bookmarkStart w:id="0" w:name="_GoBack"/>
      <w:bookmarkEnd w:id="0"/>
    </w:p>
    <w:sectPr w:rsidR="002B44C1" w:rsidRPr="00CD57DB" w:rsidSect="007613C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6020"/>
    <w:multiLevelType w:val="hybridMultilevel"/>
    <w:tmpl w:val="FE8CF422"/>
    <w:lvl w:ilvl="0" w:tplc="46E89D64">
      <w:start w:val="1"/>
      <w:numFmt w:val="lowerRoman"/>
      <w:lvlText w:val="%1."/>
      <w:lvlJc w:val="left"/>
      <w:pPr>
        <w:ind w:left="1213" w:hanging="394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A7B2CB10">
      <w:start w:val="1"/>
      <w:numFmt w:val="lowerRoman"/>
      <w:lvlText w:val="%2."/>
      <w:lvlJc w:val="left"/>
      <w:pPr>
        <w:ind w:left="1072" w:hanging="252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2" w:tplc="CF323AB6">
      <w:numFmt w:val="bullet"/>
      <w:lvlText w:val="•"/>
      <w:lvlJc w:val="left"/>
      <w:pPr>
        <w:ind w:left="2078" w:hanging="252"/>
      </w:pPr>
      <w:rPr>
        <w:lang w:val="ca-ES" w:eastAsia="en-US" w:bidi="ar-SA"/>
      </w:rPr>
    </w:lvl>
    <w:lvl w:ilvl="3" w:tplc="D2FA7A1C">
      <w:numFmt w:val="bullet"/>
      <w:lvlText w:val="•"/>
      <w:lvlJc w:val="left"/>
      <w:pPr>
        <w:ind w:left="2936" w:hanging="252"/>
      </w:pPr>
      <w:rPr>
        <w:lang w:val="ca-ES" w:eastAsia="en-US" w:bidi="ar-SA"/>
      </w:rPr>
    </w:lvl>
    <w:lvl w:ilvl="4" w:tplc="F7CA883C">
      <w:numFmt w:val="bullet"/>
      <w:lvlText w:val="•"/>
      <w:lvlJc w:val="left"/>
      <w:pPr>
        <w:ind w:left="3794" w:hanging="252"/>
      </w:pPr>
      <w:rPr>
        <w:lang w:val="ca-ES" w:eastAsia="en-US" w:bidi="ar-SA"/>
      </w:rPr>
    </w:lvl>
    <w:lvl w:ilvl="5" w:tplc="CEA891D6">
      <w:numFmt w:val="bullet"/>
      <w:lvlText w:val="•"/>
      <w:lvlJc w:val="left"/>
      <w:pPr>
        <w:ind w:left="4653" w:hanging="252"/>
      </w:pPr>
      <w:rPr>
        <w:lang w:val="ca-ES" w:eastAsia="en-US" w:bidi="ar-SA"/>
      </w:rPr>
    </w:lvl>
    <w:lvl w:ilvl="6" w:tplc="3432DA60">
      <w:numFmt w:val="bullet"/>
      <w:lvlText w:val="•"/>
      <w:lvlJc w:val="left"/>
      <w:pPr>
        <w:ind w:left="5511" w:hanging="252"/>
      </w:pPr>
      <w:rPr>
        <w:lang w:val="ca-ES" w:eastAsia="en-US" w:bidi="ar-SA"/>
      </w:rPr>
    </w:lvl>
    <w:lvl w:ilvl="7" w:tplc="5380B55A">
      <w:numFmt w:val="bullet"/>
      <w:lvlText w:val="•"/>
      <w:lvlJc w:val="left"/>
      <w:pPr>
        <w:ind w:left="6369" w:hanging="252"/>
      </w:pPr>
      <w:rPr>
        <w:lang w:val="ca-ES" w:eastAsia="en-US" w:bidi="ar-SA"/>
      </w:rPr>
    </w:lvl>
    <w:lvl w:ilvl="8" w:tplc="DFA2F090">
      <w:numFmt w:val="bullet"/>
      <w:lvlText w:val="•"/>
      <w:lvlJc w:val="left"/>
      <w:pPr>
        <w:ind w:left="7227" w:hanging="252"/>
      </w:pPr>
      <w:rPr>
        <w:lang w:val="ca-ES" w:eastAsia="en-US" w:bidi="ar-SA"/>
      </w:rPr>
    </w:lvl>
  </w:abstractNum>
  <w:abstractNum w:abstractNumId="1" w15:restartNumberingAfterBreak="0">
    <w:nsid w:val="686777AD"/>
    <w:multiLevelType w:val="hybridMultilevel"/>
    <w:tmpl w:val="FCD07A0E"/>
    <w:lvl w:ilvl="0" w:tplc="026EA8A6">
      <w:start w:val="1"/>
      <w:numFmt w:val="decimal"/>
      <w:lvlText w:val="%1."/>
      <w:lvlJc w:val="left"/>
      <w:pPr>
        <w:ind w:left="221" w:hanging="263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5AB8B758">
      <w:numFmt w:val="bullet"/>
      <w:lvlText w:val="•"/>
      <w:lvlJc w:val="left"/>
      <w:pPr>
        <w:ind w:left="1092" w:hanging="263"/>
      </w:pPr>
      <w:rPr>
        <w:lang w:val="ca-ES" w:eastAsia="en-US" w:bidi="ar-SA"/>
      </w:rPr>
    </w:lvl>
    <w:lvl w:ilvl="2" w:tplc="49CA40B8">
      <w:numFmt w:val="bullet"/>
      <w:lvlText w:val="•"/>
      <w:lvlJc w:val="left"/>
      <w:pPr>
        <w:ind w:left="1964" w:hanging="263"/>
      </w:pPr>
      <w:rPr>
        <w:lang w:val="ca-ES" w:eastAsia="en-US" w:bidi="ar-SA"/>
      </w:rPr>
    </w:lvl>
    <w:lvl w:ilvl="3" w:tplc="4670C0DE">
      <w:numFmt w:val="bullet"/>
      <w:lvlText w:val="•"/>
      <w:lvlJc w:val="left"/>
      <w:pPr>
        <w:ind w:left="2837" w:hanging="263"/>
      </w:pPr>
      <w:rPr>
        <w:lang w:val="ca-ES" w:eastAsia="en-US" w:bidi="ar-SA"/>
      </w:rPr>
    </w:lvl>
    <w:lvl w:ilvl="4" w:tplc="8A520E28">
      <w:numFmt w:val="bullet"/>
      <w:lvlText w:val="•"/>
      <w:lvlJc w:val="left"/>
      <w:pPr>
        <w:ind w:left="3709" w:hanging="263"/>
      </w:pPr>
      <w:rPr>
        <w:lang w:val="ca-ES" w:eastAsia="en-US" w:bidi="ar-SA"/>
      </w:rPr>
    </w:lvl>
    <w:lvl w:ilvl="5" w:tplc="60E22F36">
      <w:numFmt w:val="bullet"/>
      <w:lvlText w:val="•"/>
      <w:lvlJc w:val="left"/>
      <w:pPr>
        <w:ind w:left="4582" w:hanging="263"/>
      </w:pPr>
      <w:rPr>
        <w:lang w:val="ca-ES" w:eastAsia="en-US" w:bidi="ar-SA"/>
      </w:rPr>
    </w:lvl>
    <w:lvl w:ilvl="6" w:tplc="9C3AE622">
      <w:numFmt w:val="bullet"/>
      <w:lvlText w:val="•"/>
      <w:lvlJc w:val="left"/>
      <w:pPr>
        <w:ind w:left="5454" w:hanging="263"/>
      </w:pPr>
      <w:rPr>
        <w:lang w:val="ca-ES" w:eastAsia="en-US" w:bidi="ar-SA"/>
      </w:rPr>
    </w:lvl>
    <w:lvl w:ilvl="7" w:tplc="6008AD66">
      <w:numFmt w:val="bullet"/>
      <w:lvlText w:val="•"/>
      <w:lvlJc w:val="left"/>
      <w:pPr>
        <w:ind w:left="6327" w:hanging="263"/>
      </w:pPr>
      <w:rPr>
        <w:lang w:val="ca-ES" w:eastAsia="en-US" w:bidi="ar-SA"/>
      </w:rPr>
    </w:lvl>
    <w:lvl w:ilvl="8" w:tplc="92FE89DE">
      <w:numFmt w:val="bullet"/>
      <w:lvlText w:val="•"/>
      <w:lvlJc w:val="left"/>
      <w:pPr>
        <w:ind w:left="7199" w:hanging="263"/>
      </w:pPr>
      <w:rPr>
        <w:lang w:val="ca-ES" w:eastAsia="en-US" w:bidi="ar-SA"/>
      </w:rPr>
    </w:lvl>
  </w:abstractNum>
  <w:abstractNum w:abstractNumId="2" w15:restartNumberingAfterBreak="0">
    <w:nsid w:val="7E652BDB"/>
    <w:multiLevelType w:val="hybridMultilevel"/>
    <w:tmpl w:val="AB101CF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D"/>
    <w:rsid w:val="002B44C1"/>
    <w:rsid w:val="007613CD"/>
    <w:rsid w:val="00B20006"/>
    <w:rsid w:val="00C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C94A-4D32-4F6C-8E09-78784366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3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qFormat/>
    <w:rsid w:val="007613CD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613CD"/>
    <w:rPr>
      <w:rFonts w:ascii="Arial" w:eastAsia="Arial" w:hAnsi="Arial" w:cs="Arial"/>
      <w:b/>
      <w:bCs/>
      <w:u w:val="single" w:color="000000"/>
    </w:rPr>
  </w:style>
  <w:style w:type="paragraph" w:styleId="Textindependent">
    <w:name w:val="Body Text"/>
    <w:basedOn w:val="Normal"/>
    <w:link w:val="TextindependentCar"/>
    <w:semiHidden/>
    <w:unhideWhenUsed/>
    <w:qFormat/>
    <w:rsid w:val="007613C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613CD"/>
    <w:rPr>
      <w:rFonts w:ascii="Arial MT" w:eastAsia="Arial MT" w:hAnsi="Arial MT" w:cs="Arial MT"/>
    </w:rPr>
  </w:style>
  <w:style w:type="character" w:customStyle="1" w:styleId="PargrafdellistaCar">
    <w:name w:val="Paràgraf de llista Car"/>
    <w:aliases w:val="Párrafo de lista - cat Car,Lista sin Numerar Car,CAPITOL TITOL II Car"/>
    <w:link w:val="Pargrafdellista"/>
    <w:uiPriority w:val="34"/>
    <w:qFormat/>
    <w:locked/>
    <w:rsid w:val="007613CD"/>
    <w:rPr>
      <w:rFonts w:ascii="Arial" w:hAnsi="Arial" w:cs="Arial"/>
    </w:rPr>
  </w:style>
  <w:style w:type="paragraph" w:styleId="Pargrafdellista">
    <w:name w:val="List Paragraph"/>
    <w:aliases w:val="Párrafo de lista - cat,Lista sin Numerar,CAPITOL TITOL II"/>
    <w:basedOn w:val="Normal"/>
    <w:link w:val="PargrafdellistaCar"/>
    <w:uiPriority w:val="34"/>
    <w:qFormat/>
    <w:rsid w:val="007613CD"/>
    <w:pPr>
      <w:ind w:left="708"/>
    </w:pPr>
    <w:rPr>
      <w:rFonts w:eastAsia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2025-06-20T10:33:00Z</dcterms:created>
  <dcterms:modified xsi:type="dcterms:W3CDTF">2025-06-20T10:33:00Z</dcterms:modified>
</cp:coreProperties>
</file>