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6D09EA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6D09EA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D458EF" w:rsidRPr="00D458EF">
        <w:rPr>
          <w:b/>
          <w:sz w:val="20"/>
          <w:u w:val="single"/>
        </w:rPr>
        <w:t>6</w:t>
      </w:r>
      <w:r w:rsidR="00D458EF">
        <w:rPr>
          <w:rStyle w:val="Refdenotaalpie"/>
        </w:rPr>
        <w:footnoteReference w:id="1"/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6D09EA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="00D458EF">
        <w:rPr>
          <w:rFonts w:cs="Arial"/>
          <w:color w:val="000000"/>
          <w:spacing w:val="-2"/>
          <w:sz w:val="20"/>
          <w:highlight w:val="lightGray"/>
        </w:rPr>
        <w:tab/>
      </w:r>
      <w:r w:rsidR="00D458EF">
        <w:rPr>
          <w:rFonts w:cs="Arial"/>
          <w:color w:val="000000"/>
          <w:spacing w:val="-2"/>
          <w:sz w:val="20"/>
        </w:rPr>
        <w:tab/>
      </w:r>
      <w:r w:rsidR="00D458EF">
        <w:rPr>
          <w:rFonts w:cs="Arial"/>
          <w:color w:val="000000"/>
          <w:spacing w:val="-2"/>
          <w:sz w:val="20"/>
        </w:rPr>
        <w:tab/>
      </w:r>
      <w:r w:rsidR="00D458EF">
        <w:rPr>
          <w:rFonts w:cs="Arial"/>
          <w:color w:val="000000"/>
          <w:spacing w:val="-2"/>
          <w:sz w:val="20"/>
        </w:rPr>
        <w:tab/>
      </w:r>
      <w:r w:rsidR="00D458EF"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 xml:space="preserve"> amb CIF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rFonts w:cs="Arial"/>
          <w:color w:val="000000"/>
          <w:spacing w:val="-2"/>
          <w:sz w:val="20"/>
        </w:rPr>
        <w:t xml:space="preserve"> , CP </w:t>
      </w:r>
      <w:r w:rsidR="00D458EF">
        <w:rPr>
          <w:sz w:val="20"/>
          <w:highlight w:val="lightGray"/>
        </w:rPr>
        <w:tab/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6D09EA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</w:t>
      </w:r>
      <w:r w:rsidR="006D09EA"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rFonts w:cs="Arial"/>
          <w:color w:val="000000"/>
          <w:spacing w:val="-2"/>
          <w:sz w:val="20"/>
        </w:rPr>
        <w:t xml:space="preserve">, en concepte de garantia provisional i per respondre del manteniment de l’oferta fins la perfecció del contracte, davant l'Ajuntament de Sabadell, per la quantitat de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="00D458EF">
        <w:rPr>
          <w:sz w:val="20"/>
          <w:highlight w:val="lightGray"/>
        </w:rPr>
        <w:tab/>
      </w:r>
      <w:r w:rsidR="00D458EF">
        <w:rPr>
          <w:sz w:val="20"/>
        </w:rPr>
        <w:tab/>
      </w:r>
      <w:r w:rsidR="00D458EF">
        <w:rPr>
          <w:sz w:val="20"/>
        </w:rPr>
        <w:tab/>
      </w:r>
      <w:r>
        <w:rPr>
          <w:sz w:val="20"/>
        </w:rPr>
        <w:t xml:space="preserve"> euros)</w:t>
      </w:r>
      <w:r w:rsidR="006D09EA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tindrà validesa mentre l'Ajuntament de Sabadell no autoritzi </w:t>
      </w:r>
      <w:r>
        <w:rPr>
          <w:rFonts w:cs="Arial"/>
          <w:color w:val="000000"/>
          <w:spacing w:val="-2"/>
          <w:sz w:val="20"/>
        </w:rPr>
        <w:t>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</w:t>
      </w:r>
      <w:r>
        <w:rPr>
          <w:rFonts w:cs="Arial"/>
          <w:color w:val="000000"/>
          <w:spacing w:val="-2"/>
          <w:sz w:val="20"/>
        </w:rPr>
        <w:t xml:space="preserve"> subjecció als termes i condicions generals que disposa la Llei 9/2017, de 8 de novembre, de contractes del sector públic i l'article 56 del Reglament general de la Llei de contractes de les Administracions Públiques, aprovat pel Reial Decret 1098/2001, d'</w:t>
      </w:r>
      <w:r>
        <w:rPr>
          <w:rFonts w:cs="Arial"/>
          <w:color w:val="000000"/>
          <w:spacing w:val="-2"/>
          <w:sz w:val="20"/>
        </w:rPr>
        <w:t>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6D09EA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D458EF" w:rsidRDefault="00D458EF" w:rsidP="00D458EF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>
        <w:rPr>
          <w:rFonts w:cs="Arial"/>
          <w:color w:val="000000"/>
          <w:spacing w:val="-2"/>
          <w:sz w:val="20"/>
          <w:highlight w:val="lightGray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 xml:space="preserve"> amb CIF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cs="Arial"/>
          <w:color w:val="000000"/>
          <w:spacing w:val="-2"/>
          <w:sz w:val="20"/>
        </w:rPr>
        <w:t xml:space="preserve"> , CP </w:t>
      </w:r>
      <w:r>
        <w:rPr>
          <w:sz w:val="20"/>
          <w:highlight w:val="lightGray"/>
        </w:rPr>
        <w:tab/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6D09EA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D458EF" w:rsidRDefault="00D458EF" w:rsidP="00D458EF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>
        <w:rPr>
          <w:sz w:val="20"/>
          <w:highlight w:val="lightGray"/>
        </w:rPr>
        <w:tab/>
      </w:r>
      <w:r>
        <w:rPr>
          <w:sz w:val="20"/>
        </w:rPr>
        <w:tab/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>
        <w:rPr>
          <w:sz w:val="20"/>
          <w:highlight w:val="lightGray"/>
        </w:rPr>
        <w:tab/>
      </w:r>
      <w:r>
        <w:rPr>
          <w:sz w:val="20"/>
        </w:rPr>
        <w:tab/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cs="Arial"/>
          <w:color w:val="000000"/>
          <w:spacing w:val="-2"/>
          <w:sz w:val="20"/>
        </w:rPr>
        <w:t xml:space="preserve">, en concepte de garantia provisional i per respondre del manteniment de l’oferta fins la perfecció del contracte, davant l'Ajuntament de Sabadell, per la quantitat de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>
        <w:rPr>
          <w:sz w:val="20"/>
          <w:highlight w:val="lightGray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D458EF" w:rsidRDefault="00D458EF">
      <w:pPr>
        <w:rPr>
          <w:rFonts w:cs="Arial"/>
          <w:color w:val="000000"/>
          <w:spacing w:val="-2"/>
          <w:sz w:val="20"/>
        </w:rPr>
      </w:pPr>
    </w:p>
    <w:p w:rsidR="00D458EF" w:rsidRDefault="00D458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bookmarkStart w:id="0" w:name="_GoBack"/>
      <w:bookmarkEnd w:id="0"/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:rsidR="002129EF" w:rsidRDefault="006D09EA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6D09EA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6D09E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EA" w:rsidRDefault="006D09EA">
      <w:r>
        <w:separator/>
      </w:r>
    </w:p>
  </w:endnote>
  <w:endnote w:type="continuationSeparator" w:id="0">
    <w:p w:rsidR="006D09EA" w:rsidRDefault="006D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EA" w:rsidRDefault="006D09EA">
      <w:r>
        <w:separator/>
      </w:r>
    </w:p>
  </w:footnote>
  <w:footnote w:type="continuationSeparator" w:id="0">
    <w:p w:rsidR="006D09EA" w:rsidRDefault="006D09EA">
      <w:r>
        <w:continuationSeparator/>
      </w:r>
    </w:p>
  </w:footnote>
  <w:footnote w:id="1">
    <w:p w:rsidR="00D458EF" w:rsidRPr="00D458EF" w:rsidRDefault="00D458EF" w:rsidP="00D458EF">
      <w:pPr>
        <w:pStyle w:val="Textonotapie"/>
        <w:rPr>
          <w:sz w:val="18"/>
          <w:szCs w:val="18"/>
        </w:rPr>
      </w:pPr>
      <w:r w:rsidRPr="00D458EF">
        <w:rPr>
          <w:rStyle w:val="Refdenotaalpie"/>
          <w:sz w:val="18"/>
          <w:szCs w:val="18"/>
        </w:rPr>
        <w:footnoteRef/>
      </w:r>
      <w:r w:rsidRPr="00D458EF">
        <w:rPr>
          <w:sz w:val="18"/>
          <w:szCs w:val="18"/>
        </w:rPr>
        <w:t xml:space="preserve"> Aquest annex serà el número 6 en el contracte de subministrament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6D09EA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955680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²6P5T0N454T6Z080L0OX5w»</w:t>
          </w:r>
        </w:p>
        <w:p w:rsidR="00FD7540" w:rsidRPr="00FD7540" w:rsidRDefault="006D09EA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6P5T 0N45 4T6Z 080L 0OX5</w:t>
          </w:r>
        </w:p>
      </w:tc>
    </w:tr>
    <w:tr w:rsidR="0095568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CMR/2025/138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CMR19I0183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02-05-2025</w:t>
          </w:r>
        </w:p>
      </w:tc>
    </w:tr>
    <w:tr w:rsidR="00955680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Promoció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Econòmica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Projecció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de la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Ciutat</w:t>
          </w:r>
          <w:proofErr w:type="spellEnd"/>
        </w:p>
      </w:tc>
    </w:tr>
    <w:tr w:rsidR="0095568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Comerç</w:t>
          </w:r>
        </w:p>
      </w:tc>
    </w:tr>
    <w:tr w:rsidR="0095568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D09EA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en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règim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lloguer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la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instal·lació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el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manteniment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desmuntatge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l'enllumenat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decoració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Nadal 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diferents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equipaments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municipals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carrers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espais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públics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la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ciutat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Sabadell per la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campanya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Nadal 2025-2026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6B287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62E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4D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48C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610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C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82D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D060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63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BD9C7C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D0D4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9659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A4E39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F200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54AA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2CA9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03A9D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59E6C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91FE52E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42D2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84AFB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E251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0091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048C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269D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2830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9FC6A4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30129A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3BC3F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48C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F083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BC45A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1EC7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7CACF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CC36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B4A59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A8AC0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BD865E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F2C7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36B7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9986D2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B2E1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4ACD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128AD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860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6D09EA"/>
    <w:rsid w:val="00721C34"/>
    <w:rsid w:val="00776A6B"/>
    <w:rsid w:val="00955680"/>
    <w:rsid w:val="00AF3F3B"/>
    <w:rsid w:val="00BC54DE"/>
    <w:rsid w:val="00C00C57"/>
    <w:rsid w:val="00C15D0E"/>
    <w:rsid w:val="00D33E15"/>
    <w:rsid w:val="00D458EF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Arroyo B  Rafael  COMERÇ CONSUM I TURISME</cp:lastModifiedBy>
  <cp:revision>8</cp:revision>
  <cp:lastPrinted>2017-02-02T07:01:00Z</cp:lastPrinted>
  <dcterms:created xsi:type="dcterms:W3CDTF">2024-04-29T10:54:00Z</dcterms:created>
  <dcterms:modified xsi:type="dcterms:W3CDTF">2025-05-02T08:24:00Z</dcterms:modified>
</cp:coreProperties>
</file>