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numPr>
          <w:ilvl w:val="0"/>
          <w:numId w:val="2"/>
        </w:numPr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numPr>
          <w:ilvl w:val="0"/>
          <w:numId w:val="2"/>
        </w:numPr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Oferta</w:t>
      </w:r>
      <w:r>
        <w:rPr>
          <w:rFonts w:ascii="Arial" w:hAnsi="Arial"/>
          <w:sz w:val="22"/>
          <w:szCs w:val="22"/>
          <w:u w:val="single"/>
        </w:rPr>
        <w:t xml:space="preserve"> econòmica:</w:t>
      </w:r>
    </w:p>
    <w:p>
      <w:pPr>
        <w:pStyle w:val="Cuerpodetexto"/>
        <w:numPr>
          <w:ilvl w:val="0"/>
          <w:numId w:val="2"/>
        </w:numPr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Preu unitari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numPr>
                <w:ilvl w:val="0"/>
                <w:numId w:val="2"/>
              </w:numPr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</w:tbl>
    <w:p>
      <w:pPr>
        <w:pStyle w:val="Cuerpodetexto"/>
        <w:numPr>
          <w:ilvl w:val="0"/>
          <w:numId w:val="2"/>
        </w:numPr>
        <w:pBdr/>
        <w:bidi w:val="0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pBdr/>
        <w:bidi w:val="0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numPr>
          <w:ilvl w:val="0"/>
          <w:numId w:val="2"/>
        </w:numPr>
        <w:pBdr/>
        <w:bidi w:val="0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numPr>
          <w:ilvl w:val="0"/>
          <w:numId w:val="2"/>
        </w:numPr>
        <w:pBdr/>
        <w:bidi w:val="0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Cuerpodetexto"/>
        <w:numPr>
          <w:ilvl w:val="0"/>
          <w:numId w:val="2"/>
        </w:numPr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pBdr/>
        <w:bidi w:val="0"/>
        <w:jc w:val="left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B.1. </w:t>
      </w:r>
      <w:r>
        <w:rPr>
          <w:rFonts w:ascii="Arial" w:hAnsi="Arial"/>
          <w:sz w:val="22"/>
          <w:szCs w:val="22"/>
          <w:u w:val="single"/>
        </w:rPr>
        <w:t xml:space="preserve">Experiència </w:t>
      </w:r>
      <w:r>
        <w:rPr>
          <w:rFonts w:ascii="Arial" w:hAnsi="Arial"/>
          <w:sz w:val="22"/>
          <w:szCs w:val="22"/>
          <w:u w:val="single"/>
        </w:rPr>
        <w:t>i formació del personal adscrit al contracte</w:t>
      </w:r>
    </w:p>
    <w:p>
      <w:pPr>
        <w:pStyle w:val="Normal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Es proposa adscriure al contracte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com arqueòleg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/a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director/a 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______________________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amb la següent experiència i formació:</w:t>
      </w:r>
    </w:p>
    <w:p>
      <w:pPr>
        <w:pStyle w:val="Western"/>
        <w:numPr>
          <w:ilvl w:val="0"/>
          <w:numId w:val="2"/>
        </w:numPr>
        <w:bidi w:val="0"/>
        <w:spacing w:lineRule="atLeast" w:line="240" w:before="0" w:after="0"/>
        <w:jc w:val="left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ab/>
        <w:t>B.1.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>1.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 w:eastAsia="es-ES" w:bidi="ar-SA"/>
        </w:rPr>
        <w:t>Experiència específica en arqueologia de cronologia romana i medieva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 w:eastAsia="es-ES" w:bidi="ar-SA"/>
        </w:rPr>
        <w:t>l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: 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ab/>
        <w:tab/>
        <w:t xml:space="preserve">El/la director/a adscrit al contracte disposa de ...... experiències acreditades.    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B.1.2.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 w:eastAsia="es-ES" w:bidi="ar-SA"/>
        </w:rPr>
        <w:t>Experiència genèrica en arqueologia urbana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ab/>
        <w:tab/>
        <w:t xml:space="preserve">El/la director/a adscrit al contracte disposa de ...... experiències acreditades.   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es-ES" w:bidi="ar-SA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 xml:space="preserve">B.1.3.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 w:eastAsia="es-ES" w:bidi="ar-SA"/>
        </w:rPr>
        <w:t>Experiència en excavacions en un àmbit BCIN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es-ES" w:bidi="ar-SA"/>
        </w:rPr>
        <w:tab/>
        <w:tab/>
        <w:t xml:space="preserve">El/la director/a adscrit al contracte disposa de ...... experiències acreditades.   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lang w:val="ca-ES" w:eastAsia="es-ES" w:bidi="ar-SA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 w:eastAsia="es-ES" w:bidi="ar-SA"/>
        </w:rPr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lang w:val="ca-ES" w:eastAsia="es-ES" w:bidi="ar-SA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 w:eastAsia="es-ES" w:bidi="ar-SA"/>
        </w:rPr>
      </w:r>
    </w:p>
    <w:p>
      <w:pPr>
        <w:pStyle w:val="Cuerpodetext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ab/>
        <w:t xml:space="preserve">* Cal aportar en el sobre únic la documentació acreditativa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corresponent.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La manca d’aportació </w:t>
        <w:tab/>
        <w:t xml:space="preserve">suposarà la no valoració del criteri. </w:t>
      </w:r>
    </w:p>
    <w:p>
      <w:pPr>
        <w:pStyle w:val="Cuerpodetext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ab/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Les experiències acreditades únicament es poden valorar en un sol apartat. </w:t>
      </w:r>
    </w:p>
    <w:p>
      <w:pPr>
        <w:pStyle w:val="Western"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  <w:u w:val="single"/>
        </w:rPr>
        <w:t xml:space="preserve">B.2. Formació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single"/>
        </w:rPr>
        <w:t xml:space="preserve">del director/a de la intervenció 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  <w:t>B.2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.1.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single"/>
        </w:rPr>
        <w:t>Màster.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Es disposa de màster: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sz w:val="22"/>
          <w:szCs w:val="22"/>
        </w:rPr>
        <w:tab/>
        <w:tab/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kern w:val="2"/>
          <w:sz w:val="22"/>
          <w:szCs w:val="22"/>
          <w:u w:val="none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</w:rPr>
        <w:t xml:space="preserve"> SI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kern w:val="2"/>
          <w:sz w:val="22"/>
          <w:szCs w:val="22"/>
          <w:u w:val="none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sz w:val="22"/>
          <w:szCs w:val="22"/>
        </w:rPr>
        <w:t xml:space="preserve"> 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kern w:val="2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NO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</w:rPr>
      </w:pPr>
      <w:r>
        <w:rPr>
          <w:rFonts w:ascii="Arial" w:hAnsi="Arial"/>
          <w:b w:val="false"/>
          <w:bCs w:val="false"/>
          <w:color w:val="000000"/>
        </w:rPr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>B.2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.2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</w:rPr>
        <w:t>Postgrau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>.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Western"/>
        <w:numPr>
          <w:ilvl w:val="0"/>
          <w:numId w:val="2"/>
        </w:numPr>
        <w:bidi w:val="0"/>
        <w:spacing w:lineRule="atLeast" w:line="240"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ab/>
        <w:tab/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Es disposa de postgrau:</w:t>
      </w:r>
    </w:p>
    <w:p>
      <w:pPr>
        <w:pStyle w:val="Western"/>
        <w:numPr>
          <w:ilvl w:val="0"/>
          <w:numId w:val="2"/>
        </w:numPr>
        <w:bidi w:val="0"/>
        <w:spacing w:lineRule="atLeast" w:line="240" w:before="0" w:after="0"/>
        <w:jc w:val="left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lang w:eastAsia="zh-CN" w:bidi="hi-IN"/>
        </w:rPr>
        <w:tab/>
        <w:tab/>
        <w:t>☐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SI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lang w:eastAsia="zh-CN" w:bidi="hi-IN"/>
        </w:rPr>
        <w:t>☐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lang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NO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ab/>
      </w:r>
    </w:p>
    <w:p>
      <w:pPr>
        <w:pStyle w:val="Cuerpodetext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ab/>
        <w:t xml:space="preserve">* Cal aportar en el sobre únic la 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>titulació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 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corresponent. 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111111"/>
          <w:spacing w:val="0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La manca d’aportació suposarà la no valoració del criteri. </w:t>
      </w:r>
    </w:p>
    <w:p>
      <w:pPr>
        <w:pStyle w:val="Cuerpodetext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Helv" w:cs="Helv"/>
          <w:b w:val="false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shd w:fill="auto" w:val="clear"/>
          <w:lang w:val="ca-ES" w:eastAsia="es-ES"/>
        </w:rPr>
      </w:pPr>
      <w:r>
        <w:rPr>
          <w:rFonts w:ascii="Arial" w:hAnsi="Arial"/>
          <w:sz w:val="20"/>
          <w:szCs w:val="20"/>
          <w:u w:val="single"/>
          <w:lang w:val="ca-ES"/>
        </w:rPr>
      </w:r>
      <w:bookmarkStart w:id="0" w:name="__RefHeading___Toc27218_1041666186"/>
      <w:bookmarkStart w:id="1" w:name="__RefHeading___Toc27218_1041666186"/>
      <w:bookmarkEnd w:id="1"/>
    </w:p>
    <w:p>
      <w:pPr>
        <w:pStyle w:val="Sumario1"/>
        <w:numPr>
          <w:ilvl w:val="0"/>
          <w:numId w:val="2"/>
        </w:numPr>
        <w:pBdr/>
        <w:bidi w:val="0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2"/>
        </w:numPr>
        <w:pBdr/>
        <w:bidi w:val="0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2"/>
        </w:numPr>
        <w:pBdr/>
        <w:bidi w:val="0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Sumario1"/>
        <w:numPr>
          <w:ilvl w:val="0"/>
          <w:numId w:val="2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2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2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2"/>
        </w:numPr>
        <w:pBdr/>
        <w:bidi w:val="0"/>
        <w:spacing w:lineRule="auto" w:line="276"/>
        <w:ind w:left="624" w:right="0" w:hanging="624"/>
        <w:jc w:val="both"/>
        <w:rPr>
          <w:rFonts w:ascii="Arial" w:hAnsi="Arial" w:eastAsia="Arial" w:cs="Arial"/>
          <w:b w:val="false"/>
          <w:i/>
          <w:color w:val="000000"/>
          <w:sz w:val="22"/>
          <w:szCs w:val="22"/>
          <w:shd w:fill="FFFFFF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eastAsia="zh-CN" w:bidi="hi-IN"/>
        </w:rPr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-514350</wp:posOffset>
          </wp:positionV>
          <wp:extent cx="6120130" cy="60706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osdenumeracin">
    <w:name w:val="Símbolos de numeración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Subttulo">
    <w:name w:val="Subtitle"/>
    <w:basedOn w:val="Ttulo"/>
    <w:next w:val="Cuerpodetexto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09"/>
        <w:tab w:val="right" w:pos="10262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val="es-ES" w:eastAsia="es-ES" w:bidi="ar-SA"/>
    </w:rPr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LibreOffice/7.1.7.2$Windows_X86_64 LibreOffice_project/c6a4e3954236145e2acb0b65f68614365aeee33f</Application>
  <AppVersion>15.0000</AppVersion>
  <Pages>2</Pages>
  <Words>290</Words>
  <Characters>1825</Characters>
  <CharactersWithSpaces>2154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2025-06-05T08:52:21Z</dcterms:created>
  <dc:creator/>
  <dc:description/>
  <dc:language>es-ES</dc:language>
  <cp:lastModifiedBy/>
  <dcterms:modified xsi:type="dcterms:W3CDTF">2025-06-05T08:58:17Z</dcterms:modified>
  <cp:revision>3</cp:revision>
  <dc:subject/>
  <dc:title/>
</cp:coreProperties>
</file>