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3FB9" w14:textId="77777777" w:rsidR="00954F7F" w:rsidRDefault="00954F7F">
      <w:pPr>
        <w:rPr>
          <w:rFonts w:ascii="Arial" w:hAnsi="Arial" w:cs="Arial"/>
          <w:b/>
          <w:bCs/>
          <w:sz w:val="32"/>
          <w:szCs w:val="32"/>
        </w:rPr>
      </w:pPr>
    </w:p>
    <w:p w14:paraId="74D57089" w14:textId="77777777" w:rsidR="00954F7F" w:rsidRDefault="00954F7F">
      <w:pPr>
        <w:rPr>
          <w:rFonts w:ascii="Arial" w:hAnsi="Arial" w:cs="Arial"/>
          <w:b/>
          <w:bCs/>
          <w:sz w:val="32"/>
          <w:szCs w:val="32"/>
        </w:rPr>
      </w:pPr>
    </w:p>
    <w:p w14:paraId="4D64B796" w14:textId="77777777" w:rsidR="00954F7F" w:rsidRDefault="00954F7F">
      <w:pPr>
        <w:rPr>
          <w:rFonts w:ascii="Arial" w:hAnsi="Arial" w:cs="Arial"/>
          <w:b/>
          <w:bCs/>
          <w:sz w:val="32"/>
          <w:szCs w:val="32"/>
        </w:rPr>
      </w:pPr>
    </w:p>
    <w:p w14:paraId="5E115BFD" w14:textId="77777777" w:rsidR="00954F7F" w:rsidRDefault="00954F7F">
      <w:pPr>
        <w:rPr>
          <w:rFonts w:ascii="Arial" w:hAnsi="Arial" w:cs="Arial"/>
          <w:b/>
          <w:bCs/>
          <w:sz w:val="32"/>
          <w:szCs w:val="32"/>
        </w:rPr>
      </w:pPr>
    </w:p>
    <w:p w14:paraId="187B28FB" w14:textId="77777777" w:rsidR="00954F7F" w:rsidRDefault="00954F7F">
      <w:pPr>
        <w:rPr>
          <w:rFonts w:ascii="Arial" w:hAnsi="Arial" w:cs="Arial"/>
          <w:b/>
          <w:bCs/>
          <w:sz w:val="32"/>
          <w:szCs w:val="32"/>
        </w:rPr>
      </w:pPr>
    </w:p>
    <w:p w14:paraId="75788FAC" w14:textId="77777777" w:rsidR="00954F7F" w:rsidRDefault="00954F7F">
      <w:pPr>
        <w:rPr>
          <w:rFonts w:ascii="Arial" w:hAnsi="Arial" w:cs="Arial"/>
          <w:b/>
          <w:bCs/>
          <w:sz w:val="32"/>
          <w:szCs w:val="32"/>
        </w:rPr>
      </w:pPr>
    </w:p>
    <w:p w14:paraId="23BD7613" w14:textId="77777777" w:rsidR="00954F7F" w:rsidRDefault="00954F7F">
      <w:pPr>
        <w:rPr>
          <w:rFonts w:ascii="Arial" w:hAnsi="Arial" w:cs="Arial"/>
          <w:b/>
          <w:bCs/>
          <w:sz w:val="32"/>
          <w:szCs w:val="32"/>
        </w:rPr>
      </w:pPr>
    </w:p>
    <w:p w14:paraId="3AC7619F" w14:textId="77777777" w:rsidR="00954F7F" w:rsidRDefault="00954F7F">
      <w:pPr>
        <w:rPr>
          <w:rFonts w:ascii="Arial" w:hAnsi="Arial" w:cs="Arial"/>
          <w:b/>
          <w:bCs/>
          <w:sz w:val="32"/>
          <w:szCs w:val="32"/>
        </w:rPr>
      </w:pPr>
    </w:p>
    <w:p w14:paraId="23273248" w14:textId="77777777" w:rsidR="00954F7F" w:rsidRDefault="00954F7F" w:rsidP="00954F7F">
      <w:pPr>
        <w:jc w:val="center"/>
        <w:rPr>
          <w:rFonts w:ascii="Arial" w:hAnsi="Arial" w:cs="Arial"/>
          <w:b/>
          <w:bCs/>
          <w:sz w:val="32"/>
          <w:szCs w:val="32"/>
        </w:rPr>
      </w:pPr>
    </w:p>
    <w:p w14:paraId="65F3C1D1" w14:textId="5D49FC17" w:rsidR="00994C0A" w:rsidRDefault="00954F7F" w:rsidP="00994C0A">
      <w:pPr>
        <w:jc w:val="center"/>
        <w:rPr>
          <w:rFonts w:ascii="Arial" w:hAnsi="Arial" w:cs="Arial"/>
          <w:b/>
          <w:bCs/>
          <w:sz w:val="32"/>
          <w:szCs w:val="32"/>
        </w:rPr>
      </w:pPr>
      <w:r w:rsidRPr="0027681A">
        <w:rPr>
          <w:rFonts w:ascii="Arial" w:hAnsi="Arial" w:cs="Arial"/>
          <w:b/>
          <w:bCs/>
          <w:sz w:val="32"/>
          <w:szCs w:val="32"/>
        </w:rPr>
        <w:t>ANNEX</w:t>
      </w:r>
      <w:r w:rsidR="00994C0A">
        <w:rPr>
          <w:rFonts w:ascii="Arial" w:hAnsi="Arial" w:cs="Arial"/>
          <w:b/>
          <w:bCs/>
          <w:sz w:val="32"/>
          <w:szCs w:val="32"/>
        </w:rPr>
        <w:t xml:space="preserve"> XI</w:t>
      </w:r>
    </w:p>
    <w:p w14:paraId="7A58EC32" w14:textId="5491E268" w:rsidR="00994C0A" w:rsidRDefault="00994C0A" w:rsidP="00994C0A">
      <w:pPr>
        <w:jc w:val="center"/>
        <w:rPr>
          <w:rFonts w:ascii="Arial" w:hAnsi="Arial" w:cs="Arial"/>
          <w:b/>
          <w:bCs/>
          <w:sz w:val="32"/>
          <w:szCs w:val="32"/>
        </w:rPr>
      </w:pPr>
      <w:r>
        <w:rPr>
          <w:rFonts w:ascii="Arial" w:hAnsi="Arial" w:cs="Arial"/>
          <w:b/>
          <w:bCs/>
          <w:sz w:val="32"/>
          <w:szCs w:val="32"/>
        </w:rPr>
        <w:t>MEMÒRIA JUSTIFICATIVA DE LA FÓRMULA DE REVISIÓ DE PREUS</w:t>
      </w:r>
    </w:p>
    <w:p w14:paraId="24D457B0" w14:textId="77777777" w:rsidR="0002304E" w:rsidRDefault="0002304E" w:rsidP="00994C0A">
      <w:pPr>
        <w:jc w:val="center"/>
        <w:rPr>
          <w:rFonts w:ascii="Arial" w:hAnsi="Arial" w:cs="Arial"/>
          <w:b/>
          <w:bCs/>
          <w:sz w:val="32"/>
          <w:szCs w:val="32"/>
        </w:rPr>
      </w:pPr>
    </w:p>
    <w:p w14:paraId="6063E407" w14:textId="77777777" w:rsidR="0002304E" w:rsidRDefault="0002304E" w:rsidP="00994C0A">
      <w:pPr>
        <w:jc w:val="center"/>
        <w:rPr>
          <w:rFonts w:ascii="Arial" w:hAnsi="Arial" w:cs="Arial"/>
          <w:b/>
          <w:bCs/>
          <w:sz w:val="32"/>
          <w:szCs w:val="32"/>
        </w:rPr>
      </w:pPr>
    </w:p>
    <w:p w14:paraId="0AC5EAF4" w14:textId="77777777" w:rsidR="0002304E" w:rsidRDefault="0002304E" w:rsidP="00994C0A">
      <w:pPr>
        <w:jc w:val="center"/>
        <w:rPr>
          <w:rFonts w:ascii="Arial" w:hAnsi="Arial" w:cs="Arial"/>
          <w:b/>
          <w:bCs/>
          <w:sz w:val="32"/>
          <w:szCs w:val="32"/>
        </w:rPr>
      </w:pPr>
    </w:p>
    <w:p w14:paraId="772FA7CE" w14:textId="77777777" w:rsidR="0002304E" w:rsidRDefault="0002304E" w:rsidP="00994C0A">
      <w:pPr>
        <w:jc w:val="center"/>
        <w:rPr>
          <w:rFonts w:ascii="Arial" w:hAnsi="Arial" w:cs="Arial"/>
          <w:b/>
          <w:bCs/>
          <w:sz w:val="32"/>
          <w:szCs w:val="32"/>
        </w:rPr>
      </w:pPr>
    </w:p>
    <w:p w14:paraId="59462DF2" w14:textId="77777777" w:rsidR="0002304E" w:rsidRDefault="0002304E" w:rsidP="00994C0A">
      <w:pPr>
        <w:jc w:val="center"/>
        <w:rPr>
          <w:rFonts w:ascii="Arial" w:hAnsi="Arial" w:cs="Arial"/>
          <w:b/>
          <w:bCs/>
          <w:sz w:val="32"/>
          <w:szCs w:val="32"/>
        </w:rPr>
      </w:pPr>
    </w:p>
    <w:p w14:paraId="446D3013" w14:textId="04B5BDF7" w:rsidR="0002304E" w:rsidRPr="0002304E" w:rsidRDefault="0002304E" w:rsidP="0002304E">
      <w:pPr>
        <w:jc w:val="right"/>
        <w:rPr>
          <w:rFonts w:ascii="Arial" w:hAnsi="Arial" w:cs="Arial"/>
          <w:sz w:val="24"/>
          <w:szCs w:val="24"/>
        </w:rPr>
      </w:pPr>
      <w:r w:rsidRPr="0002304E">
        <w:rPr>
          <w:rFonts w:ascii="Arial" w:hAnsi="Arial" w:cs="Arial"/>
          <w:sz w:val="24"/>
          <w:szCs w:val="24"/>
        </w:rPr>
        <w:t>Abril 2025</w:t>
      </w:r>
    </w:p>
    <w:p w14:paraId="7BA784F9" w14:textId="64A53273" w:rsidR="00994C0A" w:rsidRDefault="00994C0A">
      <w:pPr>
        <w:rPr>
          <w:rFonts w:ascii="Arial" w:hAnsi="Arial" w:cs="Arial"/>
          <w:b/>
          <w:bCs/>
          <w:sz w:val="32"/>
          <w:szCs w:val="32"/>
        </w:rPr>
      </w:pPr>
      <w:r>
        <w:rPr>
          <w:rFonts w:ascii="Arial" w:hAnsi="Arial" w:cs="Arial"/>
          <w:b/>
          <w:bCs/>
          <w:sz w:val="32"/>
          <w:szCs w:val="32"/>
        </w:rPr>
        <w:br w:type="page"/>
      </w:r>
    </w:p>
    <w:p w14:paraId="308D587E" w14:textId="3B82F217" w:rsidR="00994C0A" w:rsidRPr="00994C0A" w:rsidRDefault="00994C0A" w:rsidP="00994C0A">
      <w:pPr>
        <w:pStyle w:val="Prrafodelista"/>
        <w:numPr>
          <w:ilvl w:val="0"/>
          <w:numId w:val="1"/>
        </w:numPr>
        <w:jc w:val="both"/>
        <w:rPr>
          <w:rFonts w:ascii="Arial" w:hAnsi="Arial" w:cs="Arial"/>
          <w:b/>
          <w:bCs/>
        </w:rPr>
      </w:pPr>
      <w:r w:rsidRPr="00994C0A">
        <w:rPr>
          <w:rFonts w:ascii="Arial" w:hAnsi="Arial" w:cs="Arial"/>
          <w:b/>
          <w:bCs/>
        </w:rPr>
        <w:lastRenderedPageBreak/>
        <w:t>GENERALITATS</w:t>
      </w:r>
    </w:p>
    <w:p w14:paraId="7251A79B" w14:textId="77777777" w:rsidR="004346E1" w:rsidRPr="004346E1" w:rsidRDefault="004346E1" w:rsidP="004346E1">
      <w:pPr>
        <w:jc w:val="both"/>
        <w:rPr>
          <w:rFonts w:ascii="Arial" w:hAnsi="Arial" w:cs="Arial"/>
          <w:bCs/>
        </w:rPr>
      </w:pPr>
      <w:r w:rsidRPr="004346E1">
        <w:rPr>
          <w:rFonts w:ascii="Arial" w:hAnsi="Arial" w:cs="Arial"/>
          <w:bCs/>
        </w:rPr>
        <w:t>L’article 103 de la Llei 9/2017, de 8 de novembre, de contractes del sector públic (LCSP), estableix que els preus dels contractes del sector públic poden ser objecte de revisió periòdica i predeterminada, en determinades circumstàncies, prèvia justificació i de conformitat amb el que preveu el Reial decret 55/2017, de 3 de febrer, que desenvolupa la Llei 2/2015, de 30 de març, de desindexació de l’economia espanyola (RD 55/2017), entre altes, en cas de contractes en què el període de recuperació de la inversió sigui igual o superior a cinc anys.</w:t>
      </w:r>
    </w:p>
    <w:p w14:paraId="7A698E7A" w14:textId="77777777" w:rsidR="004346E1" w:rsidRPr="004346E1" w:rsidRDefault="004346E1" w:rsidP="004346E1">
      <w:pPr>
        <w:jc w:val="both"/>
        <w:rPr>
          <w:rFonts w:ascii="Arial" w:hAnsi="Arial" w:cs="Arial"/>
          <w:bCs/>
        </w:rPr>
      </w:pPr>
      <w:r w:rsidRPr="004346E1">
        <w:rPr>
          <w:rFonts w:ascii="Arial" w:hAnsi="Arial" w:cs="Arial"/>
          <w:bCs/>
        </w:rPr>
        <w:t>Cal assenyalar, en aquest cas, que al tractar-se d’un tipus de contracte no subjecte a regulació harmonitzada, segons l’article 19.2 de la LCSP, podrà ser així mateix objecte de revisió periòdica no predeterminada o no periòdica. La normativa, però, no exclou la seva revisió de preus mitjançant una fórmula que determini una revisió periòdica i predeterminada, sempre i quan aquesta quedi recollida als corresponents plecs de clàusules.</w:t>
      </w:r>
    </w:p>
    <w:p w14:paraId="13DF4F4B" w14:textId="77777777" w:rsidR="004346E1" w:rsidRPr="004346E1" w:rsidRDefault="004346E1" w:rsidP="004346E1">
      <w:pPr>
        <w:jc w:val="both"/>
        <w:rPr>
          <w:rFonts w:ascii="Arial" w:hAnsi="Arial" w:cs="Arial"/>
          <w:bCs/>
        </w:rPr>
      </w:pPr>
      <w:r w:rsidRPr="004346E1">
        <w:rPr>
          <w:rFonts w:ascii="Arial" w:hAnsi="Arial" w:cs="Arial"/>
          <w:bCs/>
        </w:rPr>
        <w:t>La Llei de contractes del sector públic (LCSP), en el seu article 19, indica dels contractes subjectes a una regulació harmonitzada:</w:t>
      </w:r>
    </w:p>
    <w:p w14:paraId="6A8FD174" w14:textId="77777777" w:rsidR="004346E1" w:rsidRPr="004346E1" w:rsidRDefault="004346E1" w:rsidP="004346E1">
      <w:pPr>
        <w:jc w:val="both"/>
        <w:rPr>
          <w:rFonts w:ascii="Arial" w:hAnsi="Arial" w:cs="Arial"/>
          <w:bCs/>
        </w:rPr>
      </w:pPr>
      <w:r w:rsidRPr="004346E1">
        <w:rPr>
          <w:rFonts w:ascii="Arial" w:hAnsi="Arial" w:cs="Arial"/>
          <w:bCs/>
        </w:rPr>
        <w:t>Article 19. Delimitació general</w:t>
      </w:r>
    </w:p>
    <w:p w14:paraId="3B279FD6" w14:textId="77777777" w:rsidR="004346E1" w:rsidRPr="004346E1" w:rsidRDefault="004346E1" w:rsidP="004346E1">
      <w:pPr>
        <w:pStyle w:val="Prrafodelista"/>
        <w:widowControl w:val="0"/>
        <w:numPr>
          <w:ilvl w:val="2"/>
          <w:numId w:val="7"/>
        </w:numPr>
        <w:tabs>
          <w:tab w:val="num" w:pos="567"/>
        </w:tabs>
        <w:spacing w:after="0" w:line="240" w:lineRule="auto"/>
        <w:ind w:left="567" w:hanging="283"/>
        <w:contextualSpacing w:val="0"/>
        <w:jc w:val="both"/>
        <w:rPr>
          <w:rFonts w:ascii="Arial" w:hAnsi="Arial" w:cs="Arial"/>
          <w:bCs/>
        </w:rPr>
      </w:pPr>
      <w:r w:rsidRPr="004346E1">
        <w:rPr>
          <w:rFonts w:ascii="Arial" w:hAnsi="Arial" w:cs="Arial"/>
          <w:bCs/>
        </w:rPr>
        <w:t>Són contractes subjectes a una regulació harmonitzada els contractes d’obres, els de concessió d’obres, els de concessió de serveis, els de subministrament i els de serveis, el valor estimat dels quals, calculat de conformitat amb les regles que estableix l’article 101, sigui igual o superior a les quanties que indiquen els articles següents, sempre que l’entitat contractant tingui el caràcter de poder adjudicador. També tenen la consideració de contractes subjectes a una regulació harmonitzada els contractes subvencionats per aquestes entitats als quals es refereix l’article 23.</w:t>
      </w:r>
    </w:p>
    <w:p w14:paraId="7A2BA97C" w14:textId="77777777" w:rsidR="004346E1" w:rsidRPr="004346E1" w:rsidRDefault="004346E1" w:rsidP="004346E1">
      <w:pPr>
        <w:pStyle w:val="Prrafodelista"/>
        <w:ind w:left="567"/>
        <w:jc w:val="both"/>
        <w:rPr>
          <w:rFonts w:ascii="Arial" w:hAnsi="Arial" w:cs="Arial"/>
          <w:bCs/>
        </w:rPr>
      </w:pPr>
    </w:p>
    <w:p w14:paraId="7811E498" w14:textId="77777777" w:rsidR="004346E1" w:rsidRPr="004346E1" w:rsidRDefault="004346E1" w:rsidP="004346E1">
      <w:pPr>
        <w:pStyle w:val="Prrafodelista"/>
        <w:widowControl w:val="0"/>
        <w:numPr>
          <w:ilvl w:val="2"/>
          <w:numId w:val="7"/>
        </w:numPr>
        <w:tabs>
          <w:tab w:val="num" w:pos="567"/>
        </w:tabs>
        <w:spacing w:after="0" w:line="240" w:lineRule="auto"/>
        <w:ind w:left="567" w:hanging="283"/>
        <w:contextualSpacing w:val="0"/>
        <w:jc w:val="both"/>
        <w:rPr>
          <w:rFonts w:ascii="Arial" w:hAnsi="Arial" w:cs="Arial"/>
          <w:bCs/>
        </w:rPr>
      </w:pPr>
      <w:r w:rsidRPr="004346E1">
        <w:rPr>
          <w:rFonts w:ascii="Arial" w:hAnsi="Arial" w:cs="Arial"/>
          <w:bCs/>
        </w:rPr>
        <w:t>No obstant el que assenyala l’apartat anterior, no es consideren subjectes a una regulació harmonitzada, sigui quin sigui el seu valor estimat, els contractes següents:</w:t>
      </w:r>
    </w:p>
    <w:p w14:paraId="617B8072" w14:textId="77777777" w:rsidR="004346E1" w:rsidRPr="004346E1" w:rsidRDefault="004346E1" w:rsidP="004346E1">
      <w:pPr>
        <w:pStyle w:val="Prrafodelista"/>
        <w:ind w:left="1211"/>
        <w:rPr>
          <w:rFonts w:ascii="Arial" w:hAnsi="Arial" w:cs="Arial"/>
          <w:bCs/>
        </w:rPr>
      </w:pPr>
    </w:p>
    <w:p w14:paraId="59FB7E8A" w14:textId="77777777" w:rsidR="004346E1" w:rsidRPr="004346E1" w:rsidRDefault="004346E1" w:rsidP="004346E1">
      <w:pPr>
        <w:pStyle w:val="Prrafodelista"/>
        <w:widowControl w:val="0"/>
        <w:numPr>
          <w:ilvl w:val="0"/>
          <w:numId w:val="8"/>
        </w:numPr>
        <w:spacing w:after="0" w:line="240" w:lineRule="auto"/>
        <w:contextualSpacing w:val="0"/>
        <w:jc w:val="both"/>
        <w:rPr>
          <w:rFonts w:ascii="Arial" w:hAnsi="Arial" w:cs="Arial"/>
          <w:bCs/>
        </w:rPr>
      </w:pPr>
      <w:r w:rsidRPr="004346E1">
        <w:rPr>
          <w:rFonts w:ascii="Arial" w:hAnsi="Arial" w:cs="Arial"/>
          <w:bCs/>
        </w:rPr>
        <w:t>Els contractes de concessió adjudicats per a:</w:t>
      </w:r>
    </w:p>
    <w:p w14:paraId="203247E8" w14:textId="77777777" w:rsidR="004346E1" w:rsidRPr="004346E1" w:rsidRDefault="004346E1" w:rsidP="004346E1">
      <w:pPr>
        <w:jc w:val="both"/>
        <w:rPr>
          <w:rFonts w:ascii="Arial" w:hAnsi="Arial" w:cs="Arial"/>
          <w:bCs/>
        </w:rPr>
      </w:pPr>
    </w:p>
    <w:p w14:paraId="43FD459B" w14:textId="77777777" w:rsidR="004346E1" w:rsidRPr="004346E1" w:rsidRDefault="004346E1" w:rsidP="004346E1">
      <w:pPr>
        <w:ind w:left="567"/>
        <w:jc w:val="both"/>
        <w:rPr>
          <w:rFonts w:ascii="Arial" w:hAnsi="Arial" w:cs="Arial"/>
          <w:bCs/>
        </w:rPr>
      </w:pPr>
      <w:r w:rsidRPr="004346E1">
        <w:rPr>
          <w:rFonts w:ascii="Arial" w:hAnsi="Arial" w:cs="Arial"/>
          <w:bCs/>
        </w:rPr>
        <w:t>1r   La posada a disposició o l’explotació de xarxes fixades destinades a prestar un servei al públic en relació amb la producció, el transport i la distribució d’aigua potable.</w:t>
      </w:r>
    </w:p>
    <w:p w14:paraId="2928E90B" w14:textId="77777777" w:rsidR="004346E1" w:rsidRPr="004346E1" w:rsidRDefault="004346E1" w:rsidP="004346E1">
      <w:pPr>
        <w:ind w:left="567"/>
        <w:jc w:val="both"/>
        <w:rPr>
          <w:rFonts w:ascii="Arial" w:hAnsi="Arial" w:cs="Arial"/>
          <w:bCs/>
        </w:rPr>
      </w:pPr>
      <w:r w:rsidRPr="004346E1">
        <w:rPr>
          <w:rFonts w:ascii="Arial" w:hAnsi="Arial" w:cs="Arial"/>
          <w:bCs/>
        </w:rPr>
        <w:t>2n   El subministrament d’aigua potable a les xarxes esmentades.</w:t>
      </w:r>
    </w:p>
    <w:p w14:paraId="6D13D51A" w14:textId="77777777" w:rsidR="004346E1" w:rsidRPr="004346E1" w:rsidRDefault="004346E1" w:rsidP="004346E1">
      <w:pPr>
        <w:jc w:val="both"/>
        <w:rPr>
          <w:rFonts w:ascii="Arial" w:hAnsi="Arial" w:cs="Arial"/>
        </w:rPr>
      </w:pPr>
      <w:r w:rsidRPr="004346E1">
        <w:rPr>
          <w:rFonts w:ascii="Arial" w:hAnsi="Arial" w:cs="Arial"/>
        </w:rPr>
        <w:t>És per tot això que aquest expedient es tramita com a una revisió PERIÒDICA NO PREDETERMINADA O NO PERIÒDICA.</w:t>
      </w:r>
    </w:p>
    <w:p w14:paraId="7FEA01A6" w14:textId="16A17B96" w:rsidR="00994C0A" w:rsidRDefault="00994C0A" w:rsidP="00994C0A">
      <w:pPr>
        <w:pStyle w:val="Prrafodelista"/>
        <w:rPr>
          <w:rFonts w:ascii="Arial" w:hAnsi="Arial" w:cs="Arial"/>
        </w:rPr>
      </w:pPr>
    </w:p>
    <w:p w14:paraId="4C0EEF66" w14:textId="77777777" w:rsidR="00994C0A" w:rsidRPr="00994C0A" w:rsidRDefault="00994C0A" w:rsidP="00994C0A">
      <w:pPr>
        <w:pStyle w:val="Prrafodelista"/>
        <w:rPr>
          <w:rFonts w:ascii="Arial" w:hAnsi="Arial" w:cs="Arial"/>
          <w:b/>
          <w:bCs/>
        </w:rPr>
      </w:pPr>
    </w:p>
    <w:p w14:paraId="40791366" w14:textId="53DF89A2" w:rsidR="00994C0A" w:rsidRDefault="00994C0A" w:rsidP="00994C0A">
      <w:pPr>
        <w:pStyle w:val="Prrafodelista"/>
        <w:numPr>
          <w:ilvl w:val="0"/>
          <w:numId w:val="1"/>
        </w:numPr>
        <w:jc w:val="both"/>
        <w:rPr>
          <w:rFonts w:ascii="Arial" w:hAnsi="Arial" w:cs="Arial"/>
          <w:b/>
          <w:bCs/>
        </w:rPr>
      </w:pPr>
      <w:r w:rsidRPr="00994C0A">
        <w:rPr>
          <w:rFonts w:ascii="Arial" w:hAnsi="Arial" w:cs="Arial"/>
          <w:b/>
          <w:bCs/>
        </w:rPr>
        <w:t>COSTOS CONSIDERATS PER A LA FÓRMULA DE REVISIÓ DE PREUS</w:t>
      </w:r>
    </w:p>
    <w:p w14:paraId="695F2B0E" w14:textId="77777777" w:rsidR="00D26FB4" w:rsidRPr="00D26FB4" w:rsidRDefault="00D26FB4" w:rsidP="00D26FB4">
      <w:pPr>
        <w:jc w:val="both"/>
        <w:rPr>
          <w:rFonts w:ascii="Arial" w:hAnsi="Arial" w:cs="Arial"/>
        </w:rPr>
      </w:pPr>
      <w:r w:rsidRPr="00D26FB4">
        <w:rPr>
          <w:rFonts w:ascii="Arial" w:hAnsi="Arial" w:cs="Arial"/>
        </w:rPr>
        <w:t>De cara a l’elecció dels costos que poden ser objecte de revisió en el present contracte i en compliment del RD 55/2017 és necessari que aquests compleixin els següents requisits:</w:t>
      </w:r>
    </w:p>
    <w:p w14:paraId="3C2FD531" w14:textId="6AD4B96E" w:rsidR="00D26FB4" w:rsidRPr="00D26FB4" w:rsidRDefault="00D26FB4" w:rsidP="00D26FB4">
      <w:pPr>
        <w:pStyle w:val="Prrafodelista"/>
        <w:numPr>
          <w:ilvl w:val="0"/>
          <w:numId w:val="4"/>
        </w:numPr>
        <w:jc w:val="both"/>
        <w:rPr>
          <w:rFonts w:ascii="Arial" w:hAnsi="Arial" w:cs="Arial"/>
        </w:rPr>
      </w:pPr>
      <w:r w:rsidRPr="00D26FB4">
        <w:rPr>
          <w:rFonts w:ascii="Arial" w:hAnsi="Arial" w:cs="Arial"/>
        </w:rPr>
        <w:t>Han de ser costos indispensables per a la realització de l’activitat, entenent-se que un cost és indispensable quan no sigui possible la correcta realització de l’activitat, ni el ple compliment de les obligacions normatives o contractuals sense incórrer en aquest cost.</w:t>
      </w:r>
    </w:p>
    <w:p w14:paraId="1212877B" w14:textId="7B1ECD80" w:rsidR="00D26FB4" w:rsidRPr="00D26FB4" w:rsidRDefault="00D26FB4" w:rsidP="00D26FB4">
      <w:pPr>
        <w:pStyle w:val="Prrafodelista"/>
        <w:numPr>
          <w:ilvl w:val="0"/>
          <w:numId w:val="4"/>
        </w:numPr>
        <w:jc w:val="both"/>
        <w:rPr>
          <w:rFonts w:ascii="Arial" w:hAnsi="Arial" w:cs="Arial"/>
        </w:rPr>
      </w:pPr>
      <w:r w:rsidRPr="00D26FB4">
        <w:rPr>
          <w:rFonts w:ascii="Arial" w:hAnsi="Arial" w:cs="Arial"/>
        </w:rPr>
        <w:t>Han de prendre’s com a referencia l’estructura de costos que una empresa eficient i ben gestionada hauria hagut de suportar per a desenvolupar l’activitat d’abastament d’aigua potable en el servei, amb el nivell mínim de qualitat exigible sobre la base dels plecs que regiran el contracte de concessió.</w:t>
      </w:r>
    </w:p>
    <w:p w14:paraId="6BE43985" w14:textId="15FE699D" w:rsidR="00D26FB4" w:rsidRPr="00D26FB4" w:rsidRDefault="00D26FB4" w:rsidP="00D26FB4">
      <w:pPr>
        <w:pStyle w:val="Prrafodelista"/>
        <w:numPr>
          <w:ilvl w:val="0"/>
          <w:numId w:val="4"/>
        </w:numPr>
        <w:jc w:val="both"/>
        <w:rPr>
          <w:rFonts w:ascii="Arial" w:hAnsi="Arial" w:cs="Arial"/>
        </w:rPr>
      </w:pPr>
      <w:r w:rsidRPr="00D26FB4">
        <w:rPr>
          <w:rFonts w:ascii="Arial" w:hAnsi="Arial" w:cs="Arial"/>
        </w:rPr>
        <w:t>Ha de justificar-se el caràcter recurrent de la variació dels diferents components de costos a considerar en la fórmula de revisió de preus.</w:t>
      </w:r>
    </w:p>
    <w:p w14:paraId="2D7F9A3B" w14:textId="5BB2D1B5" w:rsidR="00D26FB4" w:rsidRPr="00D26FB4" w:rsidRDefault="00D26FB4" w:rsidP="00D26FB4">
      <w:pPr>
        <w:pStyle w:val="Prrafodelista"/>
        <w:numPr>
          <w:ilvl w:val="0"/>
          <w:numId w:val="4"/>
        </w:numPr>
        <w:jc w:val="both"/>
        <w:rPr>
          <w:rFonts w:ascii="Arial" w:hAnsi="Arial" w:cs="Arial"/>
        </w:rPr>
      </w:pPr>
      <w:r w:rsidRPr="00D26FB4">
        <w:rPr>
          <w:rFonts w:ascii="Arial" w:hAnsi="Arial" w:cs="Arial"/>
        </w:rPr>
        <w:t>Únicament podran incloure’s costos que no estiguin sotmesos al control de l’operador econòmic.</w:t>
      </w:r>
    </w:p>
    <w:p w14:paraId="134C871A" w14:textId="36663F46" w:rsidR="00D26FB4" w:rsidRPr="00D26FB4" w:rsidRDefault="00D26FB4" w:rsidP="00D26FB4">
      <w:pPr>
        <w:pStyle w:val="Prrafodelista"/>
        <w:numPr>
          <w:ilvl w:val="0"/>
          <w:numId w:val="4"/>
        </w:numPr>
        <w:jc w:val="both"/>
        <w:rPr>
          <w:rFonts w:ascii="Arial" w:hAnsi="Arial" w:cs="Arial"/>
        </w:rPr>
      </w:pPr>
      <w:r w:rsidRPr="00D26FB4">
        <w:rPr>
          <w:rFonts w:ascii="Arial" w:hAnsi="Arial" w:cs="Arial"/>
        </w:rPr>
        <w:t>Hauran de ser costos significatius, entenent-se com a tal aquells que representin, almenys, l’1 per cent (1%) del valor íntegre de l’activitat.</w:t>
      </w:r>
    </w:p>
    <w:p w14:paraId="79E7B6BA" w14:textId="0D68D91C" w:rsidR="00D26FB4" w:rsidRPr="00D26FB4" w:rsidRDefault="00D26FB4" w:rsidP="00D26FB4">
      <w:pPr>
        <w:pStyle w:val="Prrafodelista"/>
        <w:numPr>
          <w:ilvl w:val="0"/>
          <w:numId w:val="4"/>
        </w:numPr>
        <w:jc w:val="both"/>
        <w:rPr>
          <w:rFonts w:ascii="Arial" w:hAnsi="Arial" w:cs="Arial"/>
        </w:rPr>
      </w:pPr>
      <w:r w:rsidRPr="00D26FB4">
        <w:rPr>
          <w:rFonts w:ascii="Arial" w:hAnsi="Arial" w:cs="Arial"/>
        </w:rPr>
        <w:t>Es podrà incloure el cost de mà d’obra, sempre que sigui significatiu i amb el límit establert en l’article 5 del RD 55/2017.</w:t>
      </w:r>
    </w:p>
    <w:p w14:paraId="41AFE864" w14:textId="5AD749AC" w:rsidR="00994C0A" w:rsidRDefault="00D26FB4" w:rsidP="00D26FB4">
      <w:pPr>
        <w:pStyle w:val="Prrafodelista"/>
        <w:numPr>
          <w:ilvl w:val="0"/>
          <w:numId w:val="4"/>
        </w:numPr>
        <w:jc w:val="both"/>
        <w:rPr>
          <w:rFonts w:ascii="Arial" w:hAnsi="Arial" w:cs="Arial"/>
        </w:rPr>
      </w:pPr>
      <w:r w:rsidRPr="00D26FB4">
        <w:rPr>
          <w:rFonts w:ascii="Arial" w:hAnsi="Arial" w:cs="Arial"/>
        </w:rPr>
        <w:t>No es podran incloure costos financers, amortitzacions, despeses generals o d’estructura ni el benefici industrial.</w:t>
      </w:r>
    </w:p>
    <w:p w14:paraId="103235BC" w14:textId="646B81D4" w:rsidR="00D26FB4" w:rsidRDefault="00D26FB4" w:rsidP="00D26FB4">
      <w:pPr>
        <w:jc w:val="both"/>
        <w:rPr>
          <w:rFonts w:ascii="Arial" w:hAnsi="Arial" w:cs="Arial"/>
        </w:rPr>
      </w:pPr>
    </w:p>
    <w:p w14:paraId="747F387A" w14:textId="4FA69F06" w:rsidR="000647D6" w:rsidRDefault="00D26FB4" w:rsidP="00D26FB4">
      <w:pPr>
        <w:jc w:val="both"/>
        <w:rPr>
          <w:rFonts w:ascii="Arial" w:hAnsi="Arial" w:cs="Arial"/>
        </w:rPr>
      </w:pPr>
      <w:r w:rsidRPr="00D26FB4">
        <w:rPr>
          <w:rFonts w:ascii="Arial" w:hAnsi="Arial" w:cs="Arial"/>
        </w:rPr>
        <w:t xml:space="preserve">L’estructura de costos que s’ha agafat com a referència, en l’expedient de licitació del servei d’abastament d’aigua potable en el municipi de </w:t>
      </w:r>
      <w:r>
        <w:rPr>
          <w:rFonts w:ascii="Arial" w:hAnsi="Arial" w:cs="Arial"/>
        </w:rPr>
        <w:t>Llambilles</w:t>
      </w:r>
      <w:r w:rsidRPr="00D26FB4">
        <w:rPr>
          <w:rFonts w:ascii="Arial" w:hAnsi="Arial" w:cs="Arial"/>
        </w:rPr>
        <w:t>, es basa en l’estudi econòmic de les necessitats del mateix i els objectius de qualitat exigits per l’Ajuntament. D’aquests estudis s’obté la següent estructura de costos per al Servei:</w:t>
      </w:r>
    </w:p>
    <w:p w14:paraId="444DCF11" w14:textId="77777777" w:rsidR="00062FA6" w:rsidRDefault="00062FA6" w:rsidP="00062FA6">
      <w:pPr>
        <w:rPr>
          <w:rFonts w:ascii="Arial" w:hAnsi="Arial" w:cs="Arial"/>
          <w:bCs/>
          <w:sz w:val="20"/>
          <w:szCs w:val="20"/>
        </w:rPr>
      </w:pPr>
    </w:p>
    <w:tbl>
      <w:tblPr>
        <w:tblW w:w="8780" w:type="dxa"/>
        <w:tblCellMar>
          <w:left w:w="70" w:type="dxa"/>
          <w:right w:w="70" w:type="dxa"/>
        </w:tblCellMar>
        <w:tblLook w:val="04A0" w:firstRow="1" w:lastRow="0" w:firstColumn="1" w:lastColumn="0" w:noHBand="0" w:noVBand="1"/>
      </w:tblPr>
      <w:tblGrid>
        <w:gridCol w:w="3964"/>
        <w:gridCol w:w="1276"/>
        <w:gridCol w:w="1843"/>
        <w:gridCol w:w="1697"/>
      </w:tblGrid>
      <w:tr w:rsidR="00062FA6" w:rsidRPr="00745741" w14:paraId="007FEE53" w14:textId="77777777" w:rsidTr="009F50A0">
        <w:trPr>
          <w:trHeight w:val="300"/>
        </w:trPr>
        <w:tc>
          <w:tcPr>
            <w:tcW w:w="5240" w:type="dxa"/>
            <w:gridSpan w:val="2"/>
            <w:tcBorders>
              <w:top w:val="single" w:sz="4" w:space="0" w:color="5B9BD5"/>
              <w:left w:val="single" w:sz="4" w:space="0" w:color="5B9BD5"/>
              <w:bottom w:val="single" w:sz="4" w:space="0" w:color="5B9BD5"/>
              <w:right w:val="single" w:sz="4" w:space="0" w:color="5B9BD5"/>
            </w:tcBorders>
            <w:shd w:val="clear" w:color="000000" w:fill="9BC2E6"/>
            <w:noWrap/>
            <w:vAlign w:val="bottom"/>
            <w:hideMark/>
          </w:tcPr>
          <w:p w14:paraId="780DA11B"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DESPESES</w:t>
            </w:r>
          </w:p>
        </w:tc>
        <w:tc>
          <w:tcPr>
            <w:tcW w:w="1843" w:type="dxa"/>
            <w:tcBorders>
              <w:top w:val="single" w:sz="4" w:space="0" w:color="5B9BD5"/>
              <w:left w:val="nil"/>
              <w:bottom w:val="single" w:sz="4" w:space="0" w:color="5B9BD5"/>
              <w:right w:val="single" w:sz="4" w:space="0" w:color="5B9BD5"/>
            </w:tcBorders>
            <w:shd w:val="clear" w:color="000000" w:fill="9BC2E6"/>
            <w:noWrap/>
            <w:vAlign w:val="bottom"/>
            <w:hideMark/>
          </w:tcPr>
          <w:p w14:paraId="3DEA7229"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 Sobre el total</w:t>
            </w:r>
          </w:p>
        </w:tc>
        <w:tc>
          <w:tcPr>
            <w:tcW w:w="1697" w:type="dxa"/>
            <w:tcBorders>
              <w:top w:val="single" w:sz="4" w:space="0" w:color="5B9BD5"/>
              <w:left w:val="nil"/>
              <w:bottom w:val="single" w:sz="4" w:space="0" w:color="5B9BD5"/>
              <w:right w:val="single" w:sz="4" w:space="0" w:color="5B9BD5"/>
            </w:tcBorders>
            <w:shd w:val="clear" w:color="000000" w:fill="9BC2E6"/>
            <w:noWrap/>
            <w:vAlign w:val="bottom"/>
            <w:hideMark/>
          </w:tcPr>
          <w:p w14:paraId="662A515B"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En tant per u</w:t>
            </w:r>
          </w:p>
        </w:tc>
      </w:tr>
      <w:tr w:rsidR="00062FA6" w:rsidRPr="00745741" w14:paraId="3B871BB0"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DDEBF7"/>
            <w:noWrap/>
            <w:vAlign w:val="bottom"/>
            <w:hideMark/>
          </w:tcPr>
          <w:p w14:paraId="46E68699"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Personal</w:t>
            </w:r>
          </w:p>
        </w:tc>
        <w:tc>
          <w:tcPr>
            <w:tcW w:w="1276" w:type="dxa"/>
            <w:tcBorders>
              <w:top w:val="nil"/>
              <w:left w:val="nil"/>
              <w:bottom w:val="single" w:sz="4" w:space="0" w:color="5B9BD5"/>
              <w:right w:val="single" w:sz="4" w:space="0" w:color="5B9BD5"/>
            </w:tcBorders>
            <w:shd w:val="clear" w:color="000000" w:fill="DDEBF7"/>
            <w:noWrap/>
            <w:vAlign w:val="bottom"/>
            <w:hideMark/>
          </w:tcPr>
          <w:p w14:paraId="14C66803"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19.046</w:t>
            </w:r>
          </w:p>
        </w:tc>
        <w:tc>
          <w:tcPr>
            <w:tcW w:w="1843" w:type="dxa"/>
            <w:tcBorders>
              <w:top w:val="nil"/>
              <w:left w:val="nil"/>
              <w:bottom w:val="single" w:sz="4" w:space="0" w:color="5B9BD5"/>
              <w:right w:val="single" w:sz="4" w:space="0" w:color="5B9BD5"/>
            </w:tcBorders>
            <w:shd w:val="clear" w:color="000000" w:fill="DDEBF7"/>
            <w:noWrap/>
            <w:vAlign w:val="bottom"/>
            <w:hideMark/>
          </w:tcPr>
          <w:p w14:paraId="1A910486"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18,</w:t>
            </w:r>
            <w:r>
              <w:rPr>
                <w:rFonts w:ascii="Calibri" w:eastAsia="Times New Roman" w:hAnsi="Calibri" w:cs="Calibri"/>
                <w:color w:val="000000"/>
                <w:lang w:eastAsia="ca-ES"/>
              </w:rPr>
              <w:t>7</w:t>
            </w:r>
            <w:r w:rsidRPr="00745741">
              <w:rPr>
                <w:rFonts w:ascii="Calibri" w:eastAsia="Times New Roman" w:hAnsi="Calibri" w:cs="Calibri"/>
                <w:color w:val="000000"/>
                <w:lang w:eastAsia="ca-ES"/>
              </w:rPr>
              <w:t>0%</w:t>
            </w:r>
          </w:p>
        </w:tc>
        <w:tc>
          <w:tcPr>
            <w:tcW w:w="1697" w:type="dxa"/>
            <w:tcBorders>
              <w:top w:val="nil"/>
              <w:left w:val="nil"/>
              <w:bottom w:val="single" w:sz="4" w:space="0" w:color="5B9BD5"/>
              <w:right w:val="single" w:sz="4" w:space="0" w:color="5B9BD5"/>
            </w:tcBorders>
            <w:shd w:val="clear" w:color="000000" w:fill="DDEBF7"/>
            <w:noWrap/>
            <w:vAlign w:val="bottom"/>
            <w:hideMark/>
          </w:tcPr>
          <w:p w14:paraId="48673C74"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r>
              <w:rPr>
                <w:rFonts w:ascii="Calibri" w:eastAsia="Times New Roman" w:hAnsi="Calibri" w:cs="Calibri"/>
                <w:color w:val="000000"/>
                <w:lang w:eastAsia="ca-ES"/>
              </w:rPr>
              <w:t>1870</w:t>
            </w:r>
          </w:p>
        </w:tc>
      </w:tr>
      <w:tr w:rsidR="00062FA6" w:rsidRPr="00745741" w14:paraId="2BE368C5"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DDEBF7"/>
            <w:noWrap/>
            <w:vAlign w:val="bottom"/>
            <w:hideMark/>
          </w:tcPr>
          <w:p w14:paraId="493DF7D8"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Energia elèctrica</w:t>
            </w:r>
          </w:p>
        </w:tc>
        <w:tc>
          <w:tcPr>
            <w:tcW w:w="1276" w:type="dxa"/>
            <w:tcBorders>
              <w:top w:val="nil"/>
              <w:left w:val="nil"/>
              <w:bottom w:val="single" w:sz="4" w:space="0" w:color="5B9BD5"/>
              <w:right w:val="single" w:sz="4" w:space="0" w:color="5B9BD5"/>
            </w:tcBorders>
            <w:shd w:val="clear" w:color="000000" w:fill="DDEBF7"/>
            <w:noWrap/>
            <w:vAlign w:val="bottom"/>
            <w:hideMark/>
          </w:tcPr>
          <w:p w14:paraId="6959E93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3.487</w:t>
            </w:r>
          </w:p>
        </w:tc>
        <w:tc>
          <w:tcPr>
            <w:tcW w:w="1843" w:type="dxa"/>
            <w:tcBorders>
              <w:top w:val="nil"/>
              <w:left w:val="nil"/>
              <w:bottom w:val="single" w:sz="4" w:space="0" w:color="5B9BD5"/>
              <w:right w:val="single" w:sz="4" w:space="0" w:color="5B9BD5"/>
            </w:tcBorders>
            <w:shd w:val="clear" w:color="000000" w:fill="DDEBF7"/>
            <w:noWrap/>
            <w:vAlign w:val="bottom"/>
            <w:hideMark/>
          </w:tcPr>
          <w:p w14:paraId="3953E0D5"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w:t>
            </w:r>
            <w:r>
              <w:rPr>
                <w:rFonts w:ascii="Calibri" w:eastAsia="Times New Roman" w:hAnsi="Calibri" w:cs="Calibri"/>
                <w:color w:val="000000"/>
                <w:lang w:eastAsia="ca-ES"/>
              </w:rPr>
              <w:t>42</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000000" w:fill="DDEBF7"/>
            <w:noWrap/>
            <w:vAlign w:val="bottom"/>
            <w:hideMark/>
          </w:tcPr>
          <w:p w14:paraId="61E511A9"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0,03</w:t>
            </w:r>
            <w:r>
              <w:rPr>
                <w:rFonts w:ascii="Calibri" w:eastAsia="Times New Roman" w:hAnsi="Calibri" w:cs="Calibri"/>
                <w:color w:val="000000"/>
                <w:lang w:eastAsia="ca-ES"/>
              </w:rPr>
              <w:t>42</w:t>
            </w:r>
          </w:p>
        </w:tc>
      </w:tr>
      <w:tr w:rsidR="00062FA6" w:rsidRPr="00745741" w14:paraId="63614279"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DDEBF7"/>
            <w:noWrap/>
            <w:vAlign w:val="bottom"/>
            <w:hideMark/>
          </w:tcPr>
          <w:p w14:paraId="4E372861"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Compra d'aigua</w:t>
            </w:r>
          </w:p>
        </w:tc>
        <w:tc>
          <w:tcPr>
            <w:tcW w:w="1276" w:type="dxa"/>
            <w:tcBorders>
              <w:top w:val="nil"/>
              <w:left w:val="nil"/>
              <w:bottom w:val="single" w:sz="4" w:space="0" w:color="5B9BD5"/>
              <w:right w:val="single" w:sz="4" w:space="0" w:color="5B9BD5"/>
            </w:tcBorders>
            <w:shd w:val="clear" w:color="000000" w:fill="DDEBF7"/>
            <w:noWrap/>
            <w:vAlign w:val="bottom"/>
            <w:hideMark/>
          </w:tcPr>
          <w:p w14:paraId="3514F0C6"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31.079</w:t>
            </w:r>
          </w:p>
        </w:tc>
        <w:tc>
          <w:tcPr>
            <w:tcW w:w="1843" w:type="dxa"/>
            <w:tcBorders>
              <w:top w:val="nil"/>
              <w:left w:val="nil"/>
              <w:bottom w:val="single" w:sz="4" w:space="0" w:color="5B9BD5"/>
              <w:right w:val="single" w:sz="4" w:space="0" w:color="5B9BD5"/>
            </w:tcBorders>
            <w:shd w:val="clear" w:color="000000" w:fill="DDEBF7"/>
            <w:noWrap/>
            <w:vAlign w:val="bottom"/>
            <w:hideMark/>
          </w:tcPr>
          <w:p w14:paraId="7F65A61B"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w:t>
            </w:r>
            <w:r>
              <w:rPr>
                <w:rFonts w:ascii="Calibri" w:eastAsia="Times New Roman" w:hAnsi="Calibri" w:cs="Calibri"/>
                <w:color w:val="000000"/>
                <w:lang w:eastAsia="ca-ES"/>
              </w:rPr>
              <w:t>0,52</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000000" w:fill="DDEBF7"/>
            <w:noWrap/>
            <w:vAlign w:val="bottom"/>
            <w:hideMark/>
          </w:tcPr>
          <w:p w14:paraId="79A25344"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0,3</w:t>
            </w:r>
            <w:r>
              <w:rPr>
                <w:rFonts w:ascii="Calibri" w:eastAsia="Times New Roman" w:hAnsi="Calibri" w:cs="Calibri"/>
                <w:color w:val="000000"/>
                <w:lang w:eastAsia="ca-ES"/>
              </w:rPr>
              <w:t>052</w:t>
            </w:r>
          </w:p>
        </w:tc>
      </w:tr>
      <w:tr w:rsidR="00062FA6" w:rsidRPr="00745741" w14:paraId="271ACEEA"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DDEBF7"/>
            <w:noWrap/>
            <w:vAlign w:val="bottom"/>
            <w:hideMark/>
          </w:tcPr>
          <w:p w14:paraId="25401604"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Materials de conservació</w:t>
            </w:r>
          </w:p>
        </w:tc>
        <w:tc>
          <w:tcPr>
            <w:tcW w:w="1276" w:type="dxa"/>
            <w:tcBorders>
              <w:top w:val="nil"/>
              <w:left w:val="nil"/>
              <w:bottom w:val="single" w:sz="4" w:space="0" w:color="5B9BD5"/>
              <w:right w:val="single" w:sz="4" w:space="0" w:color="5B9BD5"/>
            </w:tcBorders>
            <w:shd w:val="clear" w:color="000000" w:fill="DDEBF7"/>
            <w:noWrap/>
            <w:vAlign w:val="bottom"/>
            <w:hideMark/>
          </w:tcPr>
          <w:p w14:paraId="26996D2C"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7.772</w:t>
            </w:r>
          </w:p>
        </w:tc>
        <w:tc>
          <w:tcPr>
            <w:tcW w:w="1843" w:type="dxa"/>
            <w:tcBorders>
              <w:top w:val="nil"/>
              <w:left w:val="nil"/>
              <w:bottom w:val="single" w:sz="4" w:space="0" w:color="5B9BD5"/>
              <w:right w:val="single" w:sz="4" w:space="0" w:color="5B9BD5"/>
            </w:tcBorders>
            <w:shd w:val="clear" w:color="000000" w:fill="DDEBF7"/>
            <w:noWrap/>
            <w:vAlign w:val="bottom"/>
            <w:hideMark/>
          </w:tcPr>
          <w:p w14:paraId="66FE0307"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7,63</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000000" w:fill="DDEBF7"/>
            <w:noWrap/>
            <w:vAlign w:val="bottom"/>
            <w:hideMark/>
          </w:tcPr>
          <w:p w14:paraId="39C71FC6"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763</w:t>
            </w:r>
          </w:p>
        </w:tc>
      </w:tr>
      <w:tr w:rsidR="00062FA6" w:rsidRPr="00745741" w14:paraId="683FEDB6"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DDEBF7"/>
            <w:noWrap/>
            <w:vAlign w:val="bottom"/>
            <w:hideMark/>
          </w:tcPr>
          <w:p w14:paraId="4A80B4A2"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Treballs de tercers</w:t>
            </w:r>
          </w:p>
        </w:tc>
        <w:tc>
          <w:tcPr>
            <w:tcW w:w="1276" w:type="dxa"/>
            <w:tcBorders>
              <w:top w:val="nil"/>
              <w:left w:val="nil"/>
              <w:bottom w:val="single" w:sz="4" w:space="0" w:color="5B9BD5"/>
              <w:right w:val="single" w:sz="4" w:space="0" w:color="5B9BD5"/>
            </w:tcBorders>
            <w:shd w:val="clear" w:color="000000" w:fill="DDEBF7"/>
            <w:noWrap/>
            <w:vAlign w:val="bottom"/>
            <w:hideMark/>
          </w:tcPr>
          <w:p w14:paraId="469E8B95"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13.280</w:t>
            </w:r>
          </w:p>
        </w:tc>
        <w:tc>
          <w:tcPr>
            <w:tcW w:w="1843" w:type="dxa"/>
            <w:tcBorders>
              <w:top w:val="nil"/>
              <w:left w:val="nil"/>
              <w:bottom w:val="single" w:sz="4" w:space="0" w:color="5B9BD5"/>
              <w:right w:val="single" w:sz="4" w:space="0" w:color="5B9BD5"/>
            </w:tcBorders>
            <w:shd w:val="clear" w:color="000000" w:fill="DDEBF7"/>
            <w:noWrap/>
            <w:vAlign w:val="bottom"/>
            <w:hideMark/>
          </w:tcPr>
          <w:p w14:paraId="4B5DC013"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1</w:t>
            </w:r>
            <w:r>
              <w:rPr>
                <w:rFonts w:ascii="Calibri" w:eastAsia="Times New Roman" w:hAnsi="Calibri" w:cs="Calibri"/>
                <w:color w:val="000000"/>
                <w:lang w:eastAsia="ca-ES"/>
              </w:rPr>
              <w:t>3,04</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000000" w:fill="DDEBF7"/>
            <w:noWrap/>
            <w:vAlign w:val="bottom"/>
            <w:hideMark/>
          </w:tcPr>
          <w:p w14:paraId="669E76C9"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0,1</w:t>
            </w:r>
            <w:r>
              <w:rPr>
                <w:rFonts w:ascii="Calibri" w:eastAsia="Times New Roman" w:hAnsi="Calibri" w:cs="Calibri"/>
                <w:color w:val="000000"/>
                <w:lang w:eastAsia="ca-ES"/>
              </w:rPr>
              <w:t>304</w:t>
            </w:r>
          </w:p>
        </w:tc>
      </w:tr>
      <w:tr w:rsidR="00062FA6" w:rsidRPr="00745741" w14:paraId="4629F8EC"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778F4025"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Tractament</w:t>
            </w:r>
          </w:p>
        </w:tc>
        <w:tc>
          <w:tcPr>
            <w:tcW w:w="1276" w:type="dxa"/>
            <w:tcBorders>
              <w:top w:val="nil"/>
              <w:left w:val="nil"/>
              <w:bottom w:val="single" w:sz="4" w:space="0" w:color="5B9BD5"/>
              <w:right w:val="single" w:sz="4" w:space="0" w:color="5B9BD5"/>
            </w:tcBorders>
            <w:shd w:val="clear" w:color="000000" w:fill="FFFFFF"/>
            <w:noWrap/>
            <w:vAlign w:val="bottom"/>
            <w:hideMark/>
          </w:tcPr>
          <w:p w14:paraId="4D9CD443"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3.764</w:t>
            </w:r>
          </w:p>
        </w:tc>
        <w:tc>
          <w:tcPr>
            <w:tcW w:w="1843" w:type="dxa"/>
            <w:tcBorders>
              <w:top w:val="nil"/>
              <w:left w:val="nil"/>
              <w:bottom w:val="single" w:sz="4" w:space="0" w:color="5B9BD5"/>
              <w:right w:val="single" w:sz="4" w:space="0" w:color="5B9BD5"/>
            </w:tcBorders>
            <w:shd w:val="clear" w:color="auto" w:fill="auto"/>
            <w:noWrap/>
            <w:vAlign w:val="bottom"/>
            <w:hideMark/>
          </w:tcPr>
          <w:p w14:paraId="1487DBE5"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3,70</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3B0B9398"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370</w:t>
            </w:r>
          </w:p>
        </w:tc>
      </w:tr>
      <w:tr w:rsidR="00062FA6" w:rsidRPr="00745741" w14:paraId="58B1A3CA"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533F533E"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Transports</w:t>
            </w:r>
          </w:p>
        </w:tc>
        <w:tc>
          <w:tcPr>
            <w:tcW w:w="1276" w:type="dxa"/>
            <w:tcBorders>
              <w:top w:val="nil"/>
              <w:left w:val="nil"/>
              <w:bottom w:val="single" w:sz="4" w:space="0" w:color="5B9BD5"/>
              <w:right w:val="single" w:sz="4" w:space="0" w:color="5B9BD5"/>
            </w:tcBorders>
            <w:shd w:val="clear" w:color="000000" w:fill="FFFFFF"/>
            <w:noWrap/>
            <w:vAlign w:val="bottom"/>
            <w:hideMark/>
          </w:tcPr>
          <w:p w14:paraId="3F6965BD"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2.795</w:t>
            </w:r>
          </w:p>
        </w:tc>
        <w:tc>
          <w:tcPr>
            <w:tcW w:w="1843" w:type="dxa"/>
            <w:tcBorders>
              <w:top w:val="nil"/>
              <w:left w:val="nil"/>
              <w:bottom w:val="single" w:sz="4" w:space="0" w:color="5B9BD5"/>
              <w:right w:val="single" w:sz="4" w:space="0" w:color="5B9BD5"/>
            </w:tcBorders>
            <w:shd w:val="clear" w:color="auto" w:fill="auto"/>
            <w:noWrap/>
            <w:vAlign w:val="bottom"/>
            <w:hideMark/>
          </w:tcPr>
          <w:p w14:paraId="4970D2EF"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2,74</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0858FB69"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274</w:t>
            </w:r>
          </w:p>
        </w:tc>
      </w:tr>
      <w:tr w:rsidR="00062FA6" w:rsidRPr="00745741" w14:paraId="1CEA9AC0"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31E56283"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Impostos i taxes</w:t>
            </w:r>
          </w:p>
        </w:tc>
        <w:tc>
          <w:tcPr>
            <w:tcW w:w="1276" w:type="dxa"/>
            <w:tcBorders>
              <w:top w:val="nil"/>
              <w:left w:val="nil"/>
              <w:bottom w:val="single" w:sz="4" w:space="0" w:color="5B9BD5"/>
              <w:right w:val="single" w:sz="4" w:space="0" w:color="5B9BD5"/>
            </w:tcBorders>
            <w:shd w:val="clear" w:color="000000" w:fill="FFFFFF"/>
            <w:noWrap/>
            <w:vAlign w:val="bottom"/>
            <w:hideMark/>
          </w:tcPr>
          <w:p w14:paraId="4801052B"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1.91</w:t>
            </w:r>
            <w:r>
              <w:rPr>
                <w:rFonts w:ascii="Calibri" w:eastAsia="Times New Roman" w:hAnsi="Calibri" w:cs="Calibri"/>
                <w:color w:val="000000"/>
                <w:lang w:eastAsia="ca-ES"/>
              </w:rPr>
              <w:t>3</w:t>
            </w:r>
          </w:p>
        </w:tc>
        <w:tc>
          <w:tcPr>
            <w:tcW w:w="1843" w:type="dxa"/>
            <w:tcBorders>
              <w:top w:val="nil"/>
              <w:left w:val="nil"/>
              <w:bottom w:val="single" w:sz="4" w:space="0" w:color="5B9BD5"/>
              <w:right w:val="single" w:sz="4" w:space="0" w:color="5B9BD5"/>
            </w:tcBorders>
            <w:shd w:val="clear" w:color="auto" w:fill="auto"/>
            <w:noWrap/>
            <w:vAlign w:val="bottom"/>
            <w:hideMark/>
          </w:tcPr>
          <w:p w14:paraId="6A302AB2"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1,88</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54E2D3F7"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188</w:t>
            </w:r>
          </w:p>
        </w:tc>
      </w:tr>
      <w:tr w:rsidR="00062FA6" w:rsidRPr="00745741" w14:paraId="2D968E3D"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6F3F806E"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Generals</w:t>
            </w:r>
          </w:p>
        </w:tc>
        <w:tc>
          <w:tcPr>
            <w:tcW w:w="1276" w:type="dxa"/>
            <w:tcBorders>
              <w:top w:val="nil"/>
              <w:left w:val="nil"/>
              <w:bottom w:val="single" w:sz="4" w:space="0" w:color="5B9BD5"/>
              <w:right w:val="single" w:sz="4" w:space="0" w:color="5B9BD5"/>
            </w:tcBorders>
            <w:shd w:val="clear" w:color="000000" w:fill="FFFFFF"/>
            <w:noWrap/>
            <w:vAlign w:val="bottom"/>
            <w:hideMark/>
          </w:tcPr>
          <w:p w14:paraId="722EDD24"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7.615</w:t>
            </w:r>
          </w:p>
        </w:tc>
        <w:tc>
          <w:tcPr>
            <w:tcW w:w="1843" w:type="dxa"/>
            <w:tcBorders>
              <w:top w:val="nil"/>
              <w:left w:val="nil"/>
              <w:bottom w:val="single" w:sz="4" w:space="0" w:color="5B9BD5"/>
              <w:right w:val="single" w:sz="4" w:space="0" w:color="5B9BD5"/>
            </w:tcBorders>
            <w:shd w:val="clear" w:color="auto" w:fill="auto"/>
            <w:noWrap/>
            <w:vAlign w:val="bottom"/>
            <w:hideMark/>
          </w:tcPr>
          <w:p w14:paraId="0AE69E8D"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7,48</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4C5D2D10"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748</w:t>
            </w:r>
          </w:p>
        </w:tc>
      </w:tr>
      <w:tr w:rsidR="00062FA6" w:rsidRPr="00745741" w14:paraId="02DD979E"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03DB8252"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Retribució del concessionari</w:t>
            </w:r>
          </w:p>
        </w:tc>
        <w:tc>
          <w:tcPr>
            <w:tcW w:w="1276" w:type="dxa"/>
            <w:tcBorders>
              <w:top w:val="nil"/>
              <w:left w:val="nil"/>
              <w:bottom w:val="single" w:sz="4" w:space="0" w:color="5B9BD5"/>
              <w:right w:val="single" w:sz="4" w:space="0" w:color="5B9BD5"/>
            </w:tcBorders>
            <w:shd w:val="clear" w:color="000000" w:fill="FFFFFF"/>
            <w:noWrap/>
            <w:vAlign w:val="bottom"/>
            <w:hideMark/>
          </w:tcPr>
          <w:p w14:paraId="17233432"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9.025</w:t>
            </w:r>
          </w:p>
        </w:tc>
        <w:tc>
          <w:tcPr>
            <w:tcW w:w="1843" w:type="dxa"/>
            <w:tcBorders>
              <w:top w:val="nil"/>
              <w:left w:val="nil"/>
              <w:bottom w:val="single" w:sz="4" w:space="0" w:color="5B9BD5"/>
              <w:right w:val="single" w:sz="4" w:space="0" w:color="5B9BD5"/>
            </w:tcBorders>
            <w:shd w:val="clear" w:color="auto" w:fill="auto"/>
            <w:noWrap/>
            <w:vAlign w:val="bottom"/>
            <w:hideMark/>
          </w:tcPr>
          <w:p w14:paraId="3C9622AE"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8,</w:t>
            </w:r>
            <w:r>
              <w:rPr>
                <w:rFonts w:ascii="Calibri" w:eastAsia="Times New Roman" w:hAnsi="Calibri" w:cs="Calibri"/>
                <w:color w:val="000000"/>
                <w:lang w:eastAsia="ca-ES"/>
              </w:rPr>
              <w:t>86</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66BD2FBF"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886</w:t>
            </w:r>
          </w:p>
        </w:tc>
      </w:tr>
      <w:tr w:rsidR="00062FA6" w:rsidRPr="00745741" w14:paraId="6E3C33B9"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0A0E4B17"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Impagats</w:t>
            </w:r>
            <w:r>
              <w:rPr>
                <w:rFonts w:ascii="Calibri" w:eastAsia="Times New Roman" w:hAnsi="Calibri" w:cs="Calibri"/>
                <w:color w:val="000000"/>
                <w:lang w:eastAsia="ca-ES"/>
              </w:rPr>
              <w:t xml:space="preserve"> (1,5%)</w:t>
            </w:r>
          </w:p>
        </w:tc>
        <w:tc>
          <w:tcPr>
            <w:tcW w:w="1276" w:type="dxa"/>
            <w:tcBorders>
              <w:top w:val="nil"/>
              <w:left w:val="nil"/>
              <w:bottom w:val="single" w:sz="4" w:space="0" w:color="5B9BD5"/>
              <w:right w:val="single" w:sz="4" w:space="0" w:color="5B9BD5"/>
            </w:tcBorders>
            <w:shd w:val="clear" w:color="000000" w:fill="FFFFFF"/>
            <w:noWrap/>
            <w:vAlign w:val="bottom"/>
            <w:hideMark/>
          </w:tcPr>
          <w:p w14:paraId="616357CB"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823</w:t>
            </w:r>
          </w:p>
        </w:tc>
        <w:tc>
          <w:tcPr>
            <w:tcW w:w="1843" w:type="dxa"/>
            <w:tcBorders>
              <w:top w:val="nil"/>
              <w:left w:val="nil"/>
              <w:bottom w:val="single" w:sz="4" w:space="0" w:color="5B9BD5"/>
              <w:right w:val="single" w:sz="4" w:space="0" w:color="5B9BD5"/>
            </w:tcBorders>
            <w:shd w:val="clear" w:color="auto" w:fill="auto"/>
            <w:noWrap/>
            <w:vAlign w:val="bottom"/>
            <w:hideMark/>
          </w:tcPr>
          <w:p w14:paraId="3B2BFE8C"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1,12</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21D11C6D"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w:t>
            </w:r>
            <w:r>
              <w:rPr>
                <w:rFonts w:ascii="Calibri" w:eastAsia="Times New Roman" w:hAnsi="Calibri" w:cs="Calibri"/>
                <w:color w:val="000000"/>
                <w:lang w:eastAsia="ca-ES"/>
              </w:rPr>
              <w:t>112</w:t>
            </w:r>
          </w:p>
        </w:tc>
      </w:tr>
      <w:tr w:rsidR="00062FA6" w:rsidRPr="00745741" w14:paraId="70CC575A"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auto" w:fill="auto"/>
            <w:noWrap/>
            <w:vAlign w:val="bottom"/>
            <w:hideMark/>
          </w:tcPr>
          <w:p w14:paraId="16992DE8"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Seguiment i control (1</w:t>
            </w:r>
            <w:r>
              <w:rPr>
                <w:rFonts w:ascii="Calibri" w:eastAsia="Times New Roman" w:hAnsi="Calibri" w:cs="Calibri"/>
                <w:color w:val="000000"/>
                <w:lang w:eastAsia="ca-ES"/>
              </w:rPr>
              <w:t>,2</w:t>
            </w:r>
            <w:r w:rsidRPr="00745741">
              <w:rPr>
                <w:rFonts w:ascii="Calibri" w:eastAsia="Times New Roman" w:hAnsi="Calibri" w:cs="Calibri"/>
                <w:color w:val="000000"/>
                <w:lang w:eastAsia="ca-ES"/>
              </w:rPr>
              <w:t>%)</w:t>
            </w:r>
          </w:p>
        </w:tc>
        <w:tc>
          <w:tcPr>
            <w:tcW w:w="1276" w:type="dxa"/>
            <w:tcBorders>
              <w:top w:val="nil"/>
              <w:left w:val="nil"/>
              <w:bottom w:val="single" w:sz="4" w:space="0" w:color="5B9BD5"/>
              <w:right w:val="single" w:sz="4" w:space="0" w:color="5B9BD5"/>
            </w:tcBorders>
            <w:shd w:val="clear" w:color="000000" w:fill="FFFFFF"/>
            <w:noWrap/>
            <w:vAlign w:val="bottom"/>
            <w:hideMark/>
          </w:tcPr>
          <w:p w14:paraId="0D82CDC3"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1.197</w:t>
            </w:r>
          </w:p>
        </w:tc>
        <w:tc>
          <w:tcPr>
            <w:tcW w:w="1843" w:type="dxa"/>
            <w:tcBorders>
              <w:top w:val="nil"/>
              <w:left w:val="nil"/>
              <w:bottom w:val="single" w:sz="4" w:space="0" w:color="5B9BD5"/>
              <w:right w:val="single" w:sz="4" w:space="0" w:color="5B9BD5"/>
            </w:tcBorders>
            <w:shd w:val="clear" w:color="auto" w:fill="auto"/>
            <w:noWrap/>
            <w:vAlign w:val="bottom"/>
            <w:hideMark/>
          </w:tcPr>
          <w:p w14:paraId="6E1C7952"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0,9</w:t>
            </w:r>
            <w:r>
              <w:rPr>
                <w:rFonts w:ascii="Calibri" w:eastAsia="Times New Roman" w:hAnsi="Calibri" w:cs="Calibri"/>
                <w:color w:val="000000"/>
                <w:lang w:eastAsia="ca-ES"/>
              </w:rPr>
              <w:t>1</w:t>
            </w:r>
            <w:r w:rsidRPr="00745741">
              <w:rPr>
                <w:rFonts w:ascii="Calibri" w:eastAsia="Times New Roman" w:hAnsi="Calibri" w:cs="Calibri"/>
                <w:color w:val="000000"/>
                <w:lang w:eastAsia="ca-ES"/>
              </w:rPr>
              <w:t>%</w:t>
            </w:r>
          </w:p>
        </w:tc>
        <w:tc>
          <w:tcPr>
            <w:tcW w:w="1697" w:type="dxa"/>
            <w:tcBorders>
              <w:top w:val="nil"/>
              <w:left w:val="nil"/>
              <w:bottom w:val="single" w:sz="4" w:space="0" w:color="5B9BD5"/>
              <w:right w:val="single" w:sz="4" w:space="0" w:color="5B9BD5"/>
            </w:tcBorders>
            <w:shd w:val="clear" w:color="auto" w:fill="auto"/>
            <w:noWrap/>
            <w:vAlign w:val="bottom"/>
            <w:hideMark/>
          </w:tcPr>
          <w:p w14:paraId="5567239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r>
              <w:rPr>
                <w:rFonts w:ascii="Calibri" w:eastAsia="Times New Roman" w:hAnsi="Calibri" w:cs="Calibri"/>
                <w:color w:val="000000"/>
                <w:lang w:eastAsia="ca-ES"/>
              </w:rPr>
              <w:t>91</w:t>
            </w:r>
          </w:p>
        </w:tc>
      </w:tr>
      <w:tr w:rsidR="00062FA6" w:rsidRPr="00745741" w14:paraId="58C8196D"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6A400430"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Cànon de l'Ajuntament</w:t>
            </w:r>
          </w:p>
        </w:tc>
        <w:tc>
          <w:tcPr>
            <w:tcW w:w="1276" w:type="dxa"/>
            <w:tcBorders>
              <w:top w:val="nil"/>
              <w:left w:val="nil"/>
              <w:bottom w:val="single" w:sz="4" w:space="0" w:color="5B9BD5"/>
              <w:right w:val="single" w:sz="4" w:space="0" w:color="5B9BD5"/>
            </w:tcBorders>
            <w:shd w:val="clear" w:color="000000" w:fill="FCE4D6"/>
            <w:noWrap/>
            <w:vAlign w:val="bottom"/>
            <w:hideMark/>
          </w:tcPr>
          <w:p w14:paraId="34EDA63D"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1C0F5538"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1344FDC5"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702D7EF2"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0F84408B"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Despeses constitució i licitació</w:t>
            </w:r>
          </w:p>
        </w:tc>
        <w:tc>
          <w:tcPr>
            <w:tcW w:w="1276" w:type="dxa"/>
            <w:tcBorders>
              <w:top w:val="nil"/>
              <w:left w:val="nil"/>
              <w:bottom w:val="single" w:sz="4" w:space="0" w:color="5B9BD5"/>
              <w:right w:val="single" w:sz="4" w:space="0" w:color="5B9BD5"/>
            </w:tcBorders>
            <w:shd w:val="clear" w:color="000000" w:fill="FCE4D6"/>
            <w:noWrap/>
            <w:vAlign w:val="bottom"/>
            <w:hideMark/>
          </w:tcPr>
          <w:p w14:paraId="5FACD515"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04777680"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7609C73E"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40739DF5"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1C6BF9A2"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Costos indirectes Ajuntament</w:t>
            </w:r>
          </w:p>
        </w:tc>
        <w:tc>
          <w:tcPr>
            <w:tcW w:w="1276" w:type="dxa"/>
            <w:tcBorders>
              <w:top w:val="nil"/>
              <w:left w:val="nil"/>
              <w:bottom w:val="single" w:sz="4" w:space="0" w:color="5B9BD5"/>
              <w:right w:val="single" w:sz="4" w:space="0" w:color="5B9BD5"/>
            </w:tcBorders>
            <w:shd w:val="clear" w:color="000000" w:fill="FCE4D6"/>
            <w:noWrap/>
            <w:vAlign w:val="bottom"/>
            <w:hideMark/>
          </w:tcPr>
          <w:p w14:paraId="75548F18"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4802845A"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239C5B9F"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2650A2B7"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2E7F8683"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Aval garantia definitiva</w:t>
            </w:r>
          </w:p>
        </w:tc>
        <w:tc>
          <w:tcPr>
            <w:tcW w:w="1276" w:type="dxa"/>
            <w:tcBorders>
              <w:top w:val="nil"/>
              <w:left w:val="nil"/>
              <w:bottom w:val="single" w:sz="4" w:space="0" w:color="5B9BD5"/>
              <w:right w:val="single" w:sz="4" w:space="0" w:color="5B9BD5"/>
            </w:tcBorders>
            <w:shd w:val="clear" w:color="000000" w:fill="FCE4D6"/>
            <w:noWrap/>
            <w:vAlign w:val="bottom"/>
            <w:hideMark/>
          </w:tcPr>
          <w:p w14:paraId="6D58268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69CA17AD"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08FB2895"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139D60CC"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7E7EFE00"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Import de transmissions patrimonials</w:t>
            </w:r>
          </w:p>
        </w:tc>
        <w:tc>
          <w:tcPr>
            <w:tcW w:w="1276" w:type="dxa"/>
            <w:tcBorders>
              <w:top w:val="nil"/>
              <w:left w:val="nil"/>
              <w:bottom w:val="single" w:sz="4" w:space="0" w:color="5B9BD5"/>
              <w:right w:val="single" w:sz="4" w:space="0" w:color="5B9BD5"/>
            </w:tcBorders>
            <w:shd w:val="clear" w:color="000000" w:fill="FCE4D6"/>
            <w:noWrap/>
            <w:vAlign w:val="bottom"/>
            <w:hideMark/>
          </w:tcPr>
          <w:p w14:paraId="68E336B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6FB60555"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34F77056"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39F880DE"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17972583"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Amortització de les inversions</w:t>
            </w:r>
          </w:p>
        </w:tc>
        <w:tc>
          <w:tcPr>
            <w:tcW w:w="1276" w:type="dxa"/>
            <w:tcBorders>
              <w:top w:val="nil"/>
              <w:left w:val="nil"/>
              <w:bottom w:val="single" w:sz="4" w:space="0" w:color="5B9BD5"/>
              <w:right w:val="single" w:sz="4" w:space="0" w:color="5B9BD5"/>
            </w:tcBorders>
            <w:shd w:val="clear" w:color="000000" w:fill="FCE4D6"/>
            <w:noWrap/>
            <w:vAlign w:val="bottom"/>
            <w:hideMark/>
          </w:tcPr>
          <w:p w14:paraId="1C86DD4C"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7CE463C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60D3D753"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49B9356C"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FCE4D6"/>
            <w:noWrap/>
            <w:vAlign w:val="bottom"/>
            <w:hideMark/>
          </w:tcPr>
          <w:p w14:paraId="0D7485D7"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Cost financer del net revertible</w:t>
            </w:r>
          </w:p>
        </w:tc>
        <w:tc>
          <w:tcPr>
            <w:tcW w:w="1276" w:type="dxa"/>
            <w:tcBorders>
              <w:top w:val="nil"/>
              <w:left w:val="nil"/>
              <w:bottom w:val="single" w:sz="4" w:space="0" w:color="5B9BD5"/>
              <w:right w:val="single" w:sz="4" w:space="0" w:color="5B9BD5"/>
            </w:tcBorders>
            <w:shd w:val="clear" w:color="000000" w:fill="FCE4D6"/>
            <w:noWrap/>
            <w:vAlign w:val="bottom"/>
            <w:hideMark/>
          </w:tcPr>
          <w:p w14:paraId="4A3F3DA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p>
        </w:tc>
        <w:tc>
          <w:tcPr>
            <w:tcW w:w="1843" w:type="dxa"/>
            <w:tcBorders>
              <w:top w:val="nil"/>
              <w:left w:val="nil"/>
              <w:bottom w:val="single" w:sz="4" w:space="0" w:color="5B9BD5"/>
              <w:right w:val="single" w:sz="4" w:space="0" w:color="5B9BD5"/>
            </w:tcBorders>
            <w:shd w:val="clear" w:color="000000" w:fill="FCE4D6"/>
            <w:noWrap/>
            <w:vAlign w:val="bottom"/>
            <w:hideMark/>
          </w:tcPr>
          <w:p w14:paraId="772C2FFD"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w:t>
            </w:r>
          </w:p>
        </w:tc>
        <w:tc>
          <w:tcPr>
            <w:tcW w:w="1697" w:type="dxa"/>
            <w:tcBorders>
              <w:top w:val="nil"/>
              <w:left w:val="nil"/>
              <w:bottom w:val="single" w:sz="4" w:space="0" w:color="5B9BD5"/>
              <w:right w:val="single" w:sz="4" w:space="0" w:color="5B9BD5"/>
            </w:tcBorders>
            <w:shd w:val="clear" w:color="000000" w:fill="FCE4D6"/>
            <w:noWrap/>
            <w:vAlign w:val="bottom"/>
            <w:hideMark/>
          </w:tcPr>
          <w:p w14:paraId="7539E954"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0,0000</w:t>
            </w:r>
          </w:p>
        </w:tc>
      </w:tr>
      <w:tr w:rsidR="00062FA6" w:rsidRPr="00745741" w14:paraId="39D92173" w14:textId="77777777" w:rsidTr="009F50A0">
        <w:trPr>
          <w:trHeight w:val="300"/>
        </w:trPr>
        <w:tc>
          <w:tcPr>
            <w:tcW w:w="3964" w:type="dxa"/>
            <w:tcBorders>
              <w:top w:val="nil"/>
              <w:left w:val="single" w:sz="4" w:space="0" w:color="5B9BD5"/>
              <w:bottom w:val="single" w:sz="4" w:space="0" w:color="5B9BD5"/>
              <w:right w:val="single" w:sz="4" w:space="0" w:color="5B9BD5"/>
            </w:tcBorders>
            <w:shd w:val="clear" w:color="000000" w:fill="9BC2E6"/>
            <w:noWrap/>
            <w:vAlign w:val="bottom"/>
            <w:hideMark/>
          </w:tcPr>
          <w:p w14:paraId="61435E74"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 xml:space="preserve">Total despeses </w:t>
            </w:r>
          </w:p>
        </w:tc>
        <w:tc>
          <w:tcPr>
            <w:tcW w:w="1276" w:type="dxa"/>
            <w:tcBorders>
              <w:top w:val="nil"/>
              <w:left w:val="nil"/>
              <w:bottom w:val="single" w:sz="4" w:space="0" w:color="5B9BD5"/>
              <w:right w:val="single" w:sz="4" w:space="0" w:color="5B9BD5"/>
            </w:tcBorders>
            <w:shd w:val="clear" w:color="000000" w:fill="9BC2E6"/>
            <w:noWrap/>
            <w:vAlign w:val="bottom"/>
            <w:hideMark/>
          </w:tcPr>
          <w:p w14:paraId="708B6965" w14:textId="77777777" w:rsidR="00062FA6" w:rsidRPr="00745741" w:rsidRDefault="00062FA6" w:rsidP="009F50A0">
            <w:pPr>
              <w:jc w:val="right"/>
              <w:rPr>
                <w:rFonts w:ascii="Calibri" w:eastAsia="Times New Roman" w:hAnsi="Calibri" w:cs="Calibri"/>
                <w:b/>
                <w:bCs/>
                <w:color w:val="000000"/>
                <w:lang w:eastAsia="ca-ES"/>
              </w:rPr>
            </w:pPr>
            <w:r>
              <w:rPr>
                <w:rFonts w:ascii="Calibri" w:eastAsia="Times New Roman" w:hAnsi="Calibri" w:cs="Calibri"/>
                <w:b/>
                <w:bCs/>
                <w:color w:val="000000"/>
                <w:lang w:eastAsia="ca-ES"/>
              </w:rPr>
              <w:t>101.797</w:t>
            </w:r>
          </w:p>
        </w:tc>
        <w:tc>
          <w:tcPr>
            <w:tcW w:w="1843" w:type="dxa"/>
            <w:tcBorders>
              <w:top w:val="nil"/>
              <w:left w:val="nil"/>
              <w:bottom w:val="single" w:sz="4" w:space="0" w:color="5B9BD5"/>
              <w:right w:val="single" w:sz="4" w:space="0" w:color="5B9BD5"/>
            </w:tcBorders>
            <w:shd w:val="clear" w:color="000000" w:fill="9BC2E6"/>
            <w:noWrap/>
            <w:vAlign w:val="bottom"/>
            <w:hideMark/>
          </w:tcPr>
          <w:p w14:paraId="2F573F0E" w14:textId="77777777" w:rsidR="00062FA6" w:rsidRPr="00745741" w:rsidRDefault="00062FA6" w:rsidP="009F50A0">
            <w:pPr>
              <w:jc w:val="right"/>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100,00%</w:t>
            </w:r>
          </w:p>
        </w:tc>
        <w:tc>
          <w:tcPr>
            <w:tcW w:w="1697" w:type="dxa"/>
            <w:tcBorders>
              <w:top w:val="nil"/>
              <w:left w:val="nil"/>
              <w:bottom w:val="single" w:sz="4" w:space="0" w:color="5B9BD5"/>
              <w:right w:val="single" w:sz="4" w:space="0" w:color="5B9BD5"/>
            </w:tcBorders>
            <w:shd w:val="clear" w:color="000000" w:fill="9BC2E6"/>
            <w:noWrap/>
            <w:vAlign w:val="bottom"/>
            <w:hideMark/>
          </w:tcPr>
          <w:p w14:paraId="411ABD33" w14:textId="77777777" w:rsidR="00062FA6" w:rsidRPr="00745741" w:rsidRDefault="00062FA6" w:rsidP="009F50A0">
            <w:pPr>
              <w:jc w:val="right"/>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1,0000</w:t>
            </w:r>
          </w:p>
        </w:tc>
      </w:tr>
    </w:tbl>
    <w:p w14:paraId="3207BE76" w14:textId="77777777" w:rsidR="00062FA6" w:rsidRDefault="00062FA6" w:rsidP="00062FA6">
      <w:pPr>
        <w:jc w:val="both"/>
        <w:rPr>
          <w:rFonts w:ascii="Arial" w:hAnsi="Arial" w:cs="Arial"/>
          <w:bCs/>
          <w:sz w:val="20"/>
          <w:szCs w:val="20"/>
        </w:rPr>
      </w:pPr>
      <w:bookmarkStart w:id="0" w:name="_Hlk114209040"/>
      <w:bookmarkStart w:id="1" w:name="_Hlk112924056"/>
    </w:p>
    <w:p w14:paraId="59E4FD09" w14:textId="78BAD198" w:rsidR="00062FA6" w:rsidRPr="00062FA6" w:rsidRDefault="00062FA6" w:rsidP="00062FA6">
      <w:pPr>
        <w:jc w:val="both"/>
        <w:rPr>
          <w:rFonts w:ascii="Arial" w:hAnsi="Arial" w:cs="Arial"/>
          <w:bCs/>
        </w:rPr>
      </w:pPr>
      <w:r w:rsidRPr="00062FA6">
        <w:rPr>
          <w:rFonts w:ascii="Arial" w:hAnsi="Arial" w:cs="Arial"/>
          <w:bCs/>
        </w:rPr>
        <w:t>Tenint en compte el que dicta el RD 55/2017, els costos seleccionats per a ser inclosos a la fórmula de revisió de preus, ja que són significatius i indispensables en la prestació del servei del municipi, i tenen una variabilitat recurrent són:</w:t>
      </w:r>
    </w:p>
    <w:p w14:paraId="40CC2E51" w14:textId="77777777" w:rsidR="00062FA6" w:rsidRPr="00062FA6" w:rsidRDefault="00062FA6" w:rsidP="00062FA6">
      <w:pPr>
        <w:jc w:val="both"/>
        <w:rPr>
          <w:rFonts w:ascii="Arial" w:hAnsi="Arial" w:cs="Arial"/>
          <w:bCs/>
        </w:rPr>
      </w:pPr>
    </w:p>
    <w:p w14:paraId="7419B06A" w14:textId="77777777" w:rsidR="00062FA6" w:rsidRPr="00062FA6" w:rsidRDefault="00062FA6" w:rsidP="00062FA6">
      <w:pPr>
        <w:widowControl w:val="0"/>
        <w:numPr>
          <w:ilvl w:val="0"/>
          <w:numId w:val="10"/>
        </w:numPr>
        <w:suppressAutoHyphens/>
        <w:spacing w:after="0" w:line="240" w:lineRule="auto"/>
        <w:jc w:val="both"/>
        <w:rPr>
          <w:rFonts w:ascii="Arial" w:hAnsi="Arial" w:cs="Arial"/>
          <w:bCs/>
        </w:rPr>
      </w:pPr>
      <w:r w:rsidRPr="00062FA6">
        <w:rPr>
          <w:rFonts w:ascii="Arial" w:hAnsi="Arial" w:cs="Arial"/>
          <w:bCs/>
        </w:rPr>
        <w:t>Cost del personal o mà d’obra.</w:t>
      </w:r>
    </w:p>
    <w:p w14:paraId="1891CE4B" w14:textId="77777777" w:rsidR="00062FA6" w:rsidRPr="00062FA6" w:rsidRDefault="00062FA6" w:rsidP="00062FA6">
      <w:pPr>
        <w:pStyle w:val="Prrafodelista"/>
        <w:widowControl w:val="0"/>
        <w:numPr>
          <w:ilvl w:val="0"/>
          <w:numId w:val="10"/>
        </w:numPr>
        <w:spacing w:after="0" w:line="240" w:lineRule="auto"/>
        <w:contextualSpacing w:val="0"/>
        <w:rPr>
          <w:rFonts w:ascii="Arial" w:eastAsia="SimSun" w:hAnsi="Arial" w:cs="Arial"/>
          <w:bCs/>
          <w:kern w:val="1"/>
          <w:lang w:bidi="hi-IN"/>
        </w:rPr>
      </w:pPr>
      <w:r w:rsidRPr="00062FA6">
        <w:rPr>
          <w:rFonts w:ascii="Arial" w:eastAsia="SimSun" w:hAnsi="Arial" w:cs="Arial"/>
          <w:bCs/>
          <w:kern w:val="1"/>
          <w:lang w:bidi="hi-IN"/>
        </w:rPr>
        <w:t>Cost de compra d’aigua en alta.</w:t>
      </w:r>
    </w:p>
    <w:p w14:paraId="2CA3C96C" w14:textId="77777777" w:rsidR="00062FA6" w:rsidRPr="00062FA6" w:rsidRDefault="00062FA6" w:rsidP="00062FA6">
      <w:pPr>
        <w:widowControl w:val="0"/>
        <w:numPr>
          <w:ilvl w:val="0"/>
          <w:numId w:val="10"/>
        </w:numPr>
        <w:suppressAutoHyphens/>
        <w:spacing w:after="0" w:line="240" w:lineRule="auto"/>
        <w:jc w:val="both"/>
        <w:rPr>
          <w:rFonts w:ascii="Arial" w:hAnsi="Arial" w:cs="Arial"/>
          <w:bCs/>
        </w:rPr>
      </w:pPr>
      <w:r w:rsidRPr="00062FA6">
        <w:rPr>
          <w:rFonts w:ascii="Arial" w:hAnsi="Arial" w:cs="Arial"/>
          <w:bCs/>
        </w:rPr>
        <w:t>Cost de l’energia elèctrica.</w:t>
      </w:r>
    </w:p>
    <w:p w14:paraId="2272F43A" w14:textId="77777777" w:rsidR="00062FA6" w:rsidRPr="00062FA6" w:rsidRDefault="00062FA6" w:rsidP="00062FA6">
      <w:pPr>
        <w:widowControl w:val="0"/>
        <w:numPr>
          <w:ilvl w:val="0"/>
          <w:numId w:val="10"/>
        </w:numPr>
        <w:suppressAutoHyphens/>
        <w:spacing w:after="0" w:line="240" w:lineRule="auto"/>
        <w:jc w:val="both"/>
        <w:rPr>
          <w:rFonts w:ascii="Arial" w:hAnsi="Arial" w:cs="Arial"/>
          <w:bCs/>
        </w:rPr>
      </w:pPr>
      <w:r w:rsidRPr="00062FA6">
        <w:rPr>
          <w:rFonts w:ascii="Arial" w:hAnsi="Arial" w:cs="Arial"/>
          <w:bCs/>
        </w:rPr>
        <w:t>Cost de materials i treballs de conservació.</w:t>
      </w:r>
      <w:bookmarkEnd w:id="0"/>
    </w:p>
    <w:p w14:paraId="2F100D31" w14:textId="77777777" w:rsidR="00062FA6" w:rsidRPr="00062FA6" w:rsidRDefault="00062FA6" w:rsidP="00062FA6">
      <w:pPr>
        <w:jc w:val="both"/>
        <w:rPr>
          <w:rFonts w:ascii="Arial" w:hAnsi="Arial" w:cs="Arial"/>
          <w:bCs/>
        </w:rPr>
      </w:pPr>
      <w:bookmarkStart w:id="2" w:name="_Hlk112925054"/>
      <w:bookmarkEnd w:id="1"/>
    </w:p>
    <w:p w14:paraId="15D6EC84" w14:textId="77777777" w:rsidR="00062FA6" w:rsidRPr="00062FA6" w:rsidRDefault="00062FA6" w:rsidP="00062FA6">
      <w:pPr>
        <w:jc w:val="both"/>
        <w:rPr>
          <w:rFonts w:ascii="Arial" w:hAnsi="Arial" w:cs="Arial"/>
          <w:bCs/>
        </w:rPr>
      </w:pPr>
    </w:p>
    <w:p w14:paraId="713C4404" w14:textId="77777777" w:rsidR="00062FA6" w:rsidRPr="00062FA6" w:rsidRDefault="00062FA6" w:rsidP="00062FA6">
      <w:pPr>
        <w:jc w:val="both"/>
        <w:rPr>
          <w:rFonts w:ascii="Arial" w:hAnsi="Arial" w:cs="Arial"/>
          <w:bCs/>
        </w:rPr>
      </w:pPr>
    </w:p>
    <w:p w14:paraId="300A32E8" w14:textId="77777777" w:rsidR="00062FA6" w:rsidRPr="00062FA6" w:rsidRDefault="00062FA6" w:rsidP="00062FA6">
      <w:pPr>
        <w:widowControl w:val="0"/>
        <w:numPr>
          <w:ilvl w:val="1"/>
          <w:numId w:val="9"/>
        </w:numPr>
        <w:suppressAutoHyphens/>
        <w:spacing w:after="0" w:line="240" w:lineRule="auto"/>
        <w:jc w:val="both"/>
        <w:rPr>
          <w:rFonts w:ascii="Arial" w:hAnsi="Arial" w:cs="Arial"/>
          <w:b/>
          <w:bCs/>
        </w:rPr>
      </w:pPr>
      <w:r w:rsidRPr="00062FA6">
        <w:rPr>
          <w:rFonts w:ascii="Arial" w:hAnsi="Arial" w:cs="Arial"/>
          <w:b/>
          <w:bCs/>
        </w:rPr>
        <w:t>Cost del personal</w:t>
      </w:r>
    </w:p>
    <w:p w14:paraId="124FC607" w14:textId="77777777" w:rsidR="00062FA6" w:rsidRPr="00062FA6" w:rsidRDefault="00062FA6" w:rsidP="00062FA6">
      <w:pPr>
        <w:jc w:val="both"/>
        <w:rPr>
          <w:rFonts w:ascii="Arial" w:hAnsi="Arial" w:cs="Arial"/>
          <w:b/>
          <w:bCs/>
        </w:rPr>
      </w:pPr>
    </w:p>
    <w:p w14:paraId="196CA28F" w14:textId="77777777" w:rsidR="00062FA6" w:rsidRPr="00062FA6" w:rsidRDefault="00062FA6" w:rsidP="00062FA6">
      <w:pPr>
        <w:jc w:val="both"/>
        <w:rPr>
          <w:rFonts w:ascii="Arial" w:hAnsi="Arial" w:cs="Arial"/>
          <w:bCs/>
        </w:rPr>
      </w:pPr>
      <w:r w:rsidRPr="00062FA6">
        <w:rPr>
          <w:rFonts w:ascii="Arial" w:hAnsi="Arial" w:cs="Arial"/>
          <w:bCs/>
        </w:rPr>
        <w:t>En relació amb el cost del personal o mà d’obra, s’ha analitzat la evolució del cost laboral brut per l’activitat classificada com Divisió 36 dins del Grup E per a la Classificació Nacional d’Activitats Econòmiques (CNAE-2009) que correspon a Captació, depuració i distribució d’aigua. La informació de l’Institut Nacional d’Estadística (INE) sobre el cost laboral anual indica que estem davant un cost variable recurrent i per tant, cal incorporar-lo en la revisió de preus.</w:t>
      </w:r>
    </w:p>
    <w:p w14:paraId="77A4FB46" w14:textId="77777777" w:rsidR="00062FA6" w:rsidRPr="00062FA6" w:rsidRDefault="00062FA6" w:rsidP="00062FA6">
      <w:pPr>
        <w:jc w:val="both"/>
        <w:rPr>
          <w:rFonts w:ascii="Arial" w:hAnsi="Arial" w:cs="Arial"/>
          <w:bCs/>
        </w:rPr>
      </w:pPr>
    </w:p>
    <w:p w14:paraId="0F489688" w14:textId="77777777" w:rsidR="00062FA6" w:rsidRPr="00062FA6" w:rsidRDefault="00062FA6" w:rsidP="00062FA6">
      <w:pPr>
        <w:pStyle w:val="Prrafodelista"/>
        <w:widowControl w:val="0"/>
        <w:numPr>
          <w:ilvl w:val="1"/>
          <w:numId w:val="9"/>
        </w:numPr>
        <w:spacing w:after="0" w:line="240" w:lineRule="auto"/>
        <w:contextualSpacing w:val="0"/>
        <w:rPr>
          <w:rFonts w:ascii="Arial" w:hAnsi="Arial" w:cs="Arial"/>
          <w:b/>
        </w:rPr>
      </w:pPr>
      <w:r w:rsidRPr="00062FA6">
        <w:rPr>
          <w:rFonts w:ascii="Arial" w:hAnsi="Arial" w:cs="Arial"/>
          <w:b/>
        </w:rPr>
        <w:t>Compra d’aigua en alta</w:t>
      </w:r>
    </w:p>
    <w:p w14:paraId="6EC39AAC" w14:textId="77777777" w:rsidR="00062FA6" w:rsidRPr="00062FA6" w:rsidRDefault="00062FA6" w:rsidP="00062FA6">
      <w:pPr>
        <w:jc w:val="both"/>
        <w:rPr>
          <w:rFonts w:ascii="Arial" w:hAnsi="Arial" w:cs="Arial"/>
          <w:bCs/>
        </w:rPr>
      </w:pPr>
    </w:p>
    <w:p w14:paraId="6111AC52" w14:textId="77777777" w:rsidR="00062FA6" w:rsidRPr="00062FA6" w:rsidRDefault="00062FA6" w:rsidP="00062FA6">
      <w:pPr>
        <w:rPr>
          <w:rFonts w:ascii="Arial" w:hAnsi="Arial" w:cs="Arial"/>
          <w:bCs/>
        </w:rPr>
      </w:pPr>
      <w:r w:rsidRPr="00062FA6">
        <w:rPr>
          <w:rFonts w:ascii="Arial" w:hAnsi="Arial" w:cs="Arial"/>
          <w:bCs/>
        </w:rPr>
        <w:t xml:space="preserve">L’aigua subministrada de la xarxa prové principalment del punt de compra en alta del Consorci de la Costa Brava, segons conveni. </w:t>
      </w:r>
    </w:p>
    <w:p w14:paraId="7E0CBF18" w14:textId="77777777" w:rsidR="00062FA6" w:rsidRPr="00062FA6" w:rsidRDefault="00062FA6" w:rsidP="00062FA6">
      <w:pPr>
        <w:rPr>
          <w:rFonts w:ascii="Arial" w:hAnsi="Arial" w:cs="Arial"/>
          <w:bCs/>
        </w:rPr>
      </w:pPr>
    </w:p>
    <w:p w14:paraId="4A0BFED8" w14:textId="77777777" w:rsidR="00062FA6" w:rsidRPr="00062FA6" w:rsidRDefault="00062FA6" w:rsidP="00062FA6">
      <w:pPr>
        <w:widowControl w:val="0"/>
        <w:numPr>
          <w:ilvl w:val="1"/>
          <w:numId w:val="9"/>
        </w:numPr>
        <w:suppressAutoHyphens/>
        <w:spacing w:after="0" w:line="240" w:lineRule="auto"/>
        <w:rPr>
          <w:rFonts w:ascii="Arial" w:hAnsi="Arial" w:cs="Arial"/>
          <w:b/>
          <w:bCs/>
        </w:rPr>
      </w:pPr>
      <w:r w:rsidRPr="00062FA6">
        <w:rPr>
          <w:rFonts w:ascii="Arial" w:hAnsi="Arial" w:cs="Arial"/>
          <w:b/>
          <w:bCs/>
        </w:rPr>
        <w:t>Cost de materials i conservació</w:t>
      </w:r>
    </w:p>
    <w:p w14:paraId="493C7983" w14:textId="77777777" w:rsidR="00062FA6" w:rsidRPr="00062FA6" w:rsidRDefault="00062FA6" w:rsidP="00062FA6">
      <w:pPr>
        <w:rPr>
          <w:rFonts w:ascii="Arial" w:hAnsi="Arial" w:cs="Arial"/>
          <w:b/>
          <w:bCs/>
        </w:rPr>
      </w:pPr>
    </w:p>
    <w:p w14:paraId="300E76A6" w14:textId="77777777" w:rsidR="00062FA6" w:rsidRPr="00062FA6" w:rsidRDefault="00062FA6" w:rsidP="00062FA6">
      <w:pPr>
        <w:jc w:val="both"/>
        <w:rPr>
          <w:rFonts w:ascii="Arial" w:hAnsi="Arial" w:cs="Arial"/>
          <w:bCs/>
        </w:rPr>
      </w:pPr>
      <w:bookmarkStart w:id="3" w:name="_Hlk112925267"/>
      <w:r w:rsidRPr="00062FA6">
        <w:rPr>
          <w:rFonts w:ascii="Arial" w:hAnsi="Arial" w:cs="Arial"/>
          <w:bCs/>
        </w:rPr>
        <w:t>Els costos de manteniment també són una part important a tenir en compte. Aquests costos es refereixen a l’adquisició dels materials per a realitzar aquestes tasques de manteniment i als treball que es subcontractin a tercers. Donada la seva variabilitat i reflectida en l’índex de Preus Industrials (IPRI), veiem que és un cost variable recurrent i per tant cal incorporar-lo en la revisió de preus. (RD 55/2017)</w:t>
      </w:r>
    </w:p>
    <w:bookmarkEnd w:id="3"/>
    <w:p w14:paraId="35EA92E6" w14:textId="77777777" w:rsidR="00062FA6" w:rsidRPr="00062FA6" w:rsidRDefault="00062FA6" w:rsidP="00062FA6">
      <w:pPr>
        <w:jc w:val="both"/>
        <w:rPr>
          <w:rFonts w:ascii="Arial" w:hAnsi="Arial" w:cs="Arial"/>
          <w:bCs/>
        </w:rPr>
      </w:pPr>
    </w:p>
    <w:p w14:paraId="03125E2C" w14:textId="77777777" w:rsidR="00062FA6" w:rsidRPr="00062FA6" w:rsidRDefault="00062FA6" w:rsidP="00062FA6">
      <w:pPr>
        <w:widowControl w:val="0"/>
        <w:numPr>
          <w:ilvl w:val="1"/>
          <w:numId w:val="9"/>
        </w:numPr>
        <w:suppressAutoHyphens/>
        <w:spacing w:after="0" w:line="240" w:lineRule="auto"/>
        <w:jc w:val="both"/>
        <w:rPr>
          <w:rFonts w:ascii="Arial" w:hAnsi="Arial" w:cs="Arial"/>
          <w:b/>
          <w:bCs/>
        </w:rPr>
      </w:pPr>
      <w:r w:rsidRPr="00062FA6">
        <w:rPr>
          <w:rFonts w:ascii="Arial" w:hAnsi="Arial" w:cs="Arial"/>
          <w:b/>
          <w:bCs/>
        </w:rPr>
        <w:t>Cost de l’energia elèctrica</w:t>
      </w:r>
    </w:p>
    <w:p w14:paraId="72B35E93" w14:textId="77777777" w:rsidR="00062FA6" w:rsidRPr="00062FA6" w:rsidRDefault="00062FA6" w:rsidP="00062FA6">
      <w:pPr>
        <w:jc w:val="both"/>
        <w:rPr>
          <w:rFonts w:ascii="Arial" w:hAnsi="Arial" w:cs="Arial"/>
          <w:b/>
          <w:bCs/>
        </w:rPr>
      </w:pPr>
    </w:p>
    <w:p w14:paraId="66402E21" w14:textId="77777777" w:rsidR="00062FA6" w:rsidRPr="00062FA6" w:rsidRDefault="00062FA6" w:rsidP="00062FA6">
      <w:pPr>
        <w:jc w:val="both"/>
        <w:rPr>
          <w:rFonts w:ascii="Arial" w:hAnsi="Arial" w:cs="Arial"/>
          <w:bCs/>
        </w:rPr>
      </w:pPr>
      <w:bookmarkStart w:id="4" w:name="_Hlk112924951"/>
      <w:r w:rsidRPr="00062FA6">
        <w:rPr>
          <w:rFonts w:ascii="Arial" w:hAnsi="Arial" w:cs="Arial"/>
          <w:bCs/>
        </w:rPr>
        <w:t>El cost de l’energia elèctrica sempre té un pes important en el total de despeses. També s’ha vist un augment de casi el doble de l’any 2021 en les factures.</w:t>
      </w:r>
      <w:bookmarkEnd w:id="4"/>
    </w:p>
    <w:p w14:paraId="47369B27" w14:textId="77777777" w:rsidR="00062FA6" w:rsidRPr="00062FA6" w:rsidRDefault="00062FA6" w:rsidP="00062FA6">
      <w:pPr>
        <w:rPr>
          <w:rFonts w:ascii="Arial" w:hAnsi="Arial" w:cs="Arial"/>
          <w:b/>
          <w:bCs/>
          <w:i/>
        </w:rPr>
      </w:pPr>
    </w:p>
    <w:p w14:paraId="14EB07FA" w14:textId="77777777" w:rsidR="00062FA6" w:rsidRPr="00062FA6" w:rsidRDefault="00062FA6" w:rsidP="00062FA6">
      <w:pPr>
        <w:jc w:val="both"/>
        <w:rPr>
          <w:rFonts w:ascii="Arial" w:hAnsi="Arial" w:cs="Arial"/>
        </w:rPr>
      </w:pPr>
    </w:p>
    <w:p w14:paraId="179DCF60" w14:textId="77777777" w:rsidR="00062FA6" w:rsidRPr="00062FA6" w:rsidRDefault="00062FA6" w:rsidP="00062FA6">
      <w:pPr>
        <w:ind w:left="2836"/>
        <w:rPr>
          <w:rFonts w:ascii="Arial" w:hAnsi="Arial" w:cs="Arial"/>
        </w:rPr>
      </w:pPr>
      <w:bookmarkStart w:id="5" w:name="_Hlk126927940"/>
      <w:r w:rsidRPr="00062FA6">
        <w:rPr>
          <w:rFonts w:ascii="Arial" w:hAnsi="Arial" w:cs="Arial"/>
        </w:rPr>
        <w:t>Any 2015                       1.292 €</w:t>
      </w:r>
    </w:p>
    <w:p w14:paraId="1C294947" w14:textId="77777777" w:rsidR="00062FA6" w:rsidRPr="00062FA6" w:rsidRDefault="00062FA6" w:rsidP="00062FA6">
      <w:pPr>
        <w:ind w:left="2836"/>
        <w:rPr>
          <w:rFonts w:ascii="Arial" w:hAnsi="Arial" w:cs="Arial"/>
        </w:rPr>
      </w:pPr>
      <w:r w:rsidRPr="00062FA6">
        <w:rPr>
          <w:rFonts w:ascii="Arial" w:hAnsi="Arial" w:cs="Arial"/>
        </w:rPr>
        <w:t>Any 2016                       1.305 €</w:t>
      </w:r>
    </w:p>
    <w:p w14:paraId="76ECF37E" w14:textId="77777777" w:rsidR="00062FA6" w:rsidRPr="00062FA6" w:rsidRDefault="00062FA6" w:rsidP="00062FA6">
      <w:pPr>
        <w:ind w:left="2836"/>
        <w:rPr>
          <w:rFonts w:ascii="Arial" w:hAnsi="Arial" w:cs="Arial"/>
        </w:rPr>
      </w:pPr>
      <w:r w:rsidRPr="00062FA6">
        <w:rPr>
          <w:rFonts w:ascii="Arial" w:hAnsi="Arial" w:cs="Arial"/>
        </w:rPr>
        <w:t>Any 2017                       1.235 €</w:t>
      </w:r>
    </w:p>
    <w:p w14:paraId="7B462CA5" w14:textId="77777777" w:rsidR="00062FA6" w:rsidRPr="00062FA6" w:rsidRDefault="00062FA6" w:rsidP="00062FA6">
      <w:pPr>
        <w:ind w:left="2836"/>
        <w:rPr>
          <w:rFonts w:ascii="Arial" w:hAnsi="Arial" w:cs="Arial"/>
        </w:rPr>
      </w:pPr>
      <w:r w:rsidRPr="00062FA6">
        <w:rPr>
          <w:rFonts w:ascii="Arial" w:hAnsi="Arial" w:cs="Arial"/>
        </w:rPr>
        <w:t>Any 2018                       1.216 €</w:t>
      </w:r>
    </w:p>
    <w:p w14:paraId="4E2BAA28" w14:textId="77777777" w:rsidR="00062FA6" w:rsidRPr="00062FA6" w:rsidRDefault="00062FA6" w:rsidP="00062FA6">
      <w:pPr>
        <w:ind w:left="2836"/>
        <w:rPr>
          <w:rFonts w:ascii="Arial" w:hAnsi="Arial" w:cs="Arial"/>
        </w:rPr>
      </w:pPr>
      <w:r w:rsidRPr="00062FA6">
        <w:rPr>
          <w:rFonts w:ascii="Arial" w:hAnsi="Arial" w:cs="Arial"/>
        </w:rPr>
        <w:t>Any 2019                       1.515 €</w:t>
      </w:r>
    </w:p>
    <w:p w14:paraId="7C2B8FE1" w14:textId="77777777" w:rsidR="00062FA6" w:rsidRPr="00062FA6" w:rsidRDefault="00062FA6" w:rsidP="00062FA6">
      <w:pPr>
        <w:ind w:left="2836"/>
        <w:rPr>
          <w:rFonts w:ascii="Arial" w:hAnsi="Arial" w:cs="Arial"/>
        </w:rPr>
      </w:pPr>
      <w:r w:rsidRPr="00062FA6">
        <w:rPr>
          <w:rFonts w:ascii="Arial" w:hAnsi="Arial" w:cs="Arial"/>
        </w:rPr>
        <w:t>Any 2020                       2.086 €</w:t>
      </w:r>
    </w:p>
    <w:p w14:paraId="2E3B924A" w14:textId="77777777" w:rsidR="00062FA6" w:rsidRPr="00062FA6" w:rsidRDefault="00062FA6" w:rsidP="00062FA6">
      <w:pPr>
        <w:ind w:left="2836"/>
        <w:rPr>
          <w:rFonts w:ascii="Arial" w:hAnsi="Arial" w:cs="Arial"/>
        </w:rPr>
      </w:pPr>
      <w:r w:rsidRPr="00062FA6">
        <w:rPr>
          <w:rFonts w:ascii="Arial" w:hAnsi="Arial" w:cs="Arial"/>
        </w:rPr>
        <w:t xml:space="preserve">Any 2024 </w:t>
      </w:r>
      <w:r w:rsidRPr="00062FA6">
        <w:rPr>
          <w:rFonts w:ascii="Arial" w:hAnsi="Arial" w:cs="Arial"/>
        </w:rPr>
        <w:tab/>
      </w:r>
      <w:r w:rsidRPr="00062FA6">
        <w:rPr>
          <w:rFonts w:ascii="Arial" w:hAnsi="Arial" w:cs="Arial"/>
        </w:rPr>
        <w:tab/>
        <w:t>3.487 €</w:t>
      </w:r>
    </w:p>
    <w:p w14:paraId="3E67FBEC" w14:textId="77777777" w:rsidR="00062FA6" w:rsidRPr="00062FA6" w:rsidRDefault="00062FA6" w:rsidP="00062FA6">
      <w:pPr>
        <w:ind w:left="2836"/>
        <w:rPr>
          <w:rFonts w:ascii="Arial" w:hAnsi="Arial" w:cs="Arial"/>
        </w:rPr>
      </w:pPr>
    </w:p>
    <w:bookmarkEnd w:id="5"/>
    <w:p w14:paraId="36385AD0" w14:textId="77777777" w:rsidR="00062FA6" w:rsidRPr="00062FA6" w:rsidRDefault="00062FA6" w:rsidP="00062FA6">
      <w:pPr>
        <w:jc w:val="both"/>
        <w:rPr>
          <w:rFonts w:ascii="Arial" w:hAnsi="Arial" w:cs="Arial"/>
        </w:rPr>
      </w:pPr>
      <w:r w:rsidRPr="00062FA6">
        <w:rPr>
          <w:rFonts w:ascii="Arial" w:hAnsi="Arial" w:cs="Arial"/>
        </w:rPr>
        <w:t>És per això que aquest cost també es variable i recurrent, i per tant l’incorporem en la revisió de preus.</w:t>
      </w:r>
    </w:p>
    <w:p w14:paraId="2B009B61" w14:textId="77777777" w:rsidR="00062FA6" w:rsidRPr="00062FA6" w:rsidRDefault="00062FA6" w:rsidP="00062FA6">
      <w:pPr>
        <w:rPr>
          <w:rFonts w:ascii="Arial" w:hAnsi="Arial" w:cs="Arial"/>
          <w:bCs/>
        </w:rPr>
      </w:pPr>
    </w:p>
    <w:p w14:paraId="5155AC75" w14:textId="77777777" w:rsidR="00062FA6" w:rsidRPr="00062FA6" w:rsidRDefault="00062FA6" w:rsidP="00062FA6">
      <w:pPr>
        <w:widowControl w:val="0"/>
        <w:numPr>
          <w:ilvl w:val="0"/>
          <w:numId w:val="9"/>
        </w:numPr>
        <w:suppressAutoHyphens/>
        <w:spacing w:after="0" w:line="240" w:lineRule="auto"/>
        <w:rPr>
          <w:rFonts w:ascii="Arial" w:hAnsi="Arial" w:cs="Arial"/>
          <w:b/>
          <w:bCs/>
        </w:rPr>
      </w:pPr>
      <w:r w:rsidRPr="00062FA6">
        <w:rPr>
          <w:rFonts w:ascii="Arial" w:hAnsi="Arial" w:cs="Arial"/>
          <w:b/>
          <w:bCs/>
        </w:rPr>
        <w:t>ESTRUCTURA DE COSTOS</w:t>
      </w:r>
    </w:p>
    <w:p w14:paraId="5EC5E4A3" w14:textId="77777777" w:rsidR="00062FA6" w:rsidRPr="00062FA6" w:rsidRDefault="00062FA6" w:rsidP="00062FA6">
      <w:pPr>
        <w:rPr>
          <w:rFonts w:ascii="Arial" w:hAnsi="Arial" w:cs="Arial"/>
          <w:b/>
          <w:bCs/>
        </w:rPr>
      </w:pPr>
    </w:p>
    <w:p w14:paraId="68E11CC6" w14:textId="77777777" w:rsidR="00062FA6" w:rsidRDefault="00062FA6" w:rsidP="00062FA6">
      <w:pPr>
        <w:rPr>
          <w:rFonts w:ascii="Arial" w:hAnsi="Arial" w:cs="Arial"/>
          <w:bCs/>
          <w:sz w:val="20"/>
          <w:szCs w:val="20"/>
        </w:rPr>
      </w:pPr>
    </w:p>
    <w:tbl>
      <w:tblPr>
        <w:tblW w:w="8780" w:type="dxa"/>
        <w:tblCellMar>
          <w:left w:w="70" w:type="dxa"/>
          <w:right w:w="70" w:type="dxa"/>
        </w:tblCellMar>
        <w:tblLook w:val="04A0" w:firstRow="1" w:lastRow="0" w:firstColumn="1" w:lastColumn="0" w:noHBand="0" w:noVBand="1"/>
      </w:tblPr>
      <w:tblGrid>
        <w:gridCol w:w="3539"/>
        <w:gridCol w:w="1559"/>
        <w:gridCol w:w="2127"/>
        <w:gridCol w:w="1555"/>
      </w:tblGrid>
      <w:tr w:rsidR="00062FA6" w:rsidRPr="00745741" w14:paraId="38544BD1" w14:textId="77777777" w:rsidTr="009F50A0">
        <w:trPr>
          <w:trHeight w:val="300"/>
        </w:trPr>
        <w:tc>
          <w:tcPr>
            <w:tcW w:w="3539" w:type="dxa"/>
            <w:tcBorders>
              <w:top w:val="single" w:sz="4" w:space="0" w:color="5B9BD5"/>
              <w:left w:val="single" w:sz="4" w:space="0" w:color="5B9BD5"/>
              <w:bottom w:val="single" w:sz="4" w:space="0" w:color="5B9BD5"/>
              <w:right w:val="nil"/>
            </w:tcBorders>
            <w:shd w:val="clear" w:color="000000" w:fill="9BC2E6"/>
            <w:noWrap/>
            <w:vAlign w:val="bottom"/>
            <w:hideMark/>
          </w:tcPr>
          <w:p w14:paraId="1F19D6C9"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DESPESES</w:t>
            </w:r>
          </w:p>
        </w:tc>
        <w:tc>
          <w:tcPr>
            <w:tcW w:w="1559" w:type="dxa"/>
            <w:tcBorders>
              <w:top w:val="single" w:sz="4" w:space="0" w:color="5B9BD5"/>
              <w:left w:val="nil"/>
              <w:bottom w:val="single" w:sz="4" w:space="0" w:color="5B9BD5"/>
              <w:right w:val="single" w:sz="4" w:space="0" w:color="5B9BD5"/>
            </w:tcBorders>
            <w:shd w:val="clear" w:color="000000" w:fill="9BC2E6"/>
            <w:noWrap/>
            <w:vAlign w:val="bottom"/>
            <w:hideMark/>
          </w:tcPr>
          <w:p w14:paraId="3D51A45A"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 </w:t>
            </w:r>
          </w:p>
        </w:tc>
        <w:tc>
          <w:tcPr>
            <w:tcW w:w="2127" w:type="dxa"/>
            <w:tcBorders>
              <w:top w:val="single" w:sz="4" w:space="0" w:color="5B9BD5"/>
              <w:left w:val="nil"/>
              <w:bottom w:val="single" w:sz="4" w:space="0" w:color="5B9BD5"/>
              <w:right w:val="single" w:sz="4" w:space="0" w:color="5B9BD5"/>
            </w:tcBorders>
            <w:shd w:val="clear" w:color="000000" w:fill="9BC2E6"/>
            <w:noWrap/>
            <w:vAlign w:val="bottom"/>
            <w:hideMark/>
          </w:tcPr>
          <w:p w14:paraId="001AE78B"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 Sobre el total</w:t>
            </w:r>
          </w:p>
        </w:tc>
        <w:tc>
          <w:tcPr>
            <w:tcW w:w="1555" w:type="dxa"/>
            <w:tcBorders>
              <w:top w:val="single" w:sz="4" w:space="0" w:color="5B9BD5"/>
              <w:left w:val="nil"/>
              <w:bottom w:val="single" w:sz="4" w:space="0" w:color="5B9BD5"/>
              <w:right w:val="single" w:sz="4" w:space="0" w:color="5B9BD5"/>
            </w:tcBorders>
            <w:shd w:val="clear" w:color="000000" w:fill="9BC2E6"/>
            <w:noWrap/>
            <w:vAlign w:val="bottom"/>
            <w:hideMark/>
          </w:tcPr>
          <w:p w14:paraId="2331609E"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En tant per u</w:t>
            </w:r>
          </w:p>
        </w:tc>
      </w:tr>
      <w:tr w:rsidR="00062FA6" w:rsidRPr="00745741" w14:paraId="1E39F350" w14:textId="77777777" w:rsidTr="009F50A0">
        <w:trPr>
          <w:trHeight w:val="300"/>
        </w:trPr>
        <w:tc>
          <w:tcPr>
            <w:tcW w:w="3539" w:type="dxa"/>
            <w:tcBorders>
              <w:top w:val="nil"/>
              <w:left w:val="single" w:sz="4" w:space="0" w:color="5B9BD5"/>
              <w:bottom w:val="single" w:sz="4" w:space="0" w:color="5B9BD5"/>
              <w:right w:val="single" w:sz="4" w:space="0" w:color="5B9BD5"/>
            </w:tcBorders>
            <w:shd w:val="clear" w:color="000000" w:fill="DDEBF7"/>
            <w:noWrap/>
            <w:vAlign w:val="bottom"/>
            <w:hideMark/>
          </w:tcPr>
          <w:p w14:paraId="14ED5E8E"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Personal</w:t>
            </w:r>
          </w:p>
        </w:tc>
        <w:tc>
          <w:tcPr>
            <w:tcW w:w="1559" w:type="dxa"/>
            <w:tcBorders>
              <w:top w:val="nil"/>
              <w:left w:val="nil"/>
              <w:bottom w:val="single" w:sz="4" w:space="0" w:color="5B9BD5"/>
              <w:right w:val="single" w:sz="4" w:space="0" w:color="5B9BD5"/>
            </w:tcBorders>
            <w:shd w:val="clear" w:color="000000" w:fill="DDEBF7"/>
            <w:noWrap/>
            <w:vAlign w:val="bottom"/>
            <w:hideMark/>
          </w:tcPr>
          <w:p w14:paraId="715127F4"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19.046</w:t>
            </w:r>
          </w:p>
        </w:tc>
        <w:tc>
          <w:tcPr>
            <w:tcW w:w="2127" w:type="dxa"/>
            <w:tcBorders>
              <w:top w:val="nil"/>
              <w:left w:val="nil"/>
              <w:bottom w:val="single" w:sz="4" w:space="0" w:color="5B9BD5"/>
              <w:right w:val="single" w:sz="4" w:space="0" w:color="5B9BD5"/>
            </w:tcBorders>
            <w:shd w:val="clear" w:color="000000" w:fill="DDEBF7"/>
            <w:noWrap/>
            <w:vAlign w:val="bottom"/>
            <w:hideMark/>
          </w:tcPr>
          <w:p w14:paraId="5176A896"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18,</w:t>
            </w:r>
            <w:r>
              <w:rPr>
                <w:rFonts w:ascii="Calibri" w:eastAsia="Times New Roman" w:hAnsi="Calibri" w:cs="Calibri"/>
                <w:color w:val="000000"/>
                <w:lang w:eastAsia="ca-ES"/>
              </w:rPr>
              <w:t>7</w:t>
            </w:r>
            <w:r w:rsidRPr="00745741">
              <w:rPr>
                <w:rFonts w:ascii="Calibri" w:eastAsia="Times New Roman" w:hAnsi="Calibri" w:cs="Calibri"/>
                <w:color w:val="000000"/>
                <w:lang w:eastAsia="ca-ES"/>
              </w:rPr>
              <w:t>0%</w:t>
            </w:r>
          </w:p>
        </w:tc>
        <w:tc>
          <w:tcPr>
            <w:tcW w:w="1555" w:type="dxa"/>
            <w:tcBorders>
              <w:top w:val="nil"/>
              <w:left w:val="nil"/>
              <w:bottom w:val="single" w:sz="4" w:space="0" w:color="5B9BD5"/>
              <w:right w:val="single" w:sz="4" w:space="0" w:color="5B9BD5"/>
            </w:tcBorders>
            <w:shd w:val="clear" w:color="000000" w:fill="DDEBF7"/>
            <w:noWrap/>
            <w:vAlign w:val="bottom"/>
            <w:hideMark/>
          </w:tcPr>
          <w:p w14:paraId="502E6087"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0,18</w:t>
            </w:r>
            <w:r>
              <w:rPr>
                <w:rFonts w:ascii="Calibri" w:eastAsia="Times New Roman" w:hAnsi="Calibri" w:cs="Calibri"/>
                <w:color w:val="000000"/>
                <w:lang w:eastAsia="ca-ES"/>
              </w:rPr>
              <w:t>70</w:t>
            </w:r>
          </w:p>
        </w:tc>
      </w:tr>
      <w:tr w:rsidR="00062FA6" w:rsidRPr="00745741" w14:paraId="4C150511" w14:textId="77777777" w:rsidTr="009F50A0">
        <w:trPr>
          <w:trHeight w:val="300"/>
        </w:trPr>
        <w:tc>
          <w:tcPr>
            <w:tcW w:w="3539" w:type="dxa"/>
            <w:tcBorders>
              <w:top w:val="nil"/>
              <w:left w:val="single" w:sz="4" w:space="0" w:color="5B9BD5"/>
              <w:bottom w:val="single" w:sz="4" w:space="0" w:color="5B9BD5"/>
              <w:right w:val="single" w:sz="4" w:space="0" w:color="5B9BD5"/>
            </w:tcBorders>
            <w:shd w:val="clear" w:color="000000" w:fill="DDEBF7"/>
            <w:noWrap/>
            <w:vAlign w:val="bottom"/>
            <w:hideMark/>
          </w:tcPr>
          <w:p w14:paraId="3037F67E"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Energia elèctrica</w:t>
            </w:r>
          </w:p>
        </w:tc>
        <w:tc>
          <w:tcPr>
            <w:tcW w:w="1559" w:type="dxa"/>
            <w:tcBorders>
              <w:top w:val="nil"/>
              <w:left w:val="nil"/>
              <w:bottom w:val="single" w:sz="4" w:space="0" w:color="5B9BD5"/>
              <w:right w:val="single" w:sz="4" w:space="0" w:color="5B9BD5"/>
            </w:tcBorders>
            <w:shd w:val="clear" w:color="000000" w:fill="DDEBF7"/>
            <w:noWrap/>
            <w:vAlign w:val="bottom"/>
            <w:hideMark/>
          </w:tcPr>
          <w:p w14:paraId="6DF7FC9D"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3.487</w:t>
            </w:r>
          </w:p>
        </w:tc>
        <w:tc>
          <w:tcPr>
            <w:tcW w:w="2127" w:type="dxa"/>
            <w:tcBorders>
              <w:top w:val="nil"/>
              <w:left w:val="nil"/>
              <w:bottom w:val="single" w:sz="4" w:space="0" w:color="5B9BD5"/>
              <w:right w:val="single" w:sz="4" w:space="0" w:color="5B9BD5"/>
            </w:tcBorders>
            <w:shd w:val="clear" w:color="000000" w:fill="DDEBF7"/>
            <w:noWrap/>
            <w:vAlign w:val="bottom"/>
            <w:hideMark/>
          </w:tcPr>
          <w:p w14:paraId="5DA2FFC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w:t>
            </w:r>
            <w:r>
              <w:rPr>
                <w:rFonts w:ascii="Calibri" w:eastAsia="Times New Roman" w:hAnsi="Calibri" w:cs="Calibri"/>
                <w:color w:val="000000"/>
                <w:lang w:eastAsia="ca-ES"/>
              </w:rPr>
              <w:t>42</w:t>
            </w:r>
            <w:r w:rsidRPr="00745741">
              <w:rPr>
                <w:rFonts w:ascii="Calibri" w:eastAsia="Times New Roman" w:hAnsi="Calibri" w:cs="Calibri"/>
                <w:color w:val="000000"/>
                <w:lang w:eastAsia="ca-ES"/>
              </w:rPr>
              <w:t>%</w:t>
            </w:r>
          </w:p>
        </w:tc>
        <w:tc>
          <w:tcPr>
            <w:tcW w:w="1555" w:type="dxa"/>
            <w:tcBorders>
              <w:top w:val="nil"/>
              <w:left w:val="nil"/>
              <w:bottom w:val="single" w:sz="4" w:space="0" w:color="5B9BD5"/>
              <w:right w:val="single" w:sz="4" w:space="0" w:color="5B9BD5"/>
            </w:tcBorders>
            <w:shd w:val="clear" w:color="000000" w:fill="DDEBF7"/>
            <w:noWrap/>
            <w:vAlign w:val="bottom"/>
            <w:hideMark/>
          </w:tcPr>
          <w:p w14:paraId="513A7E88"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0,03</w:t>
            </w:r>
            <w:r>
              <w:rPr>
                <w:rFonts w:ascii="Calibri" w:eastAsia="Times New Roman" w:hAnsi="Calibri" w:cs="Calibri"/>
                <w:color w:val="000000"/>
                <w:lang w:eastAsia="ca-ES"/>
              </w:rPr>
              <w:t>42</w:t>
            </w:r>
          </w:p>
        </w:tc>
      </w:tr>
      <w:tr w:rsidR="00062FA6" w:rsidRPr="00745741" w14:paraId="7DE9B48E" w14:textId="77777777" w:rsidTr="009F50A0">
        <w:trPr>
          <w:trHeight w:val="300"/>
        </w:trPr>
        <w:tc>
          <w:tcPr>
            <w:tcW w:w="3539" w:type="dxa"/>
            <w:tcBorders>
              <w:top w:val="nil"/>
              <w:left w:val="single" w:sz="4" w:space="0" w:color="5B9BD5"/>
              <w:bottom w:val="single" w:sz="4" w:space="0" w:color="5B9BD5"/>
              <w:right w:val="single" w:sz="4" w:space="0" w:color="5B9BD5"/>
            </w:tcBorders>
            <w:shd w:val="clear" w:color="000000" w:fill="DDEBF7"/>
            <w:noWrap/>
            <w:vAlign w:val="bottom"/>
            <w:hideMark/>
          </w:tcPr>
          <w:p w14:paraId="5D7038F6"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Compra aigua</w:t>
            </w:r>
          </w:p>
        </w:tc>
        <w:tc>
          <w:tcPr>
            <w:tcW w:w="1559" w:type="dxa"/>
            <w:tcBorders>
              <w:top w:val="nil"/>
              <w:left w:val="nil"/>
              <w:bottom w:val="single" w:sz="4" w:space="0" w:color="5B9BD5"/>
              <w:right w:val="single" w:sz="4" w:space="0" w:color="5B9BD5"/>
            </w:tcBorders>
            <w:shd w:val="clear" w:color="000000" w:fill="DDEBF7"/>
            <w:noWrap/>
            <w:vAlign w:val="bottom"/>
            <w:hideMark/>
          </w:tcPr>
          <w:p w14:paraId="354622C3"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31.079</w:t>
            </w:r>
          </w:p>
        </w:tc>
        <w:tc>
          <w:tcPr>
            <w:tcW w:w="2127" w:type="dxa"/>
            <w:tcBorders>
              <w:top w:val="nil"/>
              <w:left w:val="nil"/>
              <w:bottom w:val="single" w:sz="4" w:space="0" w:color="5B9BD5"/>
              <w:right w:val="single" w:sz="4" w:space="0" w:color="5B9BD5"/>
            </w:tcBorders>
            <w:shd w:val="clear" w:color="000000" w:fill="DDEBF7"/>
            <w:noWrap/>
            <w:vAlign w:val="bottom"/>
            <w:hideMark/>
          </w:tcPr>
          <w:p w14:paraId="5EB0742C"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3</w:t>
            </w:r>
            <w:r>
              <w:rPr>
                <w:rFonts w:ascii="Calibri" w:eastAsia="Times New Roman" w:hAnsi="Calibri" w:cs="Calibri"/>
                <w:color w:val="000000"/>
                <w:lang w:eastAsia="ca-ES"/>
              </w:rPr>
              <w:t>0,52</w:t>
            </w:r>
            <w:r w:rsidRPr="00745741">
              <w:rPr>
                <w:rFonts w:ascii="Calibri" w:eastAsia="Times New Roman" w:hAnsi="Calibri" w:cs="Calibri"/>
                <w:color w:val="000000"/>
                <w:lang w:eastAsia="ca-ES"/>
              </w:rPr>
              <w:t>%</w:t>
            </w:r>
          </w:p>
        </w:tc>
        <w:tc>
          <w:tcPr>
            <w:tcW w:w="1555" w:type="dxa"/>
            <w:tcBorders>
              <w:top w:val="nil"/>
              <w:left w:val="nil"/>
              <w:bottom w:val="single" w:sz="4" w:space="0" w:color="5B9BD5"/>
              <w:right w:val="single" w:sz="4" w:space="0" w:color="5B9BD5"/>
            </w:tcBorders>
            <w:shd w:val="clear" w:color="000000" w:fill="DDEBF7"/>
            <w:noWrap/>
            <w:vAlign w:val="bottom"/>
            <w:hideMark/>
          </w:tcPr>
          <w:p w14:paraId="326593F4"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0,3</w:t>
            </w:r>
            <w:r>
              <w:rPr>
                <w:rFonts w:ascii="Calibri" w:eastAsia="Times New Roman" w:hAnsi="Calibri" w:cs="Calibri"/>
                <w:color w:val="000000"/>
                <w:lang w:eastAsia="ca-ES"/>
              </w:rPr>
              <w:t>052</w:t>
            </w:r>
          </w:p>
        </w:tc>
      </w:tr>
      <w:tr w:rsidR="00062FA6" w:rsidRPr="00745741" w14:paraId="171255FE" w14:textId="77777777" w:rsidTr="009F50A0">
        <w:trPr>
          <w:trHeight w:val="300"/>
        </w:trPr>
        <w:tc>
          <w:tcPr>
            <w:tcW w:w="3539" w:type="dxa"/>
            <w:tcBorders>
              <w:top w:val="nil"/>
              <w:left w:val="single" w:sz="4" w:space="0" w:color="5B9BD5"/>
              <w:bottom w:val="single" w:sz="4" w:space="0" w:color="5B9BD5"/>
              <w:right w:val="single" w:sz="4" w:space="0" w:color="5B9BD5"/>
            </w:tcBorders>
            <w:shd w:val="clear" w:color="000000" w:fill="DDEBF7"/>
            <w:noWrap/>
            <w:vAlign w:val="bottom"/>
            <w:hideMark/>
          </w:tcPr>
          <w:p w14:paraId="09C09F47"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Conservació i manteniment</w:t>
            </w:r>
          </w:p>
        </w:tc>
        <w:tc>
          <w:tcPr>
            <w:tcW w:w="1559" w:type="dxa"/>
            <w:tcBorders>
              <w:top w:val="nil"/>
              <w:left w:val="nil"/>
              <w:bottom w:val="single" w:sz="4" w:space="0" w:color="5B9BD5"/>
              <w:right w:val="single" w:sz="4" w:space="0" w:color="5B9BD5"/>
            </w:tcBorders>
            <w:shd w:val="clear" w:color="000000" w:fill="DDEBF7"/>
            <w:noWrap/>
            <w:vAlign w:val="bottom"/>
            <w:hideMark/>
          </w:tcPr>
          <w:p w14:paraId="3DAB2BA7"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21.052</w:t>
            </w:r>
          </w:p>
        </w:tc>
        <w:tc>
          <w:tcPr>
            <w:tcW w:w="2127" w:type="dxa"/>
            <w:tcBorders>
              <w:top w:val="nil"/>
              <w:left w:val="nil"/>
              <w:bottom w:val="single" w:sz="4" w:space="0" w:color="5B9BD5"/>
              <w:right w:val="single" w:sz="4" w:space="0" w:color="5B9BD5"/>
            </w:tcBorders>
            <w:shd w:val="clear" w:color="000000" w:fill="DDEBF7"/>
            <w:noWrap/>
            <w:vAlign w:val="bottom"/>
            <w:hideMark/>
          </w:tcPr>
          <w:p w14:paraId="6AB67CBB" w14:textId="77777777" w:rsidR="00062FA6" w:rsidRPr="00745741" w:rsidRDefault="00062FA6" w:rsidP="009F50A0">
            <w:pPr>
              <w:jc w:val="right"/>
              <w:rPr>
                <w:rFonts w:ascii="Calibri" w:eastAsia="Times New Roman" w:hAnsi="Calibri" w:cs="Calibri"/>
                <w:color w:val="000000"/>
                <w:lang w:eastAsia="ca-ES"/>
              </w:rPr>
            </w:pPr>
            <w:r>
              <w:rPr>
                <w:rFonts w:ascii="Calibri" w:eastAsia="Times New Roman" w:hAnsi="Calibri" w:cs="Calibri"/>
                <w:color w:val="000000"/>
                <w:lang w:eastAsia="ca-ES"/>
              </w:rPr>
              <w:t>20,67</w:t>
            </w:r>
            <w:r w:rsidRPr="00745741">
              <w:rPr>
                <w:rFonts w:ascii="Calibri" w:eastAsia="Times New Roman" w:hAnsi="Calibri" w:cs="Calibri"/>
                <w:color w:val="000000"/>
                <w:lang w:eastAsia="ca-ES"/>
              </w:rPr>
              <w:t>%</w:t>
            </w:r>
          </w:p>
        </w:tc>
        <w:tc>
          <w:tcPr>
            <w:tcW w:w="1555" w:type="dxa"/>
            <w:tcBorders>
              <w:top w:val="nil"/>
              <w:left w:val="nil"/>
              <w:bottom w:val="single" w:sz="4" w:space="0" w:color="5B9BD5"/>
              <w:right w:val="single" w:sz="4" w:space="0" w:color="5B9BD5"/>
            </w:tcBorders>
            <w:shd w:val="clear" w:color="000000" w:fill="DDEBF7"/>
            <w:noWrap/>
            <w:vAlign w:val="bottom"/>
            <w:hideMark/>
          </w:tcPr>
          <w:p w14:paraId="75DC14AE"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w:t>
            </w:r>
            <w:r>
              <w:rPr>
                <w:rFonts w:ascii="Calibri" w:eastAsia="Times New Roman" w:hAnsi="Calibri" w:cs="Calibri"/>
                <w:color w:val="000000"/>
                <w:lang w:eastAsia="ca-ES"/>
              </w:rPr>
              <w:t>2067</w:t>
            </w:r>
          </w:p>
        </w:tc>
      </w:tr>
      <w:tr w:rsidR="00062FA6" w:rsidRPr="00745741" w14:paraId="25FDC2EB" w14:textId="77777777" w:rsidTr="009F50A0">
        <w:trPr>
          <w:trHeight w:val="300"/>
        </w:trPr>
        <w:tc>
          <w:tcPr>
            <w:tcW w:w="3539" w:type="dxa"/>
            <w:tcBorders>
              <w:top w:val="nil"/>
              <w:left w:val="single" w:sz="4" w:space="0" w:color="5B9BD5"/>
              <w:bottom w:val="single" w:sz="4" w:space="0" w:color="5B9BD5"/>
              <w:right w:val="single" w:sz="4" w:space="0" w:color="5B9BD5"/>
            </w:tcBorders>
            <w:shd w:val="clear" w:color="auto" w:fill="auto"/>
            <w:noWrap/>
            <w:vAlign w:val="bottom"/>
            <w:hideMark/>
          </w:tcPr>
          <w:p w14:paraId="3579B1A3" w14:textId="77777777" w:rsidR="00062FA6" w:rsidRPr="00745741" w:rsidRDefault="00062FA6" w:rsidP="009F50A0">
            <w:pPr>
              <w:rPr>
                <w:rFonts w:ascii="Calibri" w:eastAsia="Times New Roman" w:hAnsi="Calibri" w:cs="Calibri"/>
                <w:color w:val="000000"/>
                <w:lang w:eastAsia="ca-ES"/>
              </w:rPr>
            </w:pPr>
            <w:r w:rsidRPr="00745741">
              <w:rPr>
                <w:rFonts w:ascii="Calibri" w:eastAsia="Times New Roman" w:hAnsi="Calibri" w:cs="Calibri"/>
                <w:color w:val="000000"/>
                <w:lang w:eastAsia="ca-ES"/>
              </w:rPr>
              <w:t>No revisables</w:t>
            </w:r>
          </w:p>
        </w:tc>
        <w:tc>
          <w:tcPr>
            <w:tcW w:w="1559" w:type="dxa"/>
            <w:tcBorders>
              <w:top w:val="nil"/>
              <w:left w:val="nil"/>
              <w:bottom w:val="single" w:sz="4" w:space="0" w:color="5B9BD5"/>
              <w:right w:val="single" w:sz="4" w:space="0" w:color="5B9BD5"/>
            </w:tcBorders>
            <w:shd w:val="clear" w:color="auto" w:fill="auto"/>
            <w:noWrap/>
            <w:vAlign w:val="bottom"/>
            <w:hideMark/>
          </w:tcPr>
          <w:p w14:paraId="18A0952E"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2</w:t>
            </w:r>
            <w:r>
              <w:rPr>
                <w:rFonts w:ascii="Calibri" w:eastAsia="Times New Roman" w:hAnsi="Calibri" w:cs="Calibri"/>
                <w:color w:val="000000"/>
                <w:lang w:eastAsia="ca-ES"/>
              </w:rPr>
              <w:t>7.133</w:t>
            </w:r>
          </w:p>
        </w:tc>
        <w:tc>
          <w:tcPr>
            <w:tcW w:w="2127" w:type="dxa"/>
            <w:tcBorders>
              <w:top w:val="nil"/>
              <w:left w:val="nil"/>
              <w:bottom w:val="single" w:sz="4" w:space="0" w:color="5B9BD5"/>
              <w:right w:val="single" w:sz="4" w:space="0" w:color="5B9BD5"/>
            </w:tcBorders>
            <w:shd w:val="clear" w:color="auto" w:fill="auto"/>
            <w:noWrap/>
            <w:vAlign w:val="bottom"/>
            <w:hideMark/>
          </w:tcPr>
          <w:p w14:paraId="6387CCD1"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2</w:t>
            </w:r>
            <w:r>
              <w:rPr>
                <w:rFonts w:ascii="Calibri" w:eastAsia="Times New Roman" w:hAnsi="Calibri" w:cs="Calibri"/>
                <w:color w:val="000000"/>
                <w:lang w:eastAsia="ca-ES"/>
              </w:rPr>
              <w:t>6,67</w:t>
            </w:r>
            <w:r w:rsidRPr="00745741">
              <w:rPr>
                <w:rFonts w:ascii="Calibri" w:eastAsia="Times New Roman" w:hAnsi="Calibri" w:cs="Calibri"/>
                <w:color w:val="000000"/>
                <w:lang w:eastAsia="ca-ES"/>
              </w:rPr>
              <w:t>%</w:t>
            </w:r>
          </w:p>
        </w:tc>
        <w:tc>
          <w:tcPr>
            <w:tcW w:w="1555" w:type="dxa"/>
            <w:tcBorders>
              <w:top w:val="nil"/>
              <w:left w:val="nil"/>
              <w:bottom w:val="single" w:sz="4" w:space="0" w:color="5B9BD5"/>
              <w:right w:val="single" w:sz="4" w:space="0" w:color="5B9BD5"/>
            </w:tcBorders>
            <w:shd w:val="clear" w:color="auto" w:fill="auto"/>
            <w:noWrap/>
            <w:vAlign w:val="bottom"/>
            <w:hideMark/>
          </w:tcPr>
          <w:p w14:paraId="6BC95639" w14:textId="77777777" w:rsidR="00062FA6" w:rsidRPr="00745741" w:rsidRDefault="00062FA6" w:rsidP="009F50A0">
            <w:pPr>
              <w:jc w:val="right"/>
              <w:rPr>
                <w:rFonts w:ascii="Calibri" w:eastAsia="Times New Roman" w:hAnsi="Calibri" w:cs="Calibri"/>
                <w:color w:val="000000"/>
                <w:lang w:eastAsia="ca-ES"/>
              </w:rPr>
            </w:pPr>
            <w:r w:rsidRPr="00745741">
              <w:rPr>
                <w:rFonts w:ascii="Calibri" w:eastAsia="Times New Roman" w:hAnsi="Calibri" w:cs="Calibri"/>
                <w:color w:val="000000"/>
                <w:lang w:eastAsia="ca-ES"/>
              </w:rPr>
              <w:t>0,2</w:t>
            </w:r>
            <w:r>
              <w:rPr>
                <w:rFonts w:ascii="Calibri" w:eastAsia="Times New Roman" w:hAnsi="Calibri" w:cs="Calibri"/>
                <w:color w:val="000000"/>
                <w:lang w:eastAsia="ca-ES"/>
              </w:rPr>
              <w:t>667</w:t>
            </w:r>
          </w:p>
        </w:tc>
      </w:tr>
      <w:tr w:rsidR="00062FA6" w:rsidRPr="00745741" w14:paraId="06E3FF92" w14:textId="77777777" w:rsidTr="009F50A0">
        <w:trPr>
          <w:trHeight w:val="300"/>
        </w:trPr>
        <w:tc>
          <w:tcPr>
            <w:tcW w:w="3539" w:type="dxa"/>
            <w:tcBorders>
              <w:top w:val="nil"/>
              <w:left w:val="single" w:sz="4" w:space="0" w:color="5B9BD5"/>
              <w:bottom w:val="single" w:sz="4" w:space="0" w:color="5B9BD5"/>
              <w:right w:val="single" w:sz="4" w:space="0" w:color="5B9BD5"/>
            </w:tcBorders>
            <w:shd w:val="clear" w:color="000000" w:fill="9BC2E6"/>
            <w:noWrap/>
            <w:vAlign w:val="bottom"/>
            <w:hideMark/>
          </w:tcPr>
          <w:p w14:paraId="132B6EBE" w14:textId="77777777" w:rsidR="00062FA6" w:rsidRPr="00745741" w:rsidRDefault="00062FA6" w:rsidP="009F50A0">
            <w:pPr>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 xml:space="preserve">Total despeses </w:t>
            </w:r>
          </w:p>
        </w:tc>
        <w:tc>
          <w:tcPr>
            <w:tcW w:w="1559" w:type="dxa"/>
            <w:tcBorders>
              <w:top w:val="nil"/>
              <w:left w:val="nil"/>
              <w:bottom w:val="single" w:sz="4" w:space="0" w:color="5B9BD5"/>
              <w:right w:val="single" w:sz="4" w:space="0" w:color="5B9BD5"/>
            </w:tcBorders>
            <w:shd w:val="clear" w:color="000000" w:fill="9BC2E6"/>
            <w:noWrap/>
            <w:vAlign w:val="bottom"/>
            <w:hideMark/>
          </w:tcPr>
          <w:p w14:paraId="04441970" w14:textId="77777777" w:rsidR="00062FA6" w:rsidRPr="00745741" w:rsidRDefault="00062FA6" w:rsidP="009F50A0">
            <w:pPr>
              <w:jc w:val="right"/>
              <w:rPr>
                <w:rFonts w:ascii="Calibri" w:eastAsia="Times New Roman" w:hAnsi="Calibri" w:cs="Calibri"/>
                <w:b/>
                <w:bCs/>
                <w:color w:val="000000"/>
                <w:lang w:eastAsia="ca-ES"/>
              </w:rPr>
            </w:pPr>
            <w:r>
              <w:rPr>
                <w:rFonts w:ascii="Calibri" w:eastAsia="Times New Roman" w:hAnsi="Calibri" w:cs="Calibri"/>
                <w:b/>
                <w:bCs/>
                <w:color w:val="000000"/>
                <w:lang w:eastAsia="ca-ES"/>
              </w:rPr>
              <w:t>101.797</w:t>
            </w:r>
          </w:p>
        </w:tc>
        <w:tc>
          <w:tcPr>
            <w:tcW w:w="2127" w:type="dxa"/>
            <w:tcBorders>
              <w:top w:val="nil"/>
              <w:left w:val="nil"/>
              <w:bottom w:val="single" w:sz="4" w:space="0" w:color="5B9BD5"/>
              <w:right w:val="single" w:sz="4" w:space="0" w:color="5B9BD5"/>
            </w:tcBorders>
            <w:shd w:val="clear" w:color="000000" w:fill="9BC2E6"/>
            <w:noWrap/>
            <w:vAlign w:val="bottom"/>
            <w:hideMark/>
          </w:tcPr>
          <w:p w14:paraId="439089D2" w14:textId="77777777" w:rsidR="00062FA6" w:rsidRPr="00745741" w:rsidRDefault="00062FA6" w:rsidP="009F50A0">
            <w:pPr>
              <w:jc w:val="right"/>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100,00%</w:t>
            </w:r>
          </w:p>
        </w:tc>
        <w:tc>
          <w:tcPr>
            <w:tcW w:w="1555" w:type="dxa"/>
            <w:tcBorders>
              <w:top w:val="nil"/>
              <w:left w:val="nil"/>
              <w:bottom w:val="single" w:sz="4" w:space="0" w:color="5B9BD5"/>
              <w:right w:val="single" w:sz="4" w:space="0" w:color="5B9BD5"/>
            </w:tcBorders>
            <w:shd w:val="clear" w:color="000000" w:fill="9BC2E6"/>
            <w:noWrap/>
            <w:vAlign w:val="bottom"/>
            <w:hideMark/>
          </w:tcPr>
          <w:p w14:paraId="1B04169B" w14:textId="77777777" w:rsidR="00062FA6" w:rsidRPr="00745741" w:rsidRDefault="00062FA6" w:rsidP="009F50A0">
            <w:pPr>
              <w:jc w:val="right"/>
              <w:rPr>
                <w:rFonts w:ascii="Calibri" w:eastAsia="Times New Roman" w:hAnsi="Calibri" w:cs="Calibri"/>
                <w:b/>
                <w:bCs/>
                <w:color w:val="000000"/>
                <w:lang w:eastAsia="ca-ES"/>
              </w:rPr>
            </w:pPr>
            <w:r w:rsidRPr="00745741">
              <w:rPr>
                <w:rFonts w:ascii="Calibri" w:eastAsia="Times New Roman" w:hAnsi="Calibri" w:cs="Calibri"/>
                <w:b/>
                <w:bCs/>
                <w:color w:val="000000"/>
                <w:lang w:eastAsia="ca-ES"/>
              </w:rPr>
              <w:t>1,0000</w:t>
            </w:r>
          </w:p>
        </w:tc>
      </w:tr>
    </w:tbl>
    <w:p w14:paraId="73D02D8C" w14:textId="77777777" w:rsidR="00062FA6" w:rsidRDefault="00062FA6" w:rsidP="00062FA6">
      <w:pPr>
        <w:rPr>
          <w:rFonts w:ascii="Arial" w:hAnsi="Arial" w:cs="Arial"/>
          <w:bCs/>
          <w:sz w:val="20"/>
          <w:szCs w:val="20"/>
        </w:rPr>
      </w:pPr>
    </w:p>
    <w:p w14:paraId="147045D4" w14:textId="77777777" w:rsidR="00062FA6" w:rsidRDefault="00062FA6" w:rsidP="00062FA6">
      <w:pPr>
        <w:rPr>
          <w:rFonts w:ascii="Arial" w:hAnsi="Arial" w:cs="Arial"/>
          <w:bCs/>
          <w:sz w:val="20"/>
          <w:szCs w:val="20"/>
        </w:rPr>
      </w:pPr>
    </w:p>
    <w:p w14:paraId="6A15BD2F" w14:textId="77777777" w:rsidR="00062FA6" w:rsidRDefault="00062FA6" w:rsidP="00062FA6">
      <w:pPr>
        <w:rPr>
          <w:rFonts w:ascii="Arial" w:hAnsi="Arial" w:cs="Arial"/>
          <w:bCs/>
          <w:sz w:val="20"/>
          <w:szCs w:val="20"/>
        </w:rPr>
      </w:pPr>
    </w:p>
    <w:p w14:paraId="6DFF135F" w14:textId="77777777" w:rsidR="00062FA6" w:rsidRPr="00CC5559" w:rsidRDefault="00062FA6" w:rsidP="00062FA6">
      <w:pPr>
        <w:rPr>
          <w:rFonts w:ascii="Arial" w:hAnsi="Arial" w:cs="Arial"/>
          <w:bCs/>
          <w:sz w:val="20"/>
          <w:szCs w:val="20"/>
        </w:rPr>
      </w:pPr>
    </w:p>
    <w:bookmarkEnd w:id="2"/>
    <w:p w14:paraId="32339422" w14:textId="77777777" w:rsidR="00062FA6" w:rsidRPr="00062FA6" w:rsidRDefault="00062FA6" w:rsidP="00062FA6">
      <w:pPr>
        <w:widowControl w:val="0"/>
        <w:numPr>
          <w:ilvl w:val="0"/>
          <w:numId w:val="9"/>
        </w:numPr>
        <w:suppressAutoHyphens/>
        <w:spacing w:after="0" w:line="240" w:lineRule="auto"/>
        <w:rPr>
          <w:rFonts w:ascii="Arial" w:hAnsi="Arial" w:cs="Arial"/>
          <w:b/>
          <w:bCs/>
        </w:rPr>
      </w:pPr>
      <w:r w:rsidRPr="00062FA6">
        <w:rPr>
          <w:rFonts w:ascii="Arial" w:hAnsi="Arial" w:cs="Arial"/>
          <w:b/>
          <w:bCs/>
        </w:rPr>
        <w:t>FÓRMULA DE REVISIÓ DE PREUS</w:t>
      </w:r>
    </w:p>
    <w:p w14:paraId="7FC6A614" w14:textId="77777777" w:rsidR="00062FA6" w:rsidRPr="00062FA6" w:rsidRDefault="00062FA6" w:rsidP="00062FA6">
      <w:pPr>
        <w:rPr>
          <w:rFonts w:ascii="Arial" w:hAnsi="Arial" w:cs="Arial"/>
          <w:b/>
          <w:bCs/>
        </w:rPr>
      </w:pPr>
    </w:p>
    <w:p w14:paraId="02DE4348" w14:textId="77777777" w:rsidR="00062FA6" w:rsidRPr="00062FA6" w:rsidRDefault="00062FA6" w:rsidP="00062FA6">
      <w:pPr>
        <w:rPr>
          <w:rFonts w:ascii="Arial" w:hAnsi="Arial" w:cs="Arial"/>
          <w:bCs/>
        </w:rPr>
      </w:pPr>
      <w:bookmarkStart w:id="6" w:name="_Hlk114209571"/>
      <w:bookmarkStart w:id="7" w:name="_Hlk112925426"/>
      <w:r w:rsidRPr="00062FA6">
        <w:rPr>
          <w:rFonts w:ascii="Arial" w:hAnsi="Arial" w:cs="Arial"/>
          <w:bCs/>
        </w:rPr>
        <w:t xml:space="preserve">La revisió de preus del contracte tindrà lloc una vegada transcorreguts dos anys des de la formalització del contracte, d’acord amb la següent fórmula polinòmica: </w:t>
      </w:r>
    </w:p>
    <w:p w14:paraId="23C7D7EE" w14:textId="77777777" w:rsidR="00062FA6" w:rsidRPr="00062FA6" w:rsidRDefault="00062FA6" w:rsidP="00062FA6">
      <w:pPr>
        <w:rPr>
          <w:rFonts w:ascii="Arial" w:hAnsi="Arial" w:cs="Arial"/>
          <w:bCs/>
          <w:iCs/>
        </w:rPr>
      </w:pPr>
    </w:p>
    <w:p w14:paraId="44B396D6" w14:textId="77777777" w:rsidR="00062FA6" w:rsidRPr="00062FA6" w:rsidRDefault="00062FA6" w:rsidP="00062FA6">
      <w:pPr>
        <w:rPr>
          <w:rFonts w:ascii="Arial" w:hAnsi="Arial" w:cs="Arial"/>
          <w:bCs/>
          <w:iCs/>
        </w:rPr>
      </w:pPr>
    </w:p>
    <w:p w14:paraId="38AE6443" w14:textId="77777777" w:rsidR="00062FA6" w:rsidRPr="00062FA6" w:rsidRDefault="00062FA6" w:rsidP="00062FA6">
      <w:pPr>
        <w:rPr>
          <w:rFonts w:ascii="Arial" w:hAnsi="Arial" w:cs="Arial"/>
          <w:bCs/>
        </w:rPr>
      </w:pPr>
    </w:p>
    <w:p w14:paraId="154933FC" w14:textId="77777777" w:rsidR="00062FA6" w:rsidRPr="00062FA6" w:rsidRDefault="00062FA6" w:rsidP="00062FA6">
      <w:pPr>
        <w:rPr>
          <w:rFonts w:ascii="Arial" w:hAnsi="Arial" w:cs="Arial"/>
          <w:bCs/>
        </w:rPr>
      </w:pPr>
      <w:r w:rsidRPr="00062FA6">
        <w:rPr>
          <w:rFonts w:ascii="Arial" w:hAnsi="Arial" w:cs="Arial"/>
          <w:bCs/>
        </w:rPr>
        <w:t>La fórmula polinòmica que es proposa per a la revisió de tarifes és la següent:</w:t>
      </w:r>
    </w:p>
    <w:p w14:paraId="345C15A0" w14:textId="77777777" w:rsidR="00062FA6" w:rsidRPr="00062FA6" w:rsidRDefault="00062FA6" w:rsidP="00062FA6">
      <w:pPr>
        <w:rPr>
          <w:rFonts w:ascii="Arial" w:hAnsi="Arial" w:cs="Arial"/>
          <w:bCs/>
        </w:rPr>
      </w:pPr>
    </w:p>
    <w:p w14:paraId="4BB6751D" w14:textId="77777777" w:rsidR="00062FA6" w:rsidRPr="00062FA6" w:rsidRDefault="00062FA6" w:rsidP="00062FA6">
      <w:pPr>
        <w:rPr>
          <w:rFonts w:ascii="Arial" w:hAnsi="Arial" w:cs="Arial"/>
          <w:bCs/>
        </w:rPr>
      </w:pPr>
      <m:oMath>
        <m:sSub>
          <m:sSubPr>
            <m:ctrlPr>
              <w:rPr>
                <w:rFonts w:ascii="Cambria Math" w:hAnsi="Cambria Math" w:cs="Arial"/>
                <w:bCs/>
                <w:i/>
              </w:rPr>
            </m:ctrlPr>
          </m:sSubPr>
          <m:e>
            <m:r>
              <w:rPr>
                <w:rFonts w:ascii="Cambria Math" w:hAnsi="Cambria Math" w:cs="Arial"/>
              </w:rPr>
              <m:t>K</m:t>
            </m:r>
          </m:e>
          <m:sub>
            <m:r>
              <w:rPr>
                <w:rFonts w:ascii="Cambria Math" w:hAnsi="Cambria Math" w:cs="Arial"/>
              </w:rPr>
              <m:t>t</m:t>
            </m:r>
          </m:sub>
        </m:sSub>
        <m:r>
          <w:rPr>
            <w:rFonts w:ascii="Cambria Math" w:hAnsi="Cambria Math" w:cs="Arial"/>
          </w:rPr>
          <m:t>=a·</m:t>
        </m:r>
        <m:d>
          <m:dPr>
            <m:ctrlPr>
              <w:rPr>
                <w:rFonts w:ascii="Cambria Math" w:hAnsi="Cambria Math" w:cs="Arial"/>
                <w:bCs/>
                <w:i/>
              </w:rPr>
            </m:ctrlPr>
          </m:dPr>
          <m:e>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A</m:t>
                    </m:r>
                  </m:e>
                  <m:sub>
                    <m:r>
                      <w:rPr>
                        <w:rFonts w:ascii="Cambria Math" w:hAnsi="Cambria Math" w:cs="Arial"/>
                      </w:rPr>
                      <m:t>t</m:t>
                    </m:r>
                  </m:sub>
                </m:sSub>
              </m:num>
              <m:den>
                <m:sSub>
                  <m:sSubPr>
                    <m:ctrlPr>
                      <w:rPr>
                        <w:rFonts w:ascii="Cambria Math" w:hAnsi="Cambria Math" w:cs="Arial"/>
                        <w:bCs/>
                        <w:i/>
                      </w:rPr>
                    </m:ctrlPr>
                  </m:sSubPr>
                  <m:e>
                    <m:r>
                      <w:rPr>
                        <w:rFonts w:ascii="Cambria Math" w:hAnsi="Cambria Math" w:cs="Arial"/>
                      </w:rPr>
                      <m:t>A</m:t>
                    </m:r>
                  </m:e>
                  <m:sub>
                    <m:r>
                      <w:rPr>
                        <w:rFonts w:ascii="Cambria Math" w:hAnsi="Cambria Math" w:cs="Arial"/>
                      </w:rPr>
                      <m:t>t-1</m:t>
                    </m:r>
                  </m:sub>
                </m:sSub>
              </m:den>
            </m:f>
          </m:e>
        </m:d>
        <m:r>
          <w:rPr>
            <w:rFonts w:ascii="Cambria Math" w:hAnsi="Cambria Math" w:cs="Arial"/>
          </w:rPr>
          <m:t>+e·</m:t>
        </m:r>
        <m:d>
          <m:dPr>
            <m:ctrlPr>
              <w:rPr>
                <w:rFonts w:ascii="Cambria Math" w:hAnsi="Cambria Math" w:cs="Arial"/>
                <w:bCs/>
                <w:i/>
              </w:rPr>
            </m:ctrlPr>
          </m:dPr>
          <m:e>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E</m:t>
                    </m:r>
                  </m:e>
                  <m:sub>
                    <m:r>
                      <w:rPr>
                        <w:rFonts w:ascii="Cambria Math" w:hAnsi="Cambria Math" w:cs="Arial"/>
                      </w:rPr>
                      <m:t>t</m:t>
                    </m:r>
                  </m:sub>
                </m:sSub>
              </m:num>
              <m:den>
                <m:sSub>
                  <m:sSubPr>
                    <m:ctrlPr>
                      <w:rPr>
                        <w:rFonts w:ascii="Cambria Math" w:hAnsi="Cambria Math" w:cs="Arial"/>
                        <w:bCs/>
                        <w:i/>
                      </w:rPr>
                    </m:ctrlPr>
                  </m:sSubPr>
                  <m:e>
                    <m:r>
                      <w:rPr>
                        <w:rFonts w:ascii="Cambria Math" w:hAnsi="Cambria Math" w:cs="Arial"/>
                      </w:rPr>
                      <m:t>E</m:t>
                    </m:r>
                  </m:e>
                  <m:sub>
                    <m:r>
                      <w:rPr>
                        <w:rFonts w:ascii="Cambria Math" w:hAnsi="Cambria Math" w:cs="Arial"/>
                      </w:rPr>
                      <m:t>t-1</m:t>
                    </m:r>
                  </m:sub>
                </m:sSub>
              </m:den>
            </m:f>
          </m:e>
        </m:d>
        <m:r>
          <w:rPr>
            <w:rFonts w:ascii="Cambria Math" w:hAnsi="Cambria Math" w:cs="Arial"/>
          </w:rPr>
          <m:t>+p·</m:t>
        </m:r>
        <m:d>
          <m:dPr>
            <m:ctrlPr>
              <w:rPr>
                <w:rFonts w:ascii="Cambria Math" w:hAnsi="Cambria Math" w:cs="Arial"/>
                <w:bCs/>
                <w:i/>
              </w:rPr>
            </m:ctrlPr>
          </m:dPr>
          <m:e>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P</m:t>
                    </m:r>
                  </m:e>
                  <m:sub>
                    <m:r>
                      <w:rPr>
                        <w:rFonts w:ascii="Cambria Math" w:hAnsi="Cambria Math" w:cs="Arial"/>
                      </w:rPr>
                      <m:t>t</m:t>
                    </m:r>
                  </m:sub>
                </m:sSub>
              </m:num>
              <m:den>
                <m:sSub>
                  <m:sSubPr>
                    <m:ctrlPr>
                      <w:rPr>
                        <w:rFonts w:ascii="Cambria Math" w:hAnsi="Cambria Math" w:cs="Arial"/>
                        <w:bCs/>
                        <w:i/>
                      </w:rPr>
                    </m:ctrlPr>
                  </m:sSubPr>
                  <m:e>
                    <m:r>
                      <w:rPr>
                        <w:rFonts w:ascii="Cambria Math" w:hAnsi="Cambria Math" w:cs="Arial"/>
                      </w:rPr>
                      <m:t>P</m:t>
                    </m:r>
                  </m:e>
                  <m:sub>
                    <m:r>
                      <w:rPr>
                        <w:rFonts w:ascii="Cambria Math" w:hAnsi="Cambria Math" w:cs="Arial"/>
                      </w:rPr>
                      <m:t>t-1</m:t>
                    </m:r>
                  </m:sub>
                </m:sSub>
              </m:den>
            </m:f>
          </m:e>
        </m:d>
        <m:r>
          <w:rPr>
            <w:rFonts w:ascii="Cambria Math" w:hAnsi="Cambria Math" w:cs="Arial"/>
          </w:rPr>
          <m:t>+m·</m:t>
        </m:r>
        <w:bookmarkStart w:id="8" w:name="_Hlk112397140"/>
        <m:d>
          <m:dPr>
            <m:ctrlPr>
              <w:rPr>
                <w:rFonts w:ascii="Cambria Math" w:hAnsi="Cambria Math" w:cs="Arial"/>
                <w:bCs/>
                <w:i/>
              </w:rPr>
            </m:ctrlPr>
          </m:dPr>
          <m:e>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M</m:t>
                    </m:r>
                  </m:e>
                  <m:sub>
                    <m:r>
                      <w:rPr>
                        <w:rFonts w:ascii="Cambria Math" w:hAnsi="Cambria Math" w:cs="Arial"/>
                      </w:rPr>
                      <m:t>t</m:t>
                    </m:r>
                  </m:sub>
                </m:sSub>
              </m:num>
              <m:den>
                <m:sSub>
                  <m:sSubPr>
                    <m:ctrlPr>
                      <w:rPr>
                        <w:rFonts w:ascii="Cambria Math" w:hAnsi="Cambria Math" w:cs="Arial"/>
                        <w:bCs/>
                        <w:i/>
                      </w:rPr>
                    </m:ctrlPr>
                  </m:sSubPr>
                  <m:e>
                    <m:r>
                      <w:rPr>
                        <w:rFonts w:ascii="Cambria Math" w:hAnsi="Cambria Math" w:cs="Arial"/>
                      </w:rPr>
                      <m:t>M</m:t>
                    </m:r>
                  </m:e>
                  <m:sub>
                    <m:r>
                      <w:rPr>
                        <w:rFonts w:ascii="Cambria Math" w:hAnsi="Cambria Math" w:cs="Arial"/>
                      </w:rPr>
                      <m:t>t-1</m:t>
                    </m:r>
                  </m:sub>
                </m:sSub>
              </m:den>
            </m:f>
          </m:e>
        </m:d>
        <w:bookmarkEnd w:id="8"/>
        <m:r>
          <w:rPr>
            <w:rFonts w:ascii="Cambria Math" w:hAnsi="Cambria Math" w:cs="Arial"/>
          </w:rPr>
          <m:t>+y</m:t>
        </m:r>
      </m:oMath>
      <w:r w:rsidRPr="00062FA6">
        <w:rPr>
          <w:rFonts w:ascii="Arial" w:hAnsi="Arial" w:cs="Arial"/>
          <w:bCs/>
        </w:rPr>
        <w:t xml:space="preserve"> </w:t>
      </w:r>
    </w:p>
    <w:p w14:paraId="31B7B925" w14:textId="77777777" w:rsidR="00062FA6" w:rsidRPr="00062FA6" w:rsidRDefault="00062FA6" w:rsidP="00062FA6">
      <w:pPr>
        <w:rPr>
          <w:rFonts w:ascii="Arial" w:hAnsi="Arial" w:cs="Arial"/>
          <w:bCs/>
        </w:rPr>
      </w:pPr>
    </w:p>
    <w:p w14:paraId="70469196" w14:textId="77777777" w:rsidR="00062FA6" w:rsidRPr="00062FA6" w:rsidRDefault="00062FA6" w:rsidP="00062FA6">
      <w:pPr>
        <w:rPr>
          <w:rFonts w:ascii="Arial" w:hAnsi="Arial" w:cs="Arial"/>
          <w:bCs/>
        </w:rPr>
      </w:pPr>
    </w:p>
    <w:p w14:paraId="5E4C1CD4" w14:textId="77777777" w:rsidR="00062FA6" w:rsidRPr="00062FA6" w:rsidRDefault="00062FA6" w:rsidP="00062FA6">
      <w:pPr>
        <w:rPr>
          <w:rFonts w:ascii="Arial" w:hAnsi="Arial" w:cs="Arial"/>
          <w:bCs/>
        </w:rPr>
      </w:pPr>
      <w:r w:rsidRPr="00062FA6">
        <w:rPr>
          <w:rFonts w:ascii="Arial" w:hAnsi="Arial" w:cs="Arial"/>
          <w:bCs/>
        </w:rPr>
        <w:t xml:space="preserve">On: </w:t>
      </w:r>
    </w:p>
    <w:p w14:paraId="28FADC3D" w14:textId="77777777" w:rsidR="00062FA6" w:rsidRPr="00062FA6" w:rsidRDefault="00062FA6" w:rsidP="00062FA6">
      <w:pPr>
        <w:rPr>
          <w:rFonts w:ascii="Arial" w:hAnsi="Arial" w:cs="Arial"/>
          <w:b/>
          <w:bCs/>
        </w:rPr>
      </w:pPr>
    </w:p>
    <w:p w14:paraId="3ADFE73A" w14:textId="77777777" w:rsidR="00062FA6" w:rsidRPr="00062FA6" w:rsidRDefault="00062FA6" w:rsidP="00062FA6">
      <w:pPr>
        <w:rPr>
          <w:rFonts w:ascii="Arial" w:hAnsi="Arial" w:cs="Arial"/>
          <w:bCs/>
        </w:rPr>
      </w:pPr>
      <w:r w:rsidRPr="00062FA6">
        <w:rPr>
          <w:rFonts w:ascii="Arial" w:hAnsi="Arial" w:cs="Arial"/>
          <w:b/>
          <w:bCs/>
        </w:rPr>
        <w:t>K</w:t>
      </w:r>
      <w:r w:rsidRPr="00062FA6">
        <w:rPr>
          <w:rFonts w:ascii="Arial" w:hAnsi="Arial" w:cs="Arial"/>
          <w:b/>
          <w:bCs/>
          <w:vertAlign w:val="subscript"/>
        </w:rPr>
        <w:t>t</w:t>
      </w:r>
      <w:r w:rsidRPr="00062FA6">
        <w:rPr>
          <w:rFonts w:ascii="Arial" w:hAnsi="Arial" w:cs="Arial"/>
          <w:b/>
          <w:bCs/>
        </w:rPr>
        <w:t>:</w:t>
      </w:r>
      <w:r w:rsidRPr="00062FA6">
        <w:rPr>
          <w:rFonts w:ascii="Arial" w:hAnsi="Arial" w:cs="Arial"/>
          <w:bCs/>
        </w:rPr>
        <w:t xml:space="preserve"> Coeficient de revisió aplicable en el moment t.</w:t>
      </w:r>
    </w:p>
    <w:p w14:paraId="0537F8EC" w14:textId="77777777" w:rsidR="00062FA6" w:rsidRPr="00062FA6" w:rsidRDefault="00062FA6" w:rsidP="00062FA6">
      <w:pPr>
        <w:rPr>
          <w:rFonts w:ascii="Arial" w:hAnsi="Arial" w:cs="Arial"/>
          <w:bCs/>
        </w:rPr>
      </w:pPr>
      <w:r w:rsidRPr="00062FA6">
        <w:rPr>
          <w:rFonts w:ascii="Arial" w:hAnsi="Arial" w:cs="Arial"/>
          <w:b/>
          <w:bCs/>
        </w:rPr>
        <w:t>a:</w:t>
      </w:r>
      <w:r w:rsidRPr="00062FA6">
        <w:rPr>
          <w:rFonts w:ascii="Arial" w:hAnsi="Arial" w:cs="Arial"/>
          <w:bCs/>
        </w:rPr>
        <w:t xml:space="preserve"> Coeficient de ponderació del cost de la compra d'aigua respecte del total de costos del servei (en tant per un i sempre que el seu percentatge sigui superior a l'1% sobre el total de costos).</w:t>
      </w:r>
    </w:p>
    <w:p w14:paraId="1309380C" w14:textId="77777777" w:rsidR="00062FA6" w:rsidRPr="00062FA6" w:rsidRDefault="00062FA6" w:rsidP="00062FA6">
      <w:pPr>
        <w:rPr>
          <w:rFonts w:ascii="Arial" w:hAnsi="Arial" w:cs="Arial"/>
          <w:bCs/>
        </w:rPr>
      </w:pPr>
      <w:r w:rsidRPr="00062FA6">
        <w:rPr>
          <w:rFonts w:ascii="Arial" w:hAnsi="Arial" w:cs="Arial"/>
          <w:b/>
          <w:bCs/>
        </w:rPr>
        <w:t>A</w:t>
      </w:r>
      <w:r w:rsidRPr="00062FA6">
        <w:rPr>
          <w:rFonts w:ascii="Arial" w:hAnsi="Arial" w:cs="Arial"/>
          <w:b/>
          <w:bCs/>
          <w:vertAlign w:val="subscript"/>
        </w:rPr>
        <w:t>t</w:t>
      </w:r>
      <w:r w:rsidRPr="00062FA6">
        <w:rPr>
          <w:rFonts w:ascii="Arial" w:hAnsi="Arial" w:cs="Arial"/>
          <w:bCs/>
        </w:rPr>
        <w:t xml:space="preserve">:  </w:t>
      </w:r>
      <w:bookmarkStart w:id="9" w:name="_Hlk128134829"/>
      <w:r w:rsidRPr="00062FA6">
        <w:rPr>
          <w:rFonts w:ascii="Arial" w:hAnsi="Arial" w:cs="Arial"/>
          <w:bCs/>
        </w:rPr>
        <w:t>Preu de compra d’aigua en alta en el moment t de revisió.</w:t>
      </w:r>
      <w:bookmarkEnd w:id="9"/>
    </w:p>
    <w:p w14:paraId="63B7EB77" w14:textId="77777777" w:rsidR="00062FA6" w:rsidRPr="00062FA6" w:rsidRDefault="00062FA6" w:rsidP="00062FA6">
      <w:pPr>
        <w:rPr>
          <w:rFonts w:ascii="Arial" w:hAnsi="Arial" w:cs="Arial"/>
          <w:bCs/>
        </w:rPr>
      </w:pPr>
      <w:r w:rsidRPr="00062FA6">
        <w:rPr>
          <w:rFonts w:ascii="Arial" w:hAnsi="Arial" w:cs="Arial"/>
          <w:b/>
          <w:bCs/>
        </w:rPr>
        <w:t>A</w:t>
      </w:r>
      <w:r w:rsidRPr="00062FA6">
        <w:rPr>
          <w:rFonts w:ascii="Arial" w:hAnsi="Arial" w:cs="Arial"/>
          <w:b/>
          <w:bCs/>
          <w:vertAlign w:val="subscript"/>
        </w:rPr>
        <w:t>t-1</w:t>
      </w:r>
      <w:r w:rsidRPr="00062FA6">
        <w:rPr>
          <w:rFonts w:ascii="Arial" w:hAnsi="Arial" w:cs="Arial"/>
          <w:bCs/>
        </w:rPr>
        <w:t xml:space="preserve">: Preu de compra d’aigua en alta en el moment de la formalització del contracte. </w:t>
      </w:r>
    </w:p>
    <w:p w14:paraId="36DFB7E8" w14:textId="77777777" w:rsidR="00062FA6" w:rsidRPr="00062FA6" w:rsidRDefault="00062FA6" w:rsidP="00062FA6">
      <w:pPr>
        <w:rPr>
          <w:rFonts w:ascii="Arial" w:hAnsi="Arial" w:cs="Arial"/>
          <w:bCs/>
        </w:rPr>
      </w:pPr>
      <w:r w:rsidRPr="00062FA6">
        <w:rPr>
          <w:rFonts w:ascii="Arial" w:hAnsi="Arial" w:cs="Arial"/>
          <w:b/>
          <w:bCs/>
        </w:rPr>
        <w:t>e:</w:t>
      </w:r>
      <w:r w:rsidRPr="00062FA6">
        <w:rPr>
          <w:rFonts w:ascii="Arial" w:hAnsi="Arial" w:cs="Arial"/>
          <w:bCs/>
        </w:rPr>
        <w:t xml:space="preserve"> Coeficient de ponderació del cost de l'energia respecte del total de costos del servei (en tant per un i sempre que el seu percentatge sigui superior a l'1% sobre el total de costos).</w:t>
      </w:r>
    </w:p>
    <w:p w14:paraId="5332275A" w14:textId="77777777" w:rsidR="00062FA6" w:rsidRPr="00062FA6" w:rsidRDefault="00062FA6" w:rsidP="00062FA6">
      <w:pPr>
        <w:rPr>
          <w:rFonts w:ascii="Arial" w:hAnsi="Arial" w:cs="Arial"/>
          <w:bCs/>
        </w:rPr>
      </w:pPr>
      <w:r w:rsidRPr="00062FA6">
        <w:rPr>
          <w:rFonts w:ascii="Arial" w:hAnsi="Arial" w:cs="Arial"/>
          <w:b/>
          <w:bCs/>
        </w:rPr>
        <w:t>E</w:t>
      </w:r>
      <w:r w:rsidRPr="00062FA6">
        <w:rPr>
          <w:rFonts w:ascii="Arial" w:hAnsi="Arial" w:cs="Arial"/>
          <w:b/>
          <w:bCs/>
          <w:vertAlign w:val="subscript"/>
        </w:rPr>
        <w:t>t</w:t>
      </w:r>
      <w:r w:rsidRPr="00062FA6">
        <w:rPr>
          <w:rFonts w:ascii="Arial" w:hAnsi="Arial" w:cs="Arial"/>
          <w:bCs/>
        </w:rPr>
        <w:t>: Índex del cost d'energia elèctrica d'acord amb els índexs publicat per l'INE en el moment t de revisió.</w:t>
      </w:r>
    </w:p>
    <w:p w14:paraId="4D438638" w14:textId="77777777" w:rsidR="00062FA6" w:rsidRPr="00062FA6" w:rsidRDefault="00062FA6" w:rsidP="00062FA6">
      <w:pPr>
        <w:rPr>
          <w:rFonts w:ascii="Arial" w:hAnsi="Arial" w:cs="Arial"/>
          <w:bCs/>
        </w:rPr>
      </w:pPr>
      <w:r w:rsidRPr="00062FA6">
        <w:rPr>
          <w:rFonts w:ascii="Arial" w:hAnsi="Arial" w:cs="Arial"/>
          <w:b/>
          <w:bCs/>
        </w:rPr>
        <w:t>E</w:t>
      </w:r>
      <w:r w:rsidRPr="00062FA6">
        <w:rPr>
          <w:rFonts w:ascii="Arial" w:hAnsi="Arial" w:cs="Arial"/>
          <w:b/>
          <w:bCs/>
          <w:vertAlign w:val="subscript"/>
        </w:rPr>
        <w:t>t-1</w:t>
      </w:r>
      <w:r w:rsidRPr="00062FA6">
        <w:rPr>
          <w:rFonts w:ascii="Arial" w:hAnsi="Arial" w:cs="Arial"/>
          <w:bCs/>
        </w:rPr>
        <w:t>: Índex del cost d'energia elèctrica d'acord amb els índexs publicat per l'INE en la data de en el moment de la formalització del contracte.</w:t>
      </w:r>
    </w:p>
    <w:p w14:paraId="177B928B" w14:textId="77777777" w:rsidR="00062FA6" w:rsidRPr="00062FA6" w:rsidRDefault="00062FA6" w:rsidP="00062FA6">
      <w:pPr>
        <w:rPr>
          <w:rFonts w:ascii="Arial" w:hAnsi="Arial" w:cs="Arial"/>
          <w:bCs/>
        </w:rPr>
      </w:pPr>
      <w:r w:rsidRPr="00062FA6">
        <w:rPr>
          <w:rFonts w:ascii="Arial" w:hAnsi="Arial" w:cs="Arial"/>
          <w:b/>
          <w:bCs/>
        </w:rPr>
        <w:t>p:</w:t>
      </w:r>
      <w:r w:rsidRPr="00062FA6">
        <w:rPr>
          <w:rFonts w:ascii="Arial" w:hAnsi="Arial" w:cs="Arial"/>
          <w:bCs/>
        </w:rPr>
        <w:t xml:space="preserve"> Coeficient de ponderació del cost de personal respecte del total de costos del servei (en tant per un)</w:t>
      </w:r>
    </w:p>
    <w:p w14:paraId="08429A41" w14:textId="2EFB4A69" w:rsidR="00062FA6" w:rsidRPr="00062FA6" w:rsidRDefault="00062FA6" w:rsidP="00062FA6">
      <w:pPr>
        <w:rPr>
          <w:rFonts w:ascii="Arial" w:hAnsi="Arial" w:cs="Arial"/>
          <w:bCs/>
        </w:rPr>
      </w:pPr>
      <w:r w:rsidRPr="00062FA6">
        <w:rPr>
          <w:rFonts w:ascii="Arial" w:hAnsi="Arial" w:cs="Arial"/>
          <w:bCs/>
        </w:rPr>
        <w:t>.</w:t>
      </w:r>
      <w:r w:rsidRPr="00062FA6">
        <w:rPr>
          <w:rFonts w:ascii="Arial" w:hAnsi="Arial" w:cs="Arial"/>
          <w:b/>
          <w:bCs/>
        </w:rPr>
        <w:t>P</w:t>
      </w:r>
      <w:r w:rsidRPr="00062FA6">
        <w:rPr>
          <w:rFonts w:ascii="Arial" w:hAnsi="Arial" w:cs="Arial"/>
          <w:b/>
          <w:bCs/>
          <w:vertAlign w:val="subscript"/>
        </w:rPr>
        <w:t>t</w:t>
      </w:r>
      <w:r w:rsidRPr="00062FA6">
        <w:rPr>
          <w:rFonts w:ascii="Arial" w:hAnsi="Arial" w:cs="Arial"/>
          <w:bCs/>
        </w:rPr>
        <w:t>: Preu resultant d'aplicar al preu de la mà d'obra del període anterior la variació anual pactada en el Conveni Col·lectiu Estatal de les Indústries de Captació, elevació, conducció, tractament, distribució, sanejament i depuració d'aigües residuals; o qualsevol altre pacte d'aplicació: tret que aquest sigui superior al previst reglamentàriament i en aquest cas s'aplicarà aquest últim.</w:t>
      </w:r>
    </w:p>
    <w:p w14:paraId="5647AC06" w14:textId="77777777" w:rsidR="00062FA6" w:rsidRPr="00062FA6" w:rsidRDefault="00062FA6" w:rsidP="00062FA6">
      <w:pPr>
        <w:rPr>
          <w:rFonts w:ascii="Arial" w:hAnsi="Arial" w:cs="Arial"/>
          <w:bCs/>
        </w:rPr>
      </w:pPr>
      <w:r w:rsidRPr="00062FA6">
        <w:rPr>
          <w:rFonts w:ascii="Arial" w:hAnsi="Arial" w:cs="Arial"/>
          <w:b/>
          <w:bCs/>
        </w:rPr>
        <w:t>P</w:t>
      </w:r>
      <w:r w:rsidRPr="00062FA6">
        <w:rPr>
          <w:rFonts w:ascii="Arial" w:hAnsi="Arial" w:cs="Arial"/>
          <w:b/>
          <w:bCs/>
          <w:vertAlign w:val="subscript"/>
        </w:rPr>
        <w:t>t-1</w:t>
      </w:r>
      <w:r w:rsidRPr="00062FA6">
        <w:rPr>
          <w:rFonts w:ascii="Arial" w:hAnsi="Arial" w:cs="Arial"/>
          <w:bCs/>
        </w:rPr>
        <w:t>: Preu de la ma d’obra en el moment de la formalització del contracte.</w:t>
      </w:r>
    </w:p>
    <w:p w14:paraId="169F5067" w14:textId="77777777" w:rsidR="00062FA6" w:rsidRPr="00062FA6" w:rsidRDefault="00062FA6" w:rsidP="00062FA6">
      <w:pPr>
        <w:rPr>
          <w:rFonts w:ascii="Arial" w:hAnsi="Arial" w:cs="Arial"/>
          <w:bCs/>
        </w:rPr>
      </w:pPr>
    </w:p>
    <w:p w14:paraId="78DC3A4F" w14:textId="77777777" w:rsidR="00062FA6" w:rsidRPr="00062FA6" w:rsidRDefault="00062FA6" w:rsidP="00062FA6">
      <w:pPr>
        <w:rPr>
          <w:rFonts w:ascii="Arial" w:hAnsi="Arial" w:cs="Arial"/>
          <w:bCs/>
        </w:rPr>
      </w:pPr>
      <w:r w:rsidRPr="00062FA6">
        <w:rPr>
          <w:rFonts w:ascii="Arial" w:hAnsi="Arial" w:cs="Arial"/>
          <w:b/>
          <w:bCs/>
        </w:rPr>
        <w:t>m:</w:t>
      </w:r>
      <w:r w:rsidRPr="00062FA6">
        <w:rPr>
          <w:rFonts w:ascii="Arial" w:hAnsi="Arial" w:cs="Arial"/>
          <w:bCs/>
        </w:rPr>
        <w:t xml:space="preserve"> Coeficient de ponderació dels costos derivats de les llavors de manteniment i conservació, en tant per un. </w:t>
      </w:r>
    </w:p>
    <w:p w14:paraId="33B5E010" w14:textId="77777777" w:rsidR="00062FA6" w:rsidRPr="00062FA6" w:rsidRDefault="00062FA6" w:rsidP="00062FA6">
      <w:pPr>
        <w:rPr>
          <w:rFonts w:ascii="Arial" w:hAnsi="Arial" w:cs="Arial"/>
          <w:bCs/>
        </w:rPr>
      </w:pPr>
    </w:p>
    <w:p w14:paraId="636186EC" w14:textId="77777777" w:rsidR="00062FA6" w:rsidRPr="00062FA6" w:rsidRDefault="00062FA6" w:rsidP="00062FA6">
      <w:pPr>
        <w:rPr>
          <w:rFonts w:ascii="Arial" w:hAnsi="Arial" w:cs="Arial"/>
          <w:bCs/>
        </w:rPr>
      </w:pPr>
      <m:oMath>
        <m:d>
          <m:dPr>
            <m:ctrlPr>
              <w:rPr>
                <w:rFonts w:ascii="Cambria Math" w:hAnsi="Cambria Math" w:cs="Arial"/>
                <w:b/>
                <w:bCs/>
                <w:i/>
              </w:rPr>
            </m:ctrlPr>
          </m:dPr>
          <m:e>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M</m:t>
                    </m:r>
                  </m:e>
                  <m:sub>
                    <m:r>
                      <m:rPr>
                        <m:sty m:val="bi"/>
                      </m:rPr>
                      <w:rPr>
                        <w:rFonts w:ascii="Cambria Math" w:hAnsi="Cambria Math" w:cs="Arial"/>
                      </w:rPr>
                      <m:t>t</m:t>
                    </m:r>
                  </m:sub>
                </m:sSub>
              </m:num>
              <m:den>
                <m:sSub>
                  <m:sSubPr>
                    <m:ctrlPr>
                      <w:rPr>
                        <w:rFonts w:ascii="Cambria Math" w:hAnsi="Cambria Math" w:cs="Arial"/>
                        <w:b/>
                        <w:bCs/>
                        <w:i/>
                      </w:rPr>
                    </m:ctrlPr>
                  </m:sSubPr>
                  <m:e>
                    <m:r>
                      <m:rPr>
                        <m:sty m:val="bi"/>
                      </m:rPr>
                      <w:rPr>
                        <w:rFonts w:ascii="Cambria Math" w:hAnsi="Cambria Math" w:cs="Arial"/>
                      </w:rPr>
                      <m:t>M</m:t>
                    </m:r>
                  </m:e>
                  <m:sub>
                    <m:r>
                      <m:rPr>
                        <m:sty m:val="bi"/>
                      </m:rPr>
                      <w:rPr>
                        <w:rFonts w:ascii="Cambria Math" w:hAnsi="Cambria Math" w:cs="Arial"/>
                      </w:rPr>
                      <m:t>t-1</m:t>
                    </m:r>
                  </m:sub>
                </m:sSub>
              </m:den>
            </m:f>
          </m:e>
        </m:d>
      </m:oMath>
      <w:r w:rsidRPr="00062FA6">
        <w:rPr>
          <w:rFonts w:ascii="Arial" w:hAnsi="Arial" w:cs="Arial"/>
          <w:b/>
          <w:bCs/>
        </w:rPr>
        <w:t xml:space="preserve">: Índex de preus de manteniment: </w:t>
      </w:r>
      <w:r w:rsidRPr="00062FA6">
        <w:rPr>
          <w:rFonts w:ascii="Arial" w:hAnsi="Arial" w:cs="Arial"/>
          <w:bCs/>
        </w:rPr>
        <w:t>Mitjana aritmètica de les variacions anuals, en el moment de la revisió, dels següents índexs de preus publicats per l’INE:</w:t>
      </w:r>
    </w:p>
    <w:p w14:paraId="2F820605" w14:textId="77777777" w:rsidR="00062FA6" w:rsidRPr="00062FA6" w:rsidRDefault="00062FA6" w:rsidP="00062FA6">
      <w:pPr>
        <w:rPr>
          <w:rFonts w:ascii="Arial" w:hAnsi="Arial" w:cs="Arial"/>
          <w:bCs/>
        </w:rPr>
      </w:pPr>
    </w:p>
    <w:p w14:paraId="2A2DB214" w14:textId="77777777" w:rsidR="00062FA6" w:rsidRPr="00062FA6" w:rsidRDefault="00062FA6" w:rsidP="00062FA6">
      <w:pPr>
        <w:rPr>
          <w:rFonts w:ascii="Arial" w:hAnsi="Arial" w:cs="Arial"/>
          <w:bCs/>
        </w:rPr>
      </w:pPr>
      <w:r w:rsidRPr="00062FA6">
        <w:rPr>
          <w:rFonts w:ascii="Arial" w:hAnsi="Arial" w:cs="Arial"/>
          <w:bCs/>
        </w:rPr>
        <w:t>CNAE 2009 2221 – Fabricació de plaques, fulles, tubs i perfils de plàstic.</w:t>
      </w:r>
    </w:p>
    <w:p w14:paraId="36156EF3" w14:textId="77777777" w:rsidR="00062FA6" w:rsidRPr="00062FA6" w:rsidRDefault="00062FA6" w:rsidP="00062FA6">
      <w:pPr>
        <w:rPr>
          <w:rFonts w:ascii="Arial" w:hAnsi="Arial" w:cs="Arial"/>
          <w:bCs/>
        </w:rPr>
      </w:pPr>
      <w:r w:rsidRPr="00062FA6">
        <w:rPr>
          <w:rFonts w:ascii="Arial" w:hAnsi="Arial" w:cs="Arial"/>
          <w:bCs/>
        </w:rPr>
        <w:t>CNAE 2009 2814 – Fabricació d’una altra aixeteria i vàlvules</w:t>
      </w:r>
    </w:p>
    <w:p w14:paraId="6F4E3744" w14:textId="77777777" w:rsidR="00062FA6" w:rsidRPr="00062FA6" w:rsidRDefault="00062FA6" w:rsidP="00062FA6">
      <w:pPr>
        <w:rPr>
          <w:rFonts w:ascii="Arial" w:hAnsi="Arial" w:cs="Arial"/>
          <w:bCs/>
        </w:rPr>
      </w:pPr>
      <w:r w:rsidRPr="00062FA6">
        <w:rPr>
          <w:rFonts w:ascii="Arial" w:hAnsi="Arial" w:cs="Arial"/>
          <w:bCs/>
        </w:rPr>
        <w:t>CNAE 2009 331 – Reparació de productes metàl·lics, maquinària i equip</w:t>
      </w:r>
    </w:p>
    <w:p w14:paraId="26AB277D" w14:textId="77777777" w:rsidR="00062FA6" w:rsidRPr="00062FA6" w:rsidRDefault="00062FA6" w:rsidP="00062FA6">
      <w:pPr>
        <w:rPr>
          <w:rFonts w:ascii="Arial" w:hAnsi="Arial" w:cs="Arial"/>
          <w:bCs/>
        </w:rPr>
      </w:pPr>
      <w:r w:rsidRPr="00062FA6">
        <w:rPr>
          <w:rFonts w:ascii="Arial" w:hAnsi="Arial" w:cs="Arial"/>
          <w:bCs/>
        </w:rPr>
        <w:t>CNAE 2009 236 – Fabricació d’elements de formigó, ciment i guix.</w:t>
      </w:r>
    </w:p>
    <w:p w14:paraId="0F169C96" w14:textId="77777777" w:rsidR="00062FA6" w:rsidRPr="00062FA6" w:rsidRDefault="00062FA6" w:rsidP="00062FA6">
      <w:pPr>
        <w:rPr>
          <w:rFonts w:ascii="Arial" w:hAnsi="Arial" w:cs="Arial"/>
          <w:bCs/>
        </w:rPr>
      </w:pPr>
    </w:p>
    <w:p w14:paraId="1F73DB2C" w14:textId="77777777" w:rsidR="00062FA6" w:rsidRPr="00062FA6" w:rsidRDefault="00062FA6" w:rsidP="00062FA6">
      <w:pPr>
        <w:rPr>
          <w:rFonts w:ascii="Arial" w:hAnsi="Arial" w:cs="Arial"/>
          <w:bCs/>
        </w:rPr>
      </w:pPr>
      <w:r w:rsidRPr="00062FA6">
        <w:rPr>
          <w:rFonts w:ascii="Arial" w:hAnsi="Arial" w:cs="Arial"/>
          <w:b/>
          <w:bCs/>
        </w:rPr>
        <w:t>y:</w:t>
      </w:r>
      <w:r w:rsidRPr="00062FA6">
        <w:rPr>
          <w:rFonts w:ascii="Arial" w:hAnsi="Arial" w:cs="Arial"/>
          <w:bCs/>
        </w:rPr>
        <w:t xml:space="preserve"> Coeficient de ponderació dels costos no revisables que no compleixen amb els requisits reglamentaris per a poder ser actualitzats per índexs específics respecte del total de costos del servei (en tant per un).</w:t>
      </w:r>
    </w:p>
    <w:p w14:paraId="6E336F2D" w14:textId="77777777" w:rsidR="00062FA6" w:rsidRPr="00062FA6" w:rsidRDefault="00062FA6" w:rsidP="00062FA6">
      <w:pPr>
        <w:rPr>
          <w:rFonts w:ascii="Arial" w:hAnsi="Arial" w:cs="Arial"/>
          <w:bCs/>
        </w:rPr>
      </w:pPr>
    </w:p>
    <w:p w14:paraId="463CF2AE" w14:textId="77777777" w:rsidR="00062FA6" w:rsidRPr="00062FA6" w:rsidRDefault="00062FA6" w:rsidP="00062FA6">
      <w:pPr>
        <w:rPr>
          <w:rFonts w:ascii="Arial" w:hAnsi="Arial" w:cs="Arial"/>
          <w:bCs/>
        </w:rPr>
      </w:pPr>
      <w:r w:rsidRPr="00062FA6">
        <w:rPr>
          <w:rFonts w:ascii="Arial" w:hAnsi="Arial" w:cs="Arial"/>
          <w:bCs/>
        </w:rPr>
        <w:t xml:space="preserve">Com es pot comprovar amb els índexs seleccionats compleixen en el RD 55/2017 en quan a: </w:t>
      </w:r>
    </w:p>
    <w:p w14:paraId="2B36D541" w14:textId="77777777" w:rsidR="00062FA6" w:rsidRPr="00062FA6" w:rsidRDefault="00062FA6" w:rsidP="00062FA6">
      <w:pPr>
        <w:rPr>
          <w:rFonts w:ascii="Arial" w:hAnsi="Arial" w:cs="Arial"/>
          <w:bCs/>
        </w:rPr>
      </w:pPr>
    </w:p>
    <w:p w14:paraId="719FE27F" w14:textId="77777777" w:rsidR="00062FA6" w:rsidRPr="00062FA6" w:rsidRDefault="00062FA6" w:rsidP="00062FA6">
      <w:pPr>
        <w:widowControl w:val="0"/>
        <w:numPr>
          <w:ilvl w:val="0"/>
          <w:numId w:val="6"/>
        </w:numPr>
        <w:suppressAutoHyphens/>
        <w:spacing w:after="0" w:line="240" w:lineRule="auto"/>
        <w:rPr>
          <w:rFonts w:ascii="Arial" w:hAnsi="Arial" w:cs="Arial"/>
          <w:bCs/>
        </w:rPr>
      </w:pPr>
      <w:r w:rsidRPr="00062FA6">
        <w:rPr>
          <w:rFonts w:ascii="Arial" w:hAnsi="Arial" w:cs="Arial"/>
          <w:bCs/>
        </w:rPr>
        <w:t>Han de caracteritzar-se per ser els que, amb la major desagregació possible de entre els disponibles, millor reflecteixin l’evolució del cost susceptible de revisió.</w:t>
      </w:r>
    </w:p>
    <w:p w14:paraId="1DC111B5" w14:textId="77777777" w:rsidR="00062FA6" w:rsidRPr="00062FA6" w:rsidRDefault="00062FA6" w:rsidP="00062FA6">
      <w:pPr>
        <w:rPr>
          <w:rFonts w:ascii="Arial" w:hAnsi="Arial" w:cs="Arial"/>
          <w:bCs/>
        </w:rPr>
      </w:pPr>
    </w:p>
    <w:p w14:paraId="12D11211" w14:textId="77777777" w:rsidR="00062FA6" w:rsidRPr="00062FA6" w:rsidRDefault="00062FA6" w:rsidP="00062FA6">
      <w:pPr>
        <w:widowControl w:val="0"/>
        <w:numPr>
          <w:ilvl w:val="0"/>
          <w:numId w:val="6"/>
        </w:numPr>
        <w:suppressAutoHyphens/>
        <w:spacing w:after="0" w:line="240" w:lineRule="auto"/>
        <w:rPr>
          <w:rFonts w:ascii="Arial" w:hAnsi="Arial" w:cs="Arial"/>
          <w:bCs/>
        </w:rPr>
      </w:pPr>
      <w:r w:rsidRPr="00062FA6">
        <w:rPr>
          <w:rFonts w:ascii="Arial" w:hAnsi="Arial" w:cs="Arial"/>
          <w:bCs/>
        </w:rPr>
        <w:t>En la mesura del possible ser específics per a cada cost i no incorporar elements aliens al mateix.</w:t>
      </w:r>
    </w:p>
    <w:p w14:paraId="79AECA53" w14:textId="77777777" w:rsidR="00062FA6" w:rsidRPr="00062FA6" w:rsidRDefault="00062FA6" w:rsidP="00062FA6">
      <w:pPr>
        <w:rPr>
          <w:rFonts w:ascii="Arial" w:hAnsi="Arial" w:cs="Arial"/>
          <w:bCs/>
        </w:rPr>
      </w:pPr>
    </w:p>
    <w:p w14:paraId="4194BC2D" w14:textId="77777777" w:rsidR="00062FA6" w:rsidRPr="00062FA6" w:rsidRDefault="00062FA6" w:rsidP="00062FA6">
      <w:pPr>
        <w:widowControl w:val="0"/>
        <w:numPr>
          <w:ilvl w:val="0"/>
          <w:numId w:val="6"/>
        </w:numPr>
        <w:suppressAutoHyphens/>
        <w:spacing w:after="0" w:line="240" w:lineRule="auto"/>
        <w:rPr>
          <w:rFonts w:ascii="Arial" w:hAnsi="Arial" w:cs="Arial"/>
          <w:bCs/>
        </w:rPr>
      </w:pPr>
      <w:r w:rsidRPr="00062FA6">
        <w:rPr>
          <w:rFonts w:ascii="Arial" w:hAnsi="Arial" w:cs="Arial"/>
          <w:bCs/>
        </w:rPr>
        <w:t>Han d’estar disponibles al públic.</w:t>
      </w:r>
    </w:p>
    <w:p w14:paraId="0203E517" w14:textId="77777777" w:rsidR="00062FA6" w:rsidRPr="00062FA6" w:rsidRDefault="00062FA6" w:rsidP="00062FA6">
      <w:pPr>
        <w:rPr>
          <w:rFonts w:ascii="Arial" w:hAnsi="Arial" w:cs="Arial"/>
          <w:bCs/>
        </w:rPr>
      </w:pPr>
    </w:p>
    <w:p w14:paraId="6A78558E" w14:textId="77777777" w:rsidR="00062FA6" w:rsidRPr="00062FA6" w:rsidRDefault="00062FA6" w:rsidP="00062FA6">
      <w:pPr>
        <w:widowControl w:val="0"/>
        <w:numPr>
          <w:ilvl w:val="0"/>
          <w:numId w:val="6"/>
        </w:numPr>
        <w:suppressAutoHyphens/>
        <w:spacing w:after="0" w:line="240" w:lineRule="auto"/>
        <w:rPr>
          <w:rFonts w:ascii="Arial" w:hAnsi="Arial" w:cs="Arial"/>
          <w:bCs/>
        </w:rPr>
      </w:pPr>
      <w:r w:rsidRPr="00062FA6">
        <w:rPr>
          <w:rFonts w:ascii="Arial" w:hAnsi="Arial" w:cs="Arial"/>
          <w:bCs/>
        </w:rPr>
        <w:t>No han de ser modificables de forma unilateral pel operador o, en aquest cas, pel concessionari.</w:t>
      </w:r>
    </w:p>
    <w:p w14:paraId="25771D41" w14:textId="77777777" w:rsidR="00062FA6" w:rsidRPr="00062FA6" w:rsidRDefault="00062FA6" w:rsidP="00062FA6">
      <w:pPr>
        <w:rPr>
          <w:rFonts w:ascii="Arial" w:hAnsi="Arial" w:cs="Arial"/>
          <w:bCs/>
        </w:rPr>
      </w:pPr>
    </w:p>
    <w:p w14:paraId="65AA09F9" w14:textId="77777777" w:rsidR="00062FA6" w:rsidRPr="00062FA6" w:rsidRDefault="00062FA6" w:rsidP="00062FA6">
      <w:pPr>
        <w:widowControl w:val="0"/>
        <w:numPr>
          <w:ilvl w:val="0"/>
          <w:numId w:val="6"/>
        </w:numPr>
        <w:suppressAutoHyphens/>
        <w:spacing w:after="0" w:line="240" w:lineRule="auto"/>
        <w:rPr>
          <w:rFonts w:ascii="Arial" w:hAnsi="Arial" w:cs="Arial"/>
          <w:bCs/>
        </w:rPr>
      </w:pPr>
      <w:r w:rsidRPr="00062FA6">
        <w:rPr>
          <w:rFonts w:ascii="Arial" w:hAnsi="Arial" w:cs="Arial"/>
          <w:bCs/>
        </w:rPr>
        <w:t>En el cas de la ma d'obra, s'imposa com límit superior de revisió l’increment experimentat per la retribució del personal al servei del sector públic, conforme a les Lleis de Pressupostos Generals de l’Estat.</w:t>
      </w:r>
    </w:p>
    <w:p w14:paraId="474D7A9C" w14:textId="77777777" w:rsidR="00062FA6" w:rsidRPr="00062FA6" w:rsidRDefault="00062FA6" w:rsidP="00062FA6">
      <w:pPr>
        <w:rPr>
          <w:rFonts w:ascii="Arial" w:hAnsi="Arial" w:cs="Arial"/>
          <w:bCs/>
        </w:rPr>
      </w:pPr>
    </w:p>
    <w:p w14:paraId="026594C2" w14:textId="77777777" w:rsidR="00062FA6" w:rsidRPr="00062FA6" w:rsidRDefault="00062FA6" w:rsidP="00062FA6">
      <w:pPr>
        <w:rPr>
          <w:rFonts w:ascii="Arial" w:hAnsi="Arial" w:cs="Arial"/>
          <w:bCs/>
        </w:rPr>
      </w:pPr>
      <w:r w:rsidRPr="00062FA6">
        <w:rPr>
          <w:rFonts w:ascii="Arial" w:hAnsi="Arial" w:cs="Arial"/>
          <w:bCs/>
        </w:rPr>
        <w:t xml:space="preserve">En base a tot això, la Formula de Revisió de Preu proposada és: </w:t>
      </w:r>
      <w:bookmarkEnd w:id="6"/>
    </w:p>
    <w:bookmarkEnd w:id="7"/>
    <w:p w14:paraId="0E08810A" w14:textId="77777777" w:rsidR="00062FA6" w:rsidRPr="00062FA6" w:rsidRDefault="00062FA6" w:rsidP="00062FA6">
      <w:pPr>
        <w:rPr>
          <w:rFonts w:ascii="Arial" w:hAnsi="Arial" w:cs="Arial"/>
          <w:bCs/>
        </w:rPr>
      </w:pPr>
    </w:p>
    <w:p w14:paraId="774B16B4" w14:textId="77777777" w:rsidR="00062FA6" w:rsidRPr="00062FA6" w:rsidRDefault="00062FA6" w:rsidP="00062FA6">
      <w:pPr>
        <w:rPr>
          <w:rFonts w:ascii="Arial" w:hAnsi="Arial" w:cs="Arial"/>
          <w:bCs/>
        </w:rPr>
      </w:pPr>
    </w:p>
    <w:bookmarkStart w:id="10" w:name="_Hlk112926460"/>
    <w:bookmarkStart w:id="11" w:name="_Hlk126574373"/>
    <w:p w14:paraId="16B2DF78" w14:textId="77777777" w:rsidR="00062FA6" w:rsidRPr="00062FA6" w:rsidRDefault="00062FA6" w:rsidP="00062FA6">
      <w:pPr>
        <w:rPr>
          <w:rFonts w:ascii="Arial" w:hAnsi="Arial" w:cs="Arial"/>
          <w:b/>
          <w:bCs/>
        </w:rPr>
      </w:pPr>
      <m:oMathPara>
        <m:oMath>
          <m:sSub>
            <m:sSubPr>
              <m:ctrlPr>
                <w:rPr>
                  <w:rFonts w:ascii="Cambria Math" w:hAnsi="Cambria Math" w:cs="Arial"/>
                  <w:b/>
                  <w:bCs/>
                </w:rPr>
              </m:ctrlPr>
            </m:sSubPr>
            <m:e>
              <m:r>
                <m:rPr>
                  <m:sty m:val="bi"/>
                </m:rPr>
                <w:rPr>
                  <w:rFonts w:ascii="Cambria Math" w:hAnsi="Cambria Math" w:cs="Arial"/>
                </w:rPr>
                <m:t>K</m:t>
              </m:r>
            </m:e>
            <m:sub>
              <m:r>
                <m:rPr>
                  <m:sty m:val="bi"/>
                </m:rPr>
                <w:rPr>
                  <w:rFonts w:ascii="Cambria Math" w:hAnsi="Cambria Math" w:cs="Arial"/>
                </w:rPr>
                <m:t>t</m:t>
              </m:r>
            </m:sub>
          </m:sSub>
          <m:r>
            <m:rPr>
              <m:sty m:val="bi"/>
            </m:rPr>
            <w:rPr>
              <w:rFonts w:ascii="Cambria Math" w:hAnsi="Cambria Math" w:cs="Arial"/>
            </w:rPr>
            <m:t>=0,3052*</m:t>
          </m:r>
          <m:d>
            <m:dPr>
              <m:ctrlPr>
                <w:rPr>
                  <w:rFonts w:ascii="Cambria Math" w:hAnsi="Cambria Math" w:cs="Arial"/>
                  <w:b/>
                  <w:bCs/>
                  <w:i/>
                </w:rPr>
              </m:ctrlPr>
            </m:dPr>
            <m:e>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m:t>
                      </m:r>
                    </m:sub>
                  </m:sSub>
                </m:num>
                <m:den>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t-1</m:t>
                      </m:r>
                    </m:sub>
                  </m:sSub>
                </m:den>
              </m:f>
            </m:e>
          </m:d>
          <m:r>
            <m:rPr>
              <m:sty m:val="bi"/>
            </m:rPr>
            <w:rPr>
              <w:rFonts w:ascii="Cambria Math" w:hAnsi="Cambria Math" w:cs="Arial"/>
            </w:rPr>
            <m:t>+0,0342*</m:t>
          </m:r>
          <m:d>
            <m:dPr>
              <m:ctrlPr>
                <w:rPr>
                  <w:rFonts w:ascii="Cambria Math" w:hAnsi="Cambria Math" w:cs="Arial"/>
                  <w:b/>
                  <w:bCs/>
                  <w:i/>
                </w:rPr>
              </m:ctrlPr>
            </m:dPr>
            <m:e>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E</m:t>
                      </m:r>
                    </m:e>
                    <m:sub>
                      <m:r>
                        <m:rPr>
                          <m:sty m:val="bi"/>
                        </m:rPr>
                        <w:rPr>
                          <w:rFonts w:ascii="Cambria Math" w:hAnsi="Cambria Math" w:cs="Arial"/>
                        </w:rPr>
                        <m:t>t</m:t>
                      </m:r>
                    </m:sub>
                  </m:sSub>
                </m:num>
                <m:den>
                  <m:sSub>
                    <m:sSubPr>
                      <m:ctrlPr>
                        <w:rPr>
                          <w:rFonts w:ascii="Cambria Math" w:hAnsi="Cambria Math" w:cs="Arial"/>
                          <w:b/>
                          <w:bCs/>
                          <w:i/>
                        </w:rPr>
                      </m:ctrlPr>
                    </m:sSubPr>
                    <m:e>
                      <m:r>
                        <m:rPr>
                          <m:sty m:val="bi"/>
                        </m:rPr>
                        <w:rPr>
                          <w:rFonts w:ascii="Cambria Math" w:hAnsi="Cambria Math" w:cs="Arial"/>
                        </w:rPr>
                        <m:t>E</m:t>
                      </m:r>
                    </m:e>
                    <m:sub>
                      <m:r>
                        <m:rPr>
                          <m:sty m:val="bi"/>
                        </m:rPr>
                        <w:rPr>
                          <w:rFonts w:ascii="Cambria Math" w:hAnsi="Cambria Math" w:cs="Arial"/>
                        </w:rPr>
                        <m:t>t-1</m:t>
                      </m:r>
                    </m:sub>
                  </m:sSub>
                </m:den>
              </m:f>
            </m:e>
          </m:d>
          <m:r>
            <m:rPr>
              <m:sty m:val="bi"/>
            </m:rPr>
            <w:rPr>
              <w:rFonts w:ascii="Cambria Math" w:hAnsi="Cambria Math" w:cs="Arial"/>
            </w:rPr>
            <m:t>+0,1870*</m:t>
          </m:r>
          <m:d>
            <m:dPr>
              <m:ctrlPr>
                <w:rPr>
                  <w:rFonts w:ascii="Cambria Math" w:hAnsi="Cambria Math" w:cs="Arial"/>
                  <w:b/>
                  <w:bCs/>
                  <w:i/>
                </w:rPr>
              </m:ctrlPr>
            </m:dPr>
            <m:e>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P</m:t>
                      </m:r>
                    </m:e>
                    <m:sub>
                      <m:r>
                        <m:rPr>
                          <m:sty m:val="bi"/>
                        </m:rPr>
                        <w:rPr>
                          <w:rFonts w:ascii="Cambria Math" w:hAnsi="Cambria Math" w:cs="Arial"/>
                        </w:rPr>
                        <m:t>t</m:t>
                      </m:r>
                    </m:sub>
                  </m:sSub>
                </m:num>
                <m:den>
                  <m:sSub>
                    <m:sSubPr>
                      <m:ctrlPr>
                        <w:rPr>
                          <w:rFonts w:ascii="Cambria Math" w:hAnsi="Cambria Math" w:cs="Arial"/>
                          <w:b/>
                          <w:bCs/>
                          <w:i/>
                        </w:rPr>
                      </m:ctrlPr>
                    </m:sSubPr>
                    <m:e>
                      <m:r>
                        <m:rPr>
                          <m:sty m:val="bi"/>
                        </m:rPr>
                        <w:rPr>
                          <w:rFonts w:ascii="Cambria Math" w:hAnsi="Cambria Math" w:cs="Arial"/>
                        </w:rPr>
                        <m:t>P</m:t>
                      </m:r>
                    </m:e>
                    <m:sub>
                      <m:r>
                        <m:rPr>
                          <m:sty m:val="bi"/>
                        </m:rPr>
                        <w:rPr>
                          <w:rFonts w:ascii="Cambria Math" w:hAnsi="Cambria Math" w:cs="Arial"/>
                        </w:rPr>
                        <m:t>t-1</m:t>
                      </m:r>
                    </m:sub>
                  </m:sSub>
                </m:den>
              </m:f>
            </m:e>
          </m:d>
          <m:r>
            <m:rPr>
              <m:sty m:val="bi"/>
            </m:rPr>
            <w:rPr>
              <w:rFonts w:ascii="Cambria Math" w:hAnsi="Cambria Math" w:cs="Arial"/>
            </w:rPr>
            <m:t>+0,2067*</m:t>
          </m:r>
          <m:d>
            <m:dPr>
              <m:ctrlPr>
                <w:rPr>
                  <w:rFonts w:ascii="Cambria Math" w:hAnsi="Cambria Math" w:cs="Arial"/>
                  <w:b/>
                  <w:bCs/>
                  <w:i/>
                </w:rPr>
              </m:ctrlPr>
            </m:dPr>
            <m:e>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M</m:t>
                      </m:r>
                    </m:e>
                    <m:sub>
                      <m:r>
                        <m:rPr>
                          <m:sty m:val="bi"/>
                        </m:rPr>
                        <w:rPr>
                          <w:rFonts w:ascii="Cambria Math" w:hAnsi="Cambria Math" w:cs="Arial"/>
                        </w:rPr>
                        <m:t>t</m:t>
                      </m:r>
                    </m:sub>
                  </m:sSub>
                </m:num>
                <m:den>
                  <m:sSub>
                    <m:sSubPr>
                      <m:ctrlPr>
                        <w:rPr>
                          <w:rFonts w:ascii="Cambria Math" w:hAnsi="Cambria Math" w:cs="Arial"/>
                          <w:b/>
                          <w:bCs/>
                          <w:i/>
                        </w:rPr>
                      </m:ctrlPr>
                    </m:sSubPr>
                    <m:e>
                      <m:r>
                        <m:rPr>
                          <m:sty m:val="bi"/>
                        </m:rPr>
                        <w:rPr>
                          <w:rFonts w:ascii="Cambria Math" w:hAnsi="Cambria Math" w:cs="Arial"/>
                        </w:rPr>
                        <m:t>M</m:t>
                      </m:r>
                    </m:e>
                    <m:sub>
                      <m:r>
                        <m:rPr>
                          <m:sty m:val="bi"/>
                        </m:rPr>
                        <w:rPr>
                          <w:rFonts w:ascii="Cambria Math" w:hAnsi="Cambria Math" w:cs="Arial"/>
                        </w:rPr>
                        <m:t>t-1</m:t>
                      </m:r>
                    </m:sub>
                  </m:sSub>
                </m:den>
              </m:f>
            </m:e>
          </m:d>
          <m:r>
            <m:rPr>
              <m:sty m:val="bi"/>
            </m:rPr>
            <w:rPr>
              <w:rFonts w:ascii="Cambria Math" w:hAnsi="Cambria Math" w:cs="Arial"/>
            </w:rPr>
            <m:t>+0,</m:t>
          </m:r>
          <w:bookmarkEnd w:id="10"/>
          <w:bookmarkEnd w:id="11"/>
          <m:r>
            <m:rPr>
              <m:sty m:val="bi"/>
            </m:rPr>
            <w:rPr>
              <w:rFonts w:ascii="Cambria Math" w:hAnsi="Cambria Math" w:cs="Arial"/>
            </w:rPr>
            <m:t>2667</m:t>
          </m:r>
        </m:oMath>
      </m:oMathPara>
    </w:p>
    <w:p w14:paraId="6733BD9B" w14:textId="77777777" w:rsidR="00062FA6" w:rsidRPr="00062FA6" w:rsidRDefault="00062FA6" w:rsidP="00062FA6">
      <w:pPr>
        <w:rPr>
          <w:rFonts w:ascii="Arial" w:hAnsi="Arial" w:cs="Arial"/>
          <w:b/>
          <w:bCs/>
          <w:color w:val="FF0000"/>
        </w:rPr>
      </w:pPr>
    </w:p>
    <w:p w14:paraId="46FDDA4B" w14:textId="77777777" w:rsidR="00062FA6" w:rsidRPr="00062FA6" w:rsidRDefault="00062FA6" w:rsidP="00062FA6">
      <w:pPr>
        <w:pStyle w:val="xxmsonormal"/>
        <w:shd w:val="clear" w:color="auto" w:fill="FFFFFF"/>
        <w:spacing w:before="0" w:beforeAutospacing="0" w:after="0" w:afterAutospacing="0"/>
        <w:jc w:val="both"/>
        <w:rPr>
          <w:rFonts w:ascii="Arial" w:eastAsia="Calibri" w:hAnsi="Arial" w:cs="Arial"/>
          <w:sz w:val="22"/>
          <w:szCs w:val="22"/>
        </w:rPr>
      </w:pPr>
    </w:p>
    <w:p w14:paraId="13AC5A2C" w14:textId="77777777" w:rsidR="00062FA6" w:rsidRPr="00062FA6" w:rsidRDefault="00062FA6" w:rsidP="00062FA6">
      <w:pPr>
        <w:pStyle w:val="xxmsonormal"/>
        <w:shd w:val="clear" w:color="auto" w:fill="FFFFFF"/>
        <w:spacing w:before="0" w:beforeAutospacing="0" w:after="0" w:afterAutospacing="0"/>
        <w:jc w:val="both"/>
        <w:rPr>
          <w:rFonts w:ascii="Arial" w:eastAsia="Calibri" w:hAnsi="Arial" w:cs="Arial"/>
          <w:sz w:val="22"/>
          <w:szCs w:val="22"/>
        </w:rPr>
      </w:pPr>
    </w:p>
    <w:p w14:paraId="3E2103EB" w14:textId="77777777" w:rsidR="00381550" w:rsidRPr="00062FA6" w:rsidRDefault="00381550" w:rsidP="00062FA6">
      <w:pPr>
        <w:jc w:val="both"/>
        <w:rPr>
          <w:rFonts w:ascii="Arial" w:hAnsi="Arial" w:cs="Arial"/>
        </w:rPr>
      </w:pPr>
    </w:p>
    <w:sectPr w:rsidR="00381550" w:rsidRPr="00062FA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E496" w14:textId="77777777" w:rsidR="00954F7F" w:rsidRDefault="00954F7F" w:rsidP="00954F7F">
      <w:pPr>
        <w:spacing w:after="0" w:line="240" w:lineRule="auto"/>
      </w:pPr>
      <w:r>
        <w:separator/>
      </w:r>
    </w:p>
  </w:endnote>
  <w:endnote w:type="continuationSeparator" w:id="0">
    <w:p w14:paraId="057E6429" w14:textId="77777777" w:rsidR="00954F7F" w:rsidRDefault="00954F7F" w:rsidP="0095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CAE4" w14:textId="77777777" w:rsidR="00954F7F" w:rsidRDefault="00954F7F" w:rsidP="00954F7F">
      <w:pPr>
        <w:spacing w:after="0" w:line="240" w:lineRule="auto"/>
      </w:pPr>
      <w:r>
        <w:separator/>
      </w:r>
    </w:p>
  </w:footnote>
  <w:footnote w:type="continuationSeparator" w:id="0">
    <w:p w14:paraId="5795E9FD" w14:textId="77777777" w:rsidR="00954F7F" w:rsidRDefault="00954F7F" w:rsidP="0095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5BF1" w14:textId="0BCAEC4B" w:rsidR="00954F7F" w:rsidRDefault="007219B2">
    <w:pPr>
      <w:pStyle w:val="Encabezado"/>
    </w:pPr>
    <w:r>
      <w:rPr>
        <w:noProof/>
      </w:rPr>
      <w:drawing>
        <wp:anchor distT="0" distB="0" distL="114300" distR="114300" simplePos="0" relativeHeight="251658240" behindDoc="0" locked="0" layoutInCell="1" allowOverlap="1" wp14:anchorId="676F0268" wp14:editId="437E9396">
          <wp:simplePos x="0" y="0"/>
          <wp:positionH relativeFrom="column">
            <wp:posOffset>4788461</wp:posOffset>
          </wp:positionH>
          <wp:positionV relativeFrom="paragraph">
            <wp:posOffset>-342782</wp:posOffset>
          </wp:positionV>
          <wp:extent cx="1444625" cy="786765"/>
          <wp:effectExtent l="0" t="0" r="3175"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867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13E"/>
    <w:multiLevelType w:val="hybridMultilevel"/>
    <w:tmpl w:val="35C0687A"/>
    <w:lvl w:ilvl="0" w:tplc="210ACB96">
      <w:start w:val="1"/>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E85B5C"/>
    <w:multiLevelType w:val="hybridMultilevel"/>
    <w:tmpl w:val="3B942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41F2E61"/>
    <w:multiLevelType w:val="hybridMultilevel"/>
    <w:tmpl w:val="9E9AF87E"/>
    <w:lvl w:ilvl="0" w:tplc="1120583E">
      <w:numFmt w:val="bullet"/>
      <w:lvlText w:val="•"/>
      <w:lvlJc w:val="left"/>
      <w:pPr>
        <w:ind w:left="1065" w:hanging="705"/>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5644A99"/>
    <w:multiLevelType w:val="hybridMultilevel"/>
    <w:tmpl w:val="2292A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8F1630"/>
    <w:multiLevelType w:val="hybridMultilevel"/>
    <w:tmpl w:val="0F6E607A"/>
    <w:lvl w:ilvl="0" w:tplc="97EEEB7C">
      <w:numFmt w:val="bullet"/>
      <w:lvlText w:val="-"/>
      <w:lvlJc w:val="left"/>
      <w:pPr>
        <w:ind w:left="360" w:hanging="360"/>
      </w:pPr>
      <w:rPr>
        <w:rFonts w:ascii="Calibri" w:eastAsia="Calibri" w:hAnsi="Calibri" w:cs="Calibri" w:hint="default"/>
        <w:lang w:val="en-US"/>
      </w:rPr>
    </w:lvl>
    <w:lvl w:ilvl="1" w:tplc="04030003">
      <w:start w:val="1"/>
      <w:numFmt w:val="bullet"/>
      <w:lvlText w:val="o"/>
      <w:lvlJc w:val="left"/>
      <w:pPr>
        <w:ind w:left="108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5"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start w:val="1"/>
      <w:numFmt w:val="bullet"/>
      <w:lvlText w:val="o"/>
      <w:lvlJc w:val="left"/>
      <w:pPr>
        <w:ind w:left="2226" w:hanging="360"/>
      </w:pPr>
      <w:rPr>
        <w:rFonts w:ascii="Courier New" w:hAnsi="Courier New" w:cs="Courier New" w:hint="default"/>
      </w:rPr>
    </w:lvl>
    <w:lvl w:ilvl="2" w:tplc="04030005">
      <w:start w:val="1"/>
      <w:numFmt w:val="bullet"/>
      <w:lvlText w:val=""/>
      <w:lvlJc w:val="left"/>
      <w:pPr>
        <w:ind w:left="2946" w:hanging="360"/>
      </w:pPr>
      <w:rPr>
        <w:rFonts w:ascii="Wingdings" w:hAnsi="Wingdings" w:hint="default"/>
      </w:rPr>
    </w:lvl>
    <w:lvl w:ilvl="3" w:tplc="04030001">
      <w:start w:val="1"/>
      <w:numFmt w:val="bullet"/>
      <w:lvlText w:val=""/>
      <w:lvlJc w:val="left"/>
      <w:pPr>
        <w:ind w:left="3666" w:hanging="360"/>
      </w:pPr>
      <w:rPr>
        <w:rFonts w:ascii="Symbol" w:hAnsi="Symbol" w:hint="default"/>
      </w:rPr>
    </w:lvl>
    <w:lvl w:ilvl="4" w:tplc="04030003">
      <w:start w:val="1"/>
      <w:numFmt w:val="bullet"/>
      <w:lvlText w:val="o"/>
      <w:lvlJc w:val="left"/>
      <w:pPr>
        <w:ind w:left="4386" w:hanging="360"/>
      </w:pPr>
      <w:rPr>
        <w:rFonts w:ascii="Courier New" w:hAnsi="Courier New" w:cs="Courier New" w:hint="default"/>
      </w:rPr>
    </w:lvl>
    <w:lvl w:ilvl="5" w:tplc="04030005">
      <w:start w:val="1"/>
      <w:numFmt w:val="bullet"/>
      <w:lvlText w:val=""/>
      <w:lvlJc w:val="left"/>
      <w:pPr>
        <w:ind w:left="5106" w:hanging="360"/>
      </w:pPr>
      <w:rPr>
        <w:rFonts w:ascii="Wingdings" w:hAnsi="Wingdings" w:hint="default"/>
      </w:rPr>
    </w:lvl>
    <w:lvl w:ilvl="6" w:tplc="04030001">
      <w:start w:val="1"/>
      <w:numFmt w:val="bullet"/>
      <w:lvlText w:val=""/>
      <w:lvlJc w:val="left"/>
      <w:pPr>
        <w:ind w:left="5826" w:hanging="360"/>
      </w:pPr>
      <w:rPr>
        <w:rFonts w:ascii="Symbol" w:hAnsi="Symbol" w:hint="default"/>
      </w:rPr>
    </w:lvl>
    <w:lvl w:ilvl="7" w:tplc="04030003">
      <w:start w:val="1"/>
      <w:numFmt w:val="bullet"/>
      <w:lvlText w:val="o"/>
      <w:lvlJc w:val="left"/>
      <w:pPr>
        <w:ind w:left="6546" w:hanging="360"/>
      </w:pPr>
      <w:rPr>
        <w:rFonts w:ascii="Courier New" w:hAnsi="Courier New" w:cs="Courier New" w:hint="default"/>
      </w:rPr>
    </w:lvl>
    <w:lvl w:ilvl="8" w:tplc="04030005">
      <w:start w:val="1"/>
      <w:numFmt w:val="bullet"/>
      <w:lvlText w:val=""/>
      <w:lvlJc w:val="left"/>
      <w:pPr>
        <w:ind w:left="7266" w:hanging="360"/>
      </w:pPr>
      <w:rPr>
        <w:rFonts w:ascii="Wingdings" w:hAnsi="Wingdings" w:hint="default"/>
      </w:rPr>
    </w:lvl>
  </w:abstractNum>
  <w:abstractNum w:abstractNumId="6" w15:restartNumberingAfterBreak="0">
    <w:nsid w:val="4ADA414D"/>
    <w:multiLevelType w:val="multilevel"/>
    <w:tmpl w:val="68F4B0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F22ECB"/>
    <w:multiLevelType w:val="hybridMultilevel"/>
    <w:tmpl w:val="CC42760A"/>
    <w:lvl w:ilvl="0" w:tplc="971CA9B4">
      <w:numFmt w:val="bullet"/>
      <w:lvlText w:val="-"/>
      <w:lvlJc w:val="left"/>
      <w:pPr>
        <w:ind w:left="1065" w:hanging="705"/>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5AA07AA"/>
    <w:multiLevelType w:val="multilevel"/>
    <w:tmpl w:val="D6BA158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AE6EA2"/>
    <w:multiLevelType w:val="hybridMultilevel"/>
    <w:tmpl w:val="2688BB72"/>
    <w:lvl w:ilvl="0" w:tplc="CCAED1D4">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47470683">
    <w:abstractNumId w:val="6"/>
  </w:num>
  <w:num w:numId="2" w16cid:durableId="684945419">
    <w:abstractNumId w:val="1"/>
  </w:num>
  <w:num w:numId="3" w16cid:durableId="2111507513">
    <w:abstractNumId w:val="2"/>
  </w:num>
  <w:num w:numId="4" w16cid:durableId="709453460">
    <w:abstractNumId w:val="9"/>
  </w:num>
  <w:num w:numId="5" w16cid:durableId="1015886582">
    <w:abstractNumId w:val="7"/>
  </w:num>
  <w:num w:numId="6" w16cid:durableId="404567837">
    <w:abstractNumId w:val="3"/>
  </w:num>
  <w:num w:numId="7" w16cid:durableId="209173617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131309">
    <w:abstractNumId w:val="5"/>
  </w:num>
  <w:num w:numId="9" w16cid:durableId="874082495">
    <w:abstractNumId w:val="8"/>
  </w:num>
  <w:num w:numId="10" w16cid:durableId="66875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51"/>
    <w:rsid w:val="0002304E"/>
    <w:rsid w:val="00062FA6"/>
    <w:rsid w:val="000647D6"/>
    <w:rsid w:val="001100DF"/>
    <w:rsid w:val="00275C51"/>
    <w:rsid w:val="002C3BE2"/>
    <w:rsid w:val="00381550"/>
    <w:rsid w:val="003E11D8"/>
    <w:rsid w:val="00404ED5"/>
    <w:rsid w:val="004346E1"/>
    <w:rsid w:val="005A23E0"/>
    <w:rsid w:val="007219B2"/>
    <w:rsid w:val="00784086"/>
    <w:rsid w:val="00954F7F"/>
    <w:rsid w:val="00994C0A"/>
    <w:rsid w:val="00AB601B"/>
    <w:rsid w:val="00B138B8"/>
    <w:rsid w:val="00BE0E6C"/>
    <w:rsid w:val="00CD1C38"/>
    <w:rsid w:val="00D26FB4"/>
    <w:rsid w:val="00FB5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67E1A4"/>
  <w15:chartTrackingRefBased/>
  <w15:docId w15:val="{32D1BADC-8324-4F71-B0F3-22561961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F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4F7F"/>
    <w:rPr>
      <w:lang w:val="ca-ES"/>
    </w:rPr>
  </w:style>
  <w:style w:type="paragraph" w:styleId="Piedepgina">
    <w:name w:val="footer"/>
    <w:basedOn w:val="Normal"/>
    <w:link w:val="PiedepginaCar"/>
    <w:uiPriority w:val="99"/>
    <w:unhideWhenUsed/>
    <w:rsid w:val="00954F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4F7F"/>
    <w:rPr>
      <w:lang w:val="ca-ES"/>
    </w:rPr>
  </w:style>
  <w:style w:type="paragraph" w:styleId="Prrafodelista">
    <w:name w:val="List Paragraph"/>
    <w:aliases w:val="Lista 1,body 2,lp1,lp11,List Paragraph1,Lista sin Numerar,Párrafo de lista 1"/>
    <w:basedOn w:val="Normal"/>
    <w:link w:val="PrrafodelistaCar"/>
    <w:uiPriority w:val="34"/>
    <w:qFormat/>
    <w:rsid w:val="00994C0A"/>
    <w:pPr>
      <w:ind w:left="720"/>
      <w:contextualSpacing/>
    </w:pPr>
  </w:style>
  <w:style w:type="character" w:customStyle="1" w:styleId="PrrafodelistaCar">
    <w:name w:val="Párrafo de lista Car"/>
    <w:aliases w:val="Lista 1 Car,body 2 Car,lp1 Car,lp11 Car,List Paragraph1 Car,Lista sin Numerar Car,Párrafo de lista 1 Car"/>
    <w:link w:val="Prrafodelista"/>
    <w:uiPriority w:val="34"/>
    <w:locked/>
    <w:rsid w:val="004346E1"/>
    <w:rPr>
      <w:lang w:val="ca-ES"/>
    </w:rPr>
  </w:style>
  <w:style w:type="paragraph" w:customStyle="1" w:styleId="xxmsonormal">
    <w:name w:val="x_x_msonormal"/>
    <w:basedOn w:val="Normal"/>
    <w:rsid w:val="00062FA6"/>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788">
      <w:bodyDiv w:val="1"/>
      <w:marLeft w:val="0"/>
      <w:marRight w:val="0"/>
      <w:marTop w:val="0"/>
      <w:marBottom w:val="0"/>
      <w:divBdr>
        <w:top w:val="none" w:sz="0" w:space="0" w:color="auto"/>
        <w:left w:val="none" w:sz="0" w:space="0" w:color="auto"/>
        <w:bottom w:val="none" w:sz="0" w:space="0" w:color="auto"/>
        <w:right w:val="none" w:sz="0" w:space="0" w:color="auto"/>
      </w:divBdr>
    </w:div>
    <w:div w:id="215744896">
      <w:bodyDiv w:val="1"/>
      <w:marLeft w:val="0"/>
      <w:marRight w:val="0"/>
      <w:marTop w:val="0"/>
      <w:marBottom w:val="0"/>
      <w:divBdr>
        <w:top w:val="none" w:sz="0" w:space="0" w:color="auto"/>
        <w:left w:val="none" w:sz="0" w:space="0" w:color="auto"/>
        <w:bottom w:val="none" w:sz="0" w:space="0" w:color="auto"/>
        <w:right w:val="none" w:sz="0" w:space="0" w:color="auto"/>
      </w:divBdr>
    </w:div>
    <w:div w:id="595361712">
      <w:bodyDiv w:val="1"/>
      <w:marLeft w:val="0"/>
      <w:marRight w:val="0"/>
      <w:marTop w:val="0"/>
      <w:marBottom w:val="0"/>
      <w:divBdr>
        <w:top w:val="none" w:sz="0" w:space="0" w:color="auto"/>
        <w:left w:val="none" w:sz="0" w:space="0" w:color="auto"/>
        <w:bottom w:val="none" w:sz="0" w:space="0" w:color="auto"/>
        <w:right w:val="none" w:sz="0" w:space="0" w:color="auto"/>
      </w:divBdr>
    </w:div>
    <w:div w:id="897712972">
      <w:bodyDiv w:val="1"/>
      <w:marLeft w:val="0"/>
      <w:marRight w:val="0"/>
      <w:marTop w:val="0"/>
      <w:marBottom w:val="0"/>
      <w:divBdr>
        <w:top w:val="none" w:sz="0" w:space="0" w:color="auto"/>
        <w:left w:val="none" w:sz="0" w:space="0" w:color="auto"/>
        <w:bottom w:val="none" w:sz="0" w:space="0" w:color="auto"/>
        <w:right w:val="none" w:sz="0" w:space="0" w:color="auto"/>
      </w:divBdr>
    </w:div>
    <w:div w:id="946161449">
      <w:bodyDiv w:val="1"/>
      <w:marLeft w:val="0"/>
      <w:marRight w:val="0"/>
      <w:marTop w:val="0"/>
      <w:marBottom w:val="0"/>
      <w:divBdr>
        <w:top w:val="none" w:sz="0" w:space="0" w:color="auto"/>
        <w:left w:val="none" w:sz="0" w:space="0" w:color="auto"/>
        <w:bottom w:val="none" w:sz="0" w:space="0" w:color="auto"/>
        <w:right w:val="none" w:sz="0" w:space="0" w:color="auto"/>
      </w:divBdr>
    </w:div>
    <w:div w:id="1322544978">
      <w:bodyDiv w:val="1"/>
      <w:marLeft w:val="0"/>
      <w:marRight w:val="0"/>
      <w:marTop w:val="0"/>
      <w:marBottom w:val="0"/>
      <w:divBdr>
        <w:top w:val="none" w:sz="0" w:space="0" w:color="auto"/>
        <w:left w:val="none" w:sz="0" w:space="0" w:color="auto"/>
        <w:bottom w:val="none" w:sz="0" w:space="0" w:color="auto"/>
        <w:right w:val="none" w:sz="0" w:space="0" w:color="auto"/>
      </w:divBdr>
    </w:div>
    <w:div w:id="1524898675">
      <w:bodyDiv w:val="1"/>
      <w:marLeft w:val="0"/>
      <w:marRight w:val="0"/>
      <w:marTop w:val="0"/>
      <w:marBottom w:val="0"/>
      <w:divBdr>
        <w:top w:val="none" w:sz="0" w:space="0" w:color="auto"/>
        <w:left w:val="none" w:sz="0" w:space="0" w:color="auto"/>
        <w:bottom w:val="none" w:sz="0" w:space="0" w:color="auto"/>
        <w:right w:val="none" w:sz="0" w:space="0" w:color="auto"/>
      </w:divBdr>
    </w:div>
    <w:div w:id="1617246900">
      <w:bodyDiv w:val="1"/>
      <w:marLeft w:val="0"/>
      <w:marRight w:val="0"/>
      <w:marTop w:val="0"/>
      <w:marBottom w:val="0"/>
      <w:divBdr>
        <w:top w:val="none" w:sz="0" w:space="0" w:color="auto"/>
        <w:left w:val="none" w:sz="0" w:space="0" w:color="auto"/>
        <w:bottom w:val="none" w:sz="0" w:space="0" w:color="auto"/>
        <w:right w:val="none" w:sz="0" w:space="0" w:color="auto"/>
      </w:divBdr>
    </w:div>
    <w:div w:id="1795900280">
      <w:bodyDiv w:val="1"/>
      <w:marLeft w:val="0"/>
      <w:marRight w:val="0"/>
      <w:marTop w:val="0"/>
      <w:marBottom w:val="0"/>
      <w:divBdr>
        <w:top w:val="none" w:sz="0" w:space="0" w:color="auto"/>
        <w:left w:val="none" w:sz="0" w:space="0" w:color="auto"/>
        <w:bottom w:val="none" w:sz="0" w:space="0" w:color="auto"/>
        <w:right w:val="none" w:sz="0" w:space="0" w:color="auto"/>
      </w:divBdr>
    </w:div>
    <w:div w:id="1888712675">
      <w:bodyDiv w:val="1"/>
      <w:marLeft w:val="0"/>
      <w:marRight w:val="0"/>
      <w:marTop w:val="0"/>
      <w:marBottom w:val="0"/>
      <w:divBdr>
        <w:top w:val="none" w:sz="0" w:space="0" w:color="auto"/>
        <w:left w:val="none" w:sz="0" w:space="0" w:color="auto"/>
        <w:bottom w:val="none" w:sz="0" w:space="0" w:color="auto"/>
        <w:right w:val="none" w:sz="0" w:space="0" w:color="auto"/>
      </w:divBdr>
    </w:div>
    <w:div w:id="21438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1677</Words>
  <Characters>9225</Characters>
  <Application>Microsoft Office Word</Application>
  <DocSecurity>0</DocSecurity>
  <Lines>76</Lines>
  <Paragraphs>21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Adrià</dc:creator>
  <cp:keywords/>
  <dc:description/>
  <cp:lastModifiedBy>Francesc Heras</cp:lastModifiedBy>
  <cp:revision>13</cp:revision>
  <dcterms:created xsi:type="dcterms:W3CDTF">2022-11-23T10:23:00Z</dcterms:created>
  <dcterms:modified xsi:type="dcterms:W3CDTF">2025-04-30T09:42:00Z</dcterms:modified>
</cp:coreProperties>
</file>