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18F" w:rsidRPr="003F718F" w:rsidRDefault="003F718F" w:rsidP="003F718F">
      <w:pPr>
        <w:spacing w:after="0" w:line="240" w:lineRule="auto"/>
        <w:ind w:left="720" w:hanging="436"/>
        <w:jc w:val="center"/>
        <w:rPr>
          <w:rFonts w:ascii="Arial" w:hAnsi="Arial"/>
          <w:b/>
          <w:color w:val="000000"/>
          <w:sz w:val="24"/>
          <w:szCs w:val="24"/>
        </w:rPr>
      </w:pPr>
      <w:bookmarkStart w:id="0" w:name="_GoBack"/>
      <w:bookmarkEnd w:id="0"/>
      <w:r w:rsidRPr="003F718F">
        <w:rPr>
          <w:rFonts w:ascii="Arial" w:hAnsi="Arial"/>
          <w:b/>
          <w:color w:val="000000"/>
          <w:sz w:val="24"/>
          <w:szCs w:val="24"/>
        </w:rPr>
        <w:t>ANNEX II AL PCAP</w:t>
      </w:r>
    </w:p>
    <w:p w:rsidR="003F718F" w:rsidRPr="003F718F" w:rsidRDefault="003F718F" w:rsidP="003F718F">
      <w:pPr>
        <w:spacing w:after="0" w:line="240" w:lineRule="auto"/>
        <w:ind w:left="720" w:hanging="11"/>
        <w:jc w:val="both"/>
        <w:rPr>
          <w:rFonts w:ascii="Arial" w:hAnsi="Arial"/>
          <w:color w:val="000000"/>
          <w:sz w:val="24"/>
          <w:szCs w:val="24"/>
        </w:rPr>
      </w:pPr>
    </w:p>
    <w:p w:rsidR="003F718F" w:rsidRPr="003F718F" w:rsidRDefault="003F718F" w:rsidP="003F718F">
      <w:pPr>
        <w:spacing w:after="0" w:line="240" w:lineRule="auto"/>
        <w:ind w:left="720" w:hanging="11"/>
        <w:jc w:val="both"/>
        <w:rPr>
          <w:rFonts w:ascii="Arial" w:hAnsi="Arial"/>
          <w:color w:val="000000"/>
          <w:sz w:val="24"/>
          <w:szCs w:val="24"/>
        </w:rPr>
      </w:pPr>
      <w:r w:rsidRPr="003F718F">
        <w:rPr>
          <w:rFonts w:ascii="Arial" w:hAnsi="Arial"/>
          <w:color w:val="000000"/>
          <w:sz w:val="24"/>
          <w:szCs w:val="24"/>
        </w:rPr>
        <w:t>Exp. 2025/4891/3084</w:t>
      </w:r>
    </w:p>
    <w:p w:rsidR="003F718F" w:rsidRPr="003F718F" w:rsidRDefault="003F718F" w:rsidP="003F718F">
      <w:pPr>
        <w:spacing w:after="0" w:line="240" w:lineRule="auto"/>
        <w:ind w:left="720" w:hanging="11"/>
        <w:jc w:val="both"/>
        <w:rPr>
          <w:rFonts w:ascii="Arial" w:hAnsi="Arial"/>
          <w:color w:val="000000"/>
          <w:sz w:val="24"/>
          <w:szCs w:val="24"/>
        </w:rPr>
      </w:pPr>
      <w:r w:rsidRPr="003F718F">
        <w:rPr>
          <w:rFonts w:ascii="Arial" w:hAnsi="Arial"/>
          <w:color w:val="000000"/>
          <w:sz w:val="24"/>
          <w:szCs w:val="24"/>
        </w:rPr>
        <w:t>Obres de millora de la plaça Ramon Trias Fargas a la intersecció de les avingudes Jacint Esteva i Fontanet i Països Catalans d’Esplugues de Llobregat</w:t>
      </w:r>
    </w:p>
    <w:p w:rsidR="003F718F" w:rsidRPr="003F718F" w:rsidRDefault="003F718F" w:rsidP="003F718F">
      <w:pPr>
        <w:spacing w:after="0" w:line="240" w:lineRule="auto"/>
        <w:ind w:left="720" w:hanging="11"/>
        <w:jc w:val="center"/>
        <w:rPr>
          <w:rFonts w:ascii="Arial" w:hAnsi="Arial"/>
          <w:color w:val="000000"/>
          <w:sz w:val="24"/>
          <w:szCs w:val="24"/>
        </w:rPr>
      </w:pPr>
    </w:p>
    <w:p w:rsidR="003F718F" w:rsidRPr="003F718F" w:rsidRDefault="003F718F" w:rsidP="003F718F">
      <w:pPr>
        <w:spacing w:after="0" w:line="240" w:lineRule="auto"/>
        <w:ind w:left="720" w:hanging="11"/>
        <w:jc w:val="center"/>
        <w:rPr>
          <w:rFonts w:ascii="Arial" w:hAnsi="Arial"/>
          <w:color w:val="000000"/>
          <w:sz w:val="24"/>
          <w:szCs w:val="24"/>
        </w:rPr>
      </w:pPr>
    </w:p>
    <w:p w:rsidR="003F718F" w:rsidRPr="003F718F" w:rsidRDefault="003F718F" w:rsidP="003F718F">
      <w:pPr>
        <w:spacing w:after="0" w:line="240" w:lineRule="auto"/>
        <w:ind w:left="709" w:hanging="283"/>
        <w:jc w:val="center"/>
        <w:rPr>
          <w:rFonts w:ascii="Arial" w:hAnsi="Arial"/>
          <w:b/>
          <w:color w:val="000000"/>
          <w:sz w:val="24"/>
          <w:szCs w:val="24"/>
        </w:rPr>
      </w:pPr>
      <w:r w:rsidRPr="003F718F">
        <w:rPr>
          <w:rFonts w:ascii="Arial" w:hAnsi="Arial"/>
          <w:b/>
          <w:color w:val="000000"/>
          <w:sz w:val="24"/>
          <w:szCs w:val="24"/>
        </w:rPr>
        <w:t>Model de proposta econòmica a inserir en el sobre ÚNIC</w:t>
      </w:r>
    </w:p>
    <w:p w:rsidR="003F718F" w:rsidRPr="003F718F" w:rsidRDefault="003F718F" w:rsidP="003F718F">
      <w:pPr>
        <w:spacing w:after="0" w:line="240" w:lineRule="auto"/>
        <w:ind w:left="709" w:hanging="283"/>
        <w:jc w:val="center"/>
        <w:rPr>
          <w:rFonts w:ascii="Arial" w:hAnsi="Arial"/>
          <w:b/>
          <w:color w:val="000000"/>
          <w:sz w:val="24"/>
          <w:szCs w:val="24"/>
        </w:rPr>
      </w:pPr>
    </w:p>
    <w:p w:rsidR="003F718F" w:rsidRPr="003F718F" w:rsidRDefault="003F718F" w:rsidP="003F718F">
      <w:pPr>
        <w:spacing w:after="0" w:line="240" w:lineRule="auto"/>
        <w:ind w:left="720" w:hanging="11"/>
        <w:jc w:val="both"/>
        <w:rPr>
          <w:rFonts w:ascii="Arial" w:eastAsia="Times New Roman" w:hAnsi="Arial"/>
          <w:color w:val="000000"/>
          <w:sz w:val="24"/>
          <w:szCs w:val="24"/>
          <w:lang w:eastAsia="es-ES"/>
        </w:rPr>
      </w:pPr>
      <w:r w:rsidRPr="003F718F">
        <w:rPr>
          <w:rFonts w:ascii="Arial" w:eastAsia="Times New Roman" w:hAnsi="Arial"/>
          <w:color w:val="000000"/>
          <w:sz w:val="24"/>
          <w:szCs w:val="24"/>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assabentat/da de les condicions exigides per optar a la contractació relativa a </w:t>
      </w:r>
      <w:r w:rsidRPr="003F718F">
        <w:rPr>
          <w:rFonts w:ascii="Arial" w:eastAsia="Times New Roman" w:hAnsi="Arial"/>
          <w:b/>
          <w:color w:val="000000"/>
          <w:sz w:val="24"/>
          <w:szCs w:val="24"/>
          <w:lang w:eastAsia="es-ES"/>
        </w:rPr>
        <w:t xml:space="preserve">l’execució de les obres </w:t>
      </w:r>
      <w:r w:rsidRPr="003F718F">
        <w:rPr>
          <w:rFonts w:ascii="Arial" w:hAnsi="Arial"/>
          <w:b/>
          <w:color w:val="000000"/>
          <w:sz w:val="24"/>
          <w:szCs w:val="24"/>
        </w:rPr>
        <w:t>de millora de la plaça Ramon Trias Fargas a la intersecció de les avingudes Jacint Esteva i Fontanet i Països Catalans d’Esplugues de Llobregat</w:t>
      </w:r>
      <w:r w:rsidRPr="003F718F">
        <w:rPr>
          <w:rFonts w:ascii="Arial" w:eastAsia="Times New Roman" w:hAnsi="Arial"/>
          <w:color w:val="000000"/>
          <w:sz w:val="24"/>
          <w:szCs w:val="24"/>
          <w:lang w:eastAsia="es-ES"/>
        </w:rPr>
        <w:t>, es compromet a portar-la a terme amb subjecció al Plec de Clàusules Administratives Particulars i al Projecte d’execució d’obres, que accepta íntegrament.</w:t>
      </w:r>
    </w:p>
    <w:p w:rsidR="003F718F" w:rsidRPr="003F718F" w:rsidRDefault="003F718F" w:rsidP="003F718F">
      <w:pPr>
        <w:spacing w:after="0" w:line="240" w:lineRule="auto"/>
        <w:ind w:left="709"/>
        <w:jc w:val="both"/>
        <w:rPr>
          <w:rFonts w:ascii="Arial" w:eastAsia="Times New Roman" w:hAnsi="Arial"/>
          <w:color w:val="000000"/>
          <w:sz w:val="24"/>
          <w:szCs w:val="24"/>
          <w:lang w:eastAsia="es-ES"/>
        </w:rPr>
      </w:pPr>
    </w:p>
    <w:p w:rsidR="003F718F" w:rsidRPr="003F718F" w:rsidRDefault="003F718F" w:rsidP="003F718F">
      <w:pPr>
        <w:spacing w:after="0" w:line="240" w:lineRule="auto"/>
        <w:ind w:left="709"/>
        <w:jc w:val="both"/>
        <w:rPr>
          <w:rFonts w:ascii="Arial" w:eastAsia="Times New Roman" w:hAnsi="Arial"/>
          <w:color w:val="000000"/>
          <w:sz w:val="24"/>
          <w:szCs w:val="24"/>
          <w:lang w:eastAsia="es-ES"/>
        </w:rPr>
      </w:pPr>
      <w:r w:rsidRPr="003F718F">
        <w:rPr>
          <w:rFonts w:ascii="Arial" w:eastAsia="Times New Roman" w:hAnsi="Arial"/>
          <w:color w:val="000000"/>
          <w:sz w:val="24"/>
          <w:szCs w:val="24"/>
          <w:lang w:eastAsia="es-ES"/>
        </w:rPr>
        <w:t>El pressupost de licitació es distribueix en el següent quadre:</w:t>
      </w:r>
    </w:p>
    <w:p w:rsidR="003F718F" w:rsidRPr="003F718F" w:rsidRDefault="003F718F" w:rsidP="003F718F">
      <w:pPr>
        <w:spacing w:after="0" w:line="240" w:lineRule="auto"/>
        <w:jc w:val="both"/>
        <w:rPr>
          <w:rFonts w:ascii="Times New Roman" w:eastAsia="Times New Roman" w:hAnsi="Times New Roman" w:cs="Times New Roman"/>
          <w:sz w:val="24"/>
          <w:szCs w:val="20"/>
          <w:lang w:eastAsia="es-ES"/>
        </w:rPr>
      </w:pPr>
    </w:p>
    <w:tbl>
      <w:tblPr>
        <w:tblW w:w="9645" w:type="dxa"/>
        <w:tblInd w:w="-390" w:type="dxa"/>
        <w:tblBorders>
          <w:top w:val="nil"/>
          <w:left w:val="nil"/>
          <w:bottom w:val="nil"/>
          <w:right w:val="nil"/>
          <w:insideH w:val="nil"/>
          <w:insideV w:val="nil"/>
        </w:tblBorders>
        <w:tblLayout w:type="fixed"/>
        <w:tblLook w:val="0600" w:firstRow="0" w:lastRow="0" w:firstColumn="0" w:lastColumn="0" w:noHBand="1" w:noVBand="1"/>
      </w:tblPr>
      <w:tblGrid>
        <w:gridCol w:w="5790"/>
        <w:gridCol w:w="675"/>
        <w:gridCol w:w="1530"/>
        <w:gridCol w:w="1650"/>
      </w:tblGrid>
      <w:tr w:rsidR="003F718F" w:rsidRPr="003F718F" w:rsidTr="00C76DE2">
        <w:trPr>
          <w:trHeight w:val="35"/>
        </w:trPr>
        <w:tc>
          <w:tcPr>
            <w:tcW w:w="5790" w:type="dxa"/>
            <w:tcBorders>
              <w:top w:val="single" w:sz="6" w:space="0" w:color="000000"/>
              <w:left w:val="single" w:sz="6" w:space="0" w:color="000000"/>
              <w:bottom w:val="single" w:sz="6" w:space="0" w:color="000000"/>
              <w:right w:val="single" w:sz="6" w:space="0" w:color="CCCCCC"/>
            </w:tcBorders>
            <w:tcMar>
              <w:top w:w="40" w:type="dxa"/>
              <w:left w:w="40" w:type="dxa"/>
              <w:bottom w:w="40" w:type="dxa"/>
              <w:right w:w="40" w:type="dxa"/>
            </w:tcMar>
            <w:vAlign w:val="bottom"/>
          </w:tcPr>
          <w:p w:rsidR="003F718F" w:rsidRPr="003F718F" w:rsidRDefault="003F718F" w:rsidP="003F718F">
            <w:pPr>
              <w:widowControl w:val="0"/>
              <w:spacing w:after="0" w:line="276" w:lineRule="auto"/>
              <w:jc w:val="center"/>
              <w:rPr>
                <w:rFonts w:ascii="Arial" w:eastAsia="Arial" w:hAnsi="Arial"/>
                <w:sz w:val="20"/>
                <w:szCs w:val="20"/>
                <w:lang w:val="ca" w:eastAsia="es-ES"/>
              </w:rPr>
            </w:pPr>
            <w:r w:rsidRPr="003F718F">
              <w:rPr>
                <w:rFonts w:ascii="Arial" w:eastAsia="Arial" w:hAnsi="Arial"/>
                <w:b/>
                <w:sz w:val="20"/>
                <w:szCs w:val="20"/>
                <w:lang w:val="ca" w:eastAsia="es-ES"/>
              </w:rPr>
              <w:t>PRESSUPOST OBRA</w:t>
            </w:r>
          </w:p>
        </w:tc>
        <w:tc>
          <w:tcPr>
            <w:tcW w:w="6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3F718F" w:rsidRPr="003F718F" w:rsidRDefault="003F718F" w:rsidP="003F718F">
            <w:pPr>
              <w:widowControl w:val="0"/>
              <w:spacing w:after="0" w:line="276" w:lineRule="auto"/>
              <w:jc w:val="center"/>
              <w:rPr>
                <w:rFonts w:ascii="Arial" w:eastAsia="Arial" w:hAnsi="Arial"/>
                <w:sz w:val="20"/>
                <w:szCs w:val="20"/>
                <w:lang w:val="ca" w:eastAsia="es-ES"/>
              </w:rPr>
            </w:pPr>
            <w:r w:rsidRPr="003F718F">
              <w:rPr>
                <w:rFonts w:ascii="Arial" w:eastAsia="Arial" w:hAnsi="Arial"/>
                <w:b/>
                <w:lang w:val="ca" w:eastAsia="es-ES"/>
              </w:rPr>
              <w:t>projecte</w:t>
            </w:r>
          </w:p>
        </w:tc>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3F718F" w:rsidRPr="003F718F" w:rsidRDefault="003F718F" w:rsidP="003F718F">
            <w:pPr>
              <w:widowControl w:val="0"/>
              <w:spacing w:after="0" w:line="276" w:lineRule="auto"/>
              <w:jc w:val="center"/>
              <w:rPr>
                <w:rFonts w:ascii="Arial" w:eastAsia="Arial" w:hAnsi="Arial"/>
                <w:sz w:val="20"/>
                <w:szCs w:val="20"/>
                <w:lang w:val="ca" w:eastAsia="es-ES"/>
              </w:rPr>
            </w:pPr>
            <w:r w:rsidRPr="003F718F">
              <w:rPr>
                <w:rFonts w:ascii="Arial" w:eastAsia="Arial" w:hAnsi="Arial"/>
                <w:b/>
                <w:lang w:val="ca" w:eastAsia="es-ES"/>
              </w:rPr>
              <w:t>oferta licitador</w:t>
            </w:r>
          </w:p>
        </w:tc>
      </w:tr>
      <w:tr w:rsidR="003F718F" w:rsidRPr="003F718F" w:rsidTr="00C76DE2">
        <w:trPr>
          <w:trHeight w:val="22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TREBALLS PREVIS I ENDERROCS</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566,91 €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5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MOVIMENT DE TERRES</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311,02 €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16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PREPARACIÓ DEL TERRENY</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6.173,06 €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16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ESTRUCTURES I IMPERMEABILITZACIONS</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lang w:val="ca" w:eastAsia="es-ES"/>
              </w:rPr>
              <w:t xml:space="preserve">     </w:t>
            </w: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3.433,48 €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19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PAVIMENTACIÓ</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7.124,13 €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2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EQUIPAMENTS</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141.333,39 €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31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VEGETACIÓ</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44.344,82 €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55"/>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XARXA DE REG</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12.495,10 €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150"/>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SEGURETAT I SALUT</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2.550,96 €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b/>
                <w:sz w:val="20"/>
                <w:szCs w:val="20"/>
                <w:lang w:val="ca" w:eastAsia="es-ES"/>
              </w:rPr>
              <w:t>2.550,96 €</w:t>
            </w:r>
          </w:p>
        </w:tc>
      </w:tr>
      <w:tr w:rsidR="003F718F" w:rsidRPr="003F718F" w:rsidTr="00C76DE2">
        <w:trPr>
          <w:trHeight w:val="180"/>
        </w:trPr>
        <w:tc>
          <w:tcPr>
            <w:tcW w:w="5790" w:type="dxa"/>
            <w:tcBorders>
              <w:top w:val="single" w:sz="6" w:space="0" w:color="CCCCCC"/>
              <w:left w:val="single" w:sz="6" w:space="0" w:color="000000"/>
              <w:bottom w:val="single" w:sz="6" w:space="0" w:color="000000"/>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color w:val="666666"/>
                <w:sz w:val="20"/>
                <w:szCs w:val="20"/>
                <w:lang w:val="ca" w:eastAsia="es-ES"/>
              </w:rPr>
              <w:t>GESTIÓ DE RESIDUS</w:t>
            </w:r>
          </w:p>
        </w:tc>
        <w:tc>
          <w:tcPr>
            <w:tcW w:w="67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5.317,13 €</w:t>
            </w:r>
          </w:p>
        </w:tc>
        <w:tc>
          <w:tcPr>
            <w:tcW w:w="165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90"/>
        </w:trPr>
        <w:tc>
          <w:tcPr>
            <w:tcW w:w="5790" w:type="dxa"/>
            <w:tcBorders>
              <w:top w:val="single" w:sz="6" w:space="0" w:color="CCCCCC"/>
              <w:left w:val="single" w:sz="6" w:space="0" w:color="000000"/>
              <w:bottom w:val="single" w:sz="6" w:space="0" w:color="000000"/>
              <w:right w:val="single" w:sz="6" w:space="0" w:color="FFFFFF"/>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b/>
                <w:lang w:val="ca" w:eastAsia="es-ES"/>
              </w:rPr>
              <w:t>PEM Pressupost Execució Material TOTAL</w:t>
            </w:r>
          </w:p>
        </w:tc>
        <w:tc>
          <w:tcPr>
            <w:tcW w:w="6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b/>
                <w:sz w:val="20"/>
                <w:szCs w:val="20"/>
                <w:lang w:val="ca" w:eastAsia="es-ES"/>
              </w:rPr>
              <w:t>223.650,00 €</w:t>
            </w:r>
          </w:p>
        </w:tc>
        <w:tc>
          <w:tcPr>
            <w:tcW w:w="165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70"/>
        </w:trPr>
        <w:tc>
          <w:tcPr>
            <w:tcW w:w="5790" w:type="dxa"/>
            <w:tcBorders>
              <w:top w:val="single" w:sz="6" w:space="0" w:color="CCCCCC"/>
              <w:left w:val="single" w:sz="6" w:space="0" w:color="000000"/>
              <w:bottom w:val="single" w:sz="6" w:space="0" w:color="FFFFFF"/>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lang w:val="ca" w:eastAsia="es-ES"/>
              </w:rPr>
              <w:t>BI Benefici industrial</w:t>
            </w:r>
          </w:p>
        </w:tc>
        <w:tc>
          <w:tcPr>
            <w:tcW w:w="675"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6%</w:t>
            </w:r>
          </w:p>
        </w:tc>
        <w:tc>
          <w:tcPr>
            <w:tcW w:w="153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13.419,00 €</w:t>
            </w:r>
          </w:p>
        </w:tc>
        <w:tc>
          <w:tcPr>
            <w:tcW w:w="1650" w:type="dxa"/>
            <w:tcBorders>
              <w:top w:val="single" w:sz="6" w:space="0" w:color="CCCCCC"/>
              <w:left w:val="single" w:sz="6" w:space="0" w:color="CCCCCC"/>
              <w:bottom w:val="single" w:sz="6" w:space="0" w:color="FFFFFF"/>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315"/>
        </w:trPr>
        <w:tc>
          <w:tcPr>
            <w:tcW w:w="5790" w:type="dxa"/>
            <w:tcBorders>
              <w:top w:val="single" w:sz="6" w:space="0" w:color="CCCCCC"/>
              <w:left w:val="single" w:sz="6" w:space="0" w:color="000000"/>
              <w:bottom w:val="single" w:sz="6" w:space="0" w:color="000000"/>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lang w:val="ca" w:eastAsia="es-ES"/>
              </w:rPr>
              <w:t>DG Despeses generals</w:t>
            </w:r>
          </w:p>
        </w:tc>
        <w:tc>
          <w:tcPr>
            <w:tcW w:w="67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13%</w:t>
            </w:r>
          </w:p>
        </w:tc>
        <w:tc>
          <w:tcPr>
            <w:tcW w:w="153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29.074,50 €</w:t>
            </w:r>
          </w:p>
        </w:tc>
        <w:tc>
          <w:tcPr>
            <w:tcW w:w="165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10"/>
        </w:trPr>
        <w:tc>
          <w:tcPr>
            <w:tcW w:w="5790" w:type="dxa"/>
            <w:tcBorders>
              <w:top w:val="single" w:sz="6" w:space="0" w:color="CCCCCC"/>
              <w:left w:val="single" w:sz="6" w:space="0" w:color="000000"/>
              <w:bottom w:val="single" w:sz="6" w:space="0" w:color="000000"/>
              <w:right w:val="single" w:sz="6" w:space="0" w:color="FFFFFF"/>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b/>
                <w:lang w:val="ca" w:eastAsia="es-ES"/>
              </w:rPr>
              <w:lastRenderedPageBreak/>
              <w:t>PEC Pressupost d'execució per contracte (s/IVA)</w:t>
            </w:r>
          </w:p>
        </w:tc>
        <w:tc>
          <w:tcPr>
            <w:tcW w:w="6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b/>
                <w:sz w:val="20"/>
                <w:szCs w:val="20"/>
                <w:lang w:val="ca" w:eastAsia="es-ES"/>
              </w:rPr>
              <w:t>266.143,50 €</w:t>
            </w:r>
          </w:p>
        </w:tc>
        <w:tc>
          <w:tcPr>
            <w:tcW w:w="165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40"/>
        </w:trPr>
        <w:tc>
          <w:tcPr>
            <w:tcW w:w="5790" w:type="dxa"/>
            <w:tcBorders>
              <w:top w:val="single" w:sz="6" w:space="0" w:color="CCCCCC"/>
              <w:left w:val="single" w:sz="6" w:space="0" w:color="000000"/>
              <w:bottom w:val="single" w:sz="6" w:space="0" w:color="000000"/>
              <w:right w:val="single" w:sz="6" w:space="0" w:color="FFFFFF"/>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lang w:val="ca" w:eastAsia="es-ES"/>
              </w:rPr>
              <w:t>IVA</w:t>
            </w:r>
          </w:p>
        </w:tc>
        <w:tc>
          <w:tcPr>
            <w:tcW w:w="67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21%</w:t>
            </w:r>
          </w:p>
        </w:tc>
        <w:tc>
          <w:tcPr>
            <w:tcW w:w="153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sz w:val="20"/>
                <w:szCs w:val="20"/>
                <w:lang w:val="ca" w:eastAsia="es-ES"/>
              </w:rPr>
              <w:t>55.890,14 €</w:t>
            </w:r>
          </w:p>
        </w:tc>
        <w:tc>
          <w:tcPr>
            <w:tcW w:w="165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r w:rsidR="003F718F" w:rsidRPr="003F718F" w:rsidTr="00C76DE2">
        <w:trPr>
          <w:trHeight w:val="240"/>
        </w:trPr>
        <w:tc>
          <w:tcPr>
            <w:tcW w:w="5790" w:type="dxa"/>
            <w:tcBorders>
              <w:top w:val="single" w:sz="6" w:space="0" w:color="CCCCCC"/>
              <w:left w:val="single" w:sz="6" w:space="0" w:color="000000"/>
              <w:bottom w:val="single" w:sz="6" w:space="0" w:color="000000"/>
              <w:right w:val="single" w:sz="6" w:space="0" w:color="FFFFFF"/>
            </w:tcBorders>
            <w:shd w:val="clear" w:color="auto" w:fill="34A85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r w:rsidRPr="003F718F">
              <w:rPr>
                <w:rFonts w:ascii="Arial" w:eastAsia="Arial" w:hAnsi="Arial"/>
                <w:b/>
                <w:lang w:val="ca" w:eastAsia="es-ES"/>
              </w:rPr>
              <w:t>PEC Pressupost d'execució per contracte (amb IVA)</w:t>
            </w:r>
          </w:p>
        </w:tc>
        <w:tc>
          <w:tcPr>
            <w:tcW w:w="675"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c>
          <w:tcPr>
            <w:tcW w:w="1530"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rsidR="003F718F" w:rsidRPr="003F718F" w:rsidRDefault="003F718F" w:rsidP="003F718F">
            <w:pPr>
              <w:widowControl w:val="0"/>
              <w:spacing w:after="0" w:line="276" w:lineRule="auto"/>
              <w:jc w:val="right"/>
              <w:rPr>
                <w:rFonts w:ascii="Arial" w:eastAsia="Arial" w:hAnsi="Arial"/>
                <w:sz w:val="20"/>
                <w:szCs w:val="20"/>
                <w:lang w:val="ca" w:eastAsia="es-ES"/>
              </w:rPr>
            </w:pPr>
            <w:r w:rsidRPr="003F718F">
              <w:rPr>
                <w:rFonts w:ascii="Arial" w:eastAsia="Arial" w:hAnsi="Arial"/>
                <w:b/>
                <w:sz w:val="20"/>
                <w:szCs w:val="20"/>
                <w:lang w:val="ca" w:eastAsia="es-ES"/>
              </w:rPr>
              <w:t>322.033,64 €</w:t>
            </w:r>
          </w:p>
        </w:tc>
        <w:tc>
          <w:tcPr>
            <w:tcW w:w="1650"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rsidR="003F718F" w:rsidRPr="003F718F" w:rsidRDefault="003F718F" w:rsidP="003F718F">
            <w:pPr>
              <w:widowControl w:val="0"/>
              <w:spacing w:after="0" w:line="276" w:lineRule="auto"/>
              <w:rPr>
                <w:rFonts w:ascii="Arial" w:eastAsia="Arial" w:hAnsi="Arial"/>
                <w:sz w:val="20"/>
                <w:szCs w:val="20"/>
                <w:lang w:val="ca" w:eastAsia="es-ES"/>
              </w:rPr>
            </w:pPr>
          </w:p>
        </w:tc>
      </w:tr>
    </w:tbl>
    <w:p w:rsidR="003F718F" w:rsidRPr="003F718F" w:rsidRDefault="003F718F" w:rsidP="003F718F">
      <w:pPr>
        <w:spacing w:after="0" w:line="240" w:lineRule="auto"/>
        <w:jc w:val="both"/>
        <w:rPr>
          <w:rFonts w:ascii="Times New Roman" w:eastAsia="Times New Roman" w:hAnsi="Times New Roman" w:cs="Times New Roman"/>
          <w:sz w:val="24"/>
          <w:szCs w:val="20"/>
          <w:lang w:eastAsia="es-ES"/>
        </w:rPr>
      </w:pPr>
    </w:p>
    <w:p w:rsidR="003F718F" w:rsidRPr="003F718F" w:rsidRDefault="003F718F" w:rsidP="003F718F">
      <w:pPr>
        <w:spacing w:after="0" w:line="240" w:lineRule="auto"/>
        <w:ind w:left="720"/>
        <w:jc w:val="both"/>
        <w:rPr>
          <w:rFonts w:ascii="Arial" w:eastAsia="Times New Roman" w:hAnsi="Arial"/>
          <w:color w:val="000000"/>
          <w:sz w:val="24"/>
          <w:lang w:eastAsia="es-ES"/>
        </w:rPr>
      </w:pPr>
      <w:r w:rsidRPr="003F718F">
        <w:rPr>
          <w:rFonts w:ascii="Arial" w:eastAsia="Times New Roman" w:hAnsi="Arial"/>
          <w:color w:val="000000"/>
          <w:sz w:val="24"/>
          <w:lang w:eastAsia="es-ES"/>
        </w:rPr>
        <w:t xml:space="preserve">L’oferta que no presenti tota la documentació requerida al sobre únic: el pressupost de licitació, amb idèntics amidaments i qualitats que les del projecte, incloent els preus unitaris, pressupostos parcials per capítols i el resum del pressupost, serà exclosa del present procediment de licitació.  </w:t>
      </w:r>
    </w:p>
    <w:p w:rsidR="003F718F" w:rsidRPr="003F718F" w:rsidRDefault="003F718F" w:rsidP="003F718F">
      <w:pPr>
        <w:spacing w:after="0" w:line="240" w:lineRule="auto"/>
        <w:ind w:left="720"/>
        <w:jc w:val="both"/>
        <w:rPr>
          <w:rFonts w:ascii="Arial" w:eastAsia="Times New Roman" w:hAnsi="Arial"/>
          <w:color w:val="000000"/>
          <w:sz w:val="24"/>
          <w:lang w:eastAsia="es-ES"/>
        </w:rPr>
      </w:pPr>
    </w:p>
    <w:p w:rsidR="003F718F" w:rsidRPr="003F718F" w:rsidRDefault="003F718F" w:rsidP="003F718F">
      <w:pPr>
        <w:tabs>
          <w:tab w:val="left" w:pos="9072"/>
        </w:tabs>
        <w:spacing w:after="0" w:line="240" w:lineRule="auto"/>
        <w:ind w:left="426" w:hanging="1"/>
        <w:jc w:val="both"/>
        <w:rPr>
          <w:rFonts w:ascii="Arial" w:eastAsia="Times New Roman" w:hAnsi="Arial"/>
          <w:color w:val="000000"/>
          <w:sz w:val="24"/>
          <w:szCs w:val="20"/>
          <w:lang w:eastAsia="es-ES"/>
        </w:rPr>
      </w:pPr>
      <w:r w:rsidRPr="003F718F">
        <w:rPr>
          <w:rFonts w:ascii="Arial" w:eastAsia="Times New Roman" w:hAnsi="Arial"/>
          <w:color w:val="000000"/>
          <w:sz w:val="24"/>
          <w:szCs w:val="20"/>
          <w:lang w:eastAsia="es-ES"/>
        </w:rPr>
        <w:t xml:space="preserve">Les partides sobre les que no es poden modificar els preus de projecte són les corresponents als capítols de Seguretat i Salut (incloses al PEM del pressupost del projecte). </w:t>
      </w:r>
    </w:p>
    <w:p w:rsidR="003F718F" w:rsidRPr="003F718F" w:rsidRDefault="003F718F" w:rsidP="003F718F">
      <w:pPr>
        <w:spacing w:after="0" w:line="240" w:lineRule="auto"/>
        <w:ind w:left="720"/>
        <w:jc w:val="both"/>
        <w:rPr>
          <w:rFonts w:ascii="Arial" w:eastAsia="Times New Roman" w:hAnsi="Arial"/>
          <w:color w:val="000000"/>
          <w:sz w:val="24"/>
          <w:lang w:eastAsia="es-ES"/>
        </w:rPr>
      </w:pPr>
    </w:p>
    <w:p w:rsidR="003F718F" w:rsidRPr="003F718F" w:rsidRDefault="003F718F" w:rsidP="003F718F">
      <w:pPr>
        <w:spacing w:after="0" w:line="240" w:lineRule="auto"/>
        <w:ind w:left="720"/>
        <w:jc w:val="both"/>
        <w:rPr>
          <w:rFonts w:ascii="Arial" w:eastAsia="Times New Roman" w:hAnsi="Arial"/>
          <w:color w:val="000000"/>
          <w:sz w:val="24"/>
          <w:lang w:eastAsia="es-ES"/>
        </w:rPr>
      </w:pPr>
    </w:p>
    <w:p w:rsidR="003F718F" w:rsidRPr="003F718F" w:rsidRDefault="003F718F" w:rsidP="003F718F">
      <w:pPr>
        <w:spacing w:after="0" w:line="240" w:lineRule="auto"/>
        <w:ind w:left="851"/>
        <w:jc w:val="both"/>
        <w:rPr>
          <w:rFonts w:ascii="Arial" w:eastAsia="Times New Roman" w:hAnsi="Arial"/>
          <w:color w:val="000000"/>
          <w:sz w:val="24"/>
          <w:szCs w:val="24"/>
          <w:lang w:eastAsia="es-ES"/>
        </w:rPr>
      </w:pPr>
    </w:p>
    <w:p w:rsidR="003F718F" w:rsidRPr="003F718F" w:rsidRDefault="003F718F" w:rsidP="003F718F">
      <w:pPr>
        <w:spacing w:after="0" w:line="240" w:lineRule="auto"/>
        <w:ind w:left="851"/>
        <w:jc w:val="both"/>
        <w:rPr>
          <w:rFonts w:ascii="Arial" w:eastAsia="Times New Roman" w:hAnsi="Arial"/>
          <w:color w:val="FF0000"/>
          <w:szCs w:val="20"/>
          <w:lang w:eastAsia="es-ES"/>
        </w:rPr>
      </w:pPr>
      <w:r w:rsidRPr="003F718F">
        <w:rPr>
          <w:rFonts w:ascii="Arial" w:eastAsia="Times New Roman" w:hAnsi="Arial"/>
          <w:color w:val="000000"/>
          <w:sz w:val="24"/>
          <w:szCs w:val="24"/>
          <w:lang w:eastAsia="es-ES"/>
        </w:rPr>
        <w:t>(En cas d’oferir les millores, cal indicar-ho marcant amb una X la casella que correspongui):</w:t>
      </w:r>
    </w:p>
    <w:p w:rsidR="003F718F" w:rsidRPr="003F718F" w:rsidRDefault="003F718F" w:rsidP="003F718F">
      <w:pPr>
        <w:spacing w:after="0" w:line="240" w:lineRule="auto"/>
        <w:jc w:val="both"/>
        <w:rPr>
          <w:rFonts w:ascii="Arial" w:eastAsia="Times New Roman" w:hAnsi="Arial"/>
          <w:i/>
          <w:sz w:val="24"/>
          <w:szCs w:val="24"/>
          <w:lang w:eastAsia="es-ES"/>
        </w:rPr>
      </w:pPr>
    </w:p>
    <w:p w:rsidR="003F718F" w:rsidRPr="003F718F" w:rsidRDefault="003F718F" w:rsidP="003F718F">
      <w:pPr>
        <w:numPr>
          <w:ilvl w:val="0"/>
          <w:numId w:val="1"/>
        </w:numPr>
        <w:spacing w:after="0" w:line="240" w:lineRule="auto"/>
        <w:jc w:val="both"/>
        <w:rPr>
          <w:rFonts w:ascii="Arial" w:eastAsia="Times New Roman" w:hAnsi="Arial"/>
          <w:b/>
          <w:color w:val="000000"/>
          <w:sz w:val="24"/>
          <w:szCs w:val="20"/>
          <w:lang w:eastAsia="es-ES"/>
        </w:rPr>
      </w:pPr>
      <w:r w:rsidRPr="003F718F">
        <w:rPr>
          <w:rFonts w:ascii="Arial" w:eastAsia="Times New Roman" w:hAnsi="Arial"/>
          <w:b/>
          <w:color w:val="000000"/>
          <w:sz w:val="24"/>
          <w:szCs w:val="20"/>
          <w:lang w:eastAsia="es-ES"/>
        </w:rPr>
        <w:t>Millora en l’eficiència i estalvi en l’ús dels recursos hídrics per al reg de les zones de plantació objecte de l’obra mitjançant la substitució del reg tradicional inclòs al projecte per un reg per irrigació en funció de la humitat real i en cada instant del terreny.</w:t>
      </w: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tbl>
      <w:tblPr>
        <w:tblW w:w="3225" w:type="dxa"/>
        <w:tblInd w:w="1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90"/>
      </w:tblGrid>
      <w:tr w:rsidR="003F718F" w:rsidRPr="003F718F" w:rsidTr="00C76DE2">
        <w:trPr>
          <w:tblHeader/>
        </w:trPr>
        <w:tc>
          <w:tcPr>
            <w:tcW w:w="2535"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r w:rsidRPr="003F718F">
              <w:rPr>
                <w:rFonts w:ascii="Novarese Md BT" w:eastAsia="Times New Roman" w:hAnsi="Novarese Md BT" w:cs="Times New Roman"/>
                <w:b/>
                <w:color w:val="000000"/>
                <w:sz w:val="24"/>
                <w:szCs w:val="20"/>
                <w:lang w:eastAsia="es-ES"/>
              </w:rPr>
              <w:t>Sí, s’ofereix la millora</w:t>
            </w:r>
          </w:p>
        </w:tc>
        <w:tc>
          <w:tcPr>
            <w:tcW w:w="690"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p>
        </w:tc>
      </w:tr>
      <w:tr w:rsidR="003F718F" w:rsidRPr="003F718F" w:rsidTr="00C76DE2">
        <w:trPr>
          <w:tblHeader/>
        </w:trPr>
        <w:tc>
          <w:tcPr>
            <w:tcW w:w="2535"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r w:rsidRPr="003F718F">
              <w:rPr>
                <w:rFonts w:ascii="Novarese Md BT" w:eastAsia="Times New Roman" w:hAnsi="Novarese Md BT" w:cs="Times New Roman"/>
                <w:b/>
                <w:color w:val="000000"/>
                <w:sz w:val="24"/>
                <w:szCs w:val="20"/>
                <w:lang w:eastAsia="es-ES"/>
              </w:rPr>
              <w:t>No s’ofereix la millora</w:t>
            </w:r>
          </w:p>
        </w:tc>
        <w:tc>
          <w:tcPr>
            <w:tcW w:w="690"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p>
        </w:tc>
      </w:tr>
    </w:tbl>
    <w:p w:rsidR="003F718F" w:rsidRPr="003F718F" w:rsidRDefault="003F718F" w:rsidP="003F718F">
      <w:pPr>
        <w:spacing w:after="0" w:line="240" w:lineRule="auto"/>
        <w:ind w:left="1146"/>
        <w:jc w:val="both"/>
        <w:rPr>
          <w:rFonts w:ascii="Arial" w:eastAsia="Times New Roman" w:hAnsi="Arial"/>
          <w:b/>
          <w:bCs/>
          <w:color w:val="000000"/>
          <w:sz w:val="24"/>
          <w:szCs w:val="24"/>
          <w:lang w:eastAsia="es-ES"/>
        </w:rPr>
      </w:pPr>
    </w:p>
    <w:p w:rsidR="003F718F" w:rsidRPr="003F718F" w:rsidRDefault="003F718F" w:rsidP="003F718F">
      <w:pPr>
        <w:numPr>
          <w:ilvl w:val="0"/>
          <w:numId w:val="1"/>
        </w:numPr>
        <w:spacing w:after="0" w:line="240" w:lineRule="auto"/>
        <w:jc w:val="both"/>
        <w:rPr>
          <w:rFonts w:ascii="Arial" w:eastAsia="Times New Roman" w:hAnsi="Arial"/>
          <w:b/>
          <w:bCs/>
          <w:color w:val="000000"/>
          <w:sz w:val="24"/>
          <w:szCs w:val="24"/>
          <w:lang w:eastAsia="es-ES"/>
        </w:rPr>
      </w:pPr>
      <w:r w:rsidRPr="003F718F">
        <w:rPr>
          <w:rFonts w:ascii="Arial" w:eastAsia="Times New Roman" w:hAnsi="Arial"/>
          <w:b/>
          <w:color w:val="000000"/>
          <w:sz w:val="24"/>
          <w:szCs w:val="20"/>
          <w:lang w:eastAsia="es-ES"/>
        </w:rPr>
        <w:t>Millora en l’estabilitat de les plantacions en talús mitjançant la incorporació d’una malla de coco.</w:t>
      </w:r>
    </w:p>
    <w:p w:rsidR="003F718F" w:rsidRPr="003F718F" w:rsidRDefault="003F718F" w:rsidP="003F718F">
      <w:pPr>
        <w:spacing w:after="0" w:line="240" w:lineRule="auto"/>
        <w:ind w:left="1146"/>
        <w:jc w:val="both"/>
        <w:rPr>
          <w:rFonts w:ascii="Arial" w:eastAsia="Times New Roman" w:hAnsi="Arial"/>
          <w:b/>
          <w:bCs/>
          <w:color w:val="000000"/>
          <w:sz w:val="24"/>
          <w:szCs w:val="24"/>
          <w:lang w:eastAsia="es-ES"/>
        </w:rPr>
      </w:pPr>
    </w:p>
    <w:tbl>
      <w:tblPr>
        <w:tblW w:w="3225" w:type="dxa"/>
        <w:tblInd w:w="1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90"/>
      </w:tblGrid>
      <w:tr w:rsidR="003F718F" w:rsidRPr="003F718F" w:rsidTr="00C76DE2">
        <w:trPr>
          <w:tblHeader/>
        </w:trPr>
        <w:tc>
          <w:tcPr>
            <w:tcW w:w="2535"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r w:rsidRPr="003F718F">
              <w:rPr>
                <w:rFonts w:ascii="Novarese Md BT" w:eastAsia="Times New Roman" w:hAnsi="Novarese Md BT" w:cs="Times New Roman"/>
                <w:b/>
                <w:color w:val="000000"/>
                <w:sz w:val="24"/>
                <w:szCs w:val="20"/>
                <w:lang w:eastAsia="es-ES"/>
              </w:rPr>
              <w:t>Sí, s’ofereix la millora</w:t>
            </w:r>
          </w:p>
        </w:tc>
        <w:tc>
          <w:tcPr>
            <w:tcW w:w="690"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p>
        </w:tc>
      </w:tr>
      <w:tr w:rsidR="003F718F" w:rsidRPr="003F718F" w:rsidTr="00C76DE2">
        <w:trPr>
          <w:tblHeader/>
        </w:trPr>
        <w:tc>
          <w:tcPr>
            <w:tcW w:w="2535"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r w:rsidRPr="003F718F">
              <w:rPr>
                <w:rFonts w:ascii="Novarese Md BT" w:eastAsia="Times New Roman" w:hAnsi="Novarese Md BT" w:cs="Times New Roman"/>
                <w:b/>
                <w:color w:val="000000"/>
                <w:sz w:val="24"/>
                <w:szCs w:val="20"/>
                <w:lang w:eastAsia="es-ES"/>
              </w:rPr>
              <w:t>No s’ofereix la millora</w:t>
            </w:r>
          </w:p>
        </w:tc>
        <w:tc>
          <w:tcPr>
            <w:tcW w:w="690"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p>
        </w:tc>
      </w:tr>
    </w:tbl>
    <w:p w:rsidR="003F718F" w:rsidRPr="003F718F" w:rsidRDefault="003F718F" w:rsidP="003F718F">
      <w:pPr>
        <w:spacing w:after="0" w:line="240" w:lineRule="auto"/>
        <w:ind w:left="1146"/>
        <w:jc w:val="both"/>
        <w:rPr>
          <w:rFonts w:ascii="Arial" w:eastAsia="Times New Roman" w:hAnsi="Arial"/>
          <w:b/>
          <w:bCs/>
          <w:color w:val="000000"/>
          <w:sz w:val="24"/>
          <w:szCs w:val="24"/>
          <w:lang w:eastAsia="es-ES"/>
        </w:rPr>
      </w:pPr>
    </w:p>
    <w:p w:rsidR="003F718F" w:rsidRPr="003F718F" w:rsidRDefault="003F718F" w:rsidP="003F718F">
      <w:pPr>
        <w:spacing w:after="0" w:line="240" w:lineRule="auto"/>
        <w:ind w:left="1146"/>
        <w:jc w:val="both"/>
        <w:rPr>
          <w:rFonts w:ascii="Arial" w:eastAsia="Times New Roman" w:hAnsi="Arial"/>
          <w:b/>
          <w:bCs/>
          <w:color w:val="000000"/>
          <w:sz w:val="24"/>
          <w:szCs w:val="24"/>
          <w:lang w:eastAsia="es-ES"/>
        </w:rPr>
      </w:pPr>
    </w:p>
    <w:p w:rsidR="003F718F" w:rsidRPr="003F718F" w:rsidRDefault="003F718F" w:rsidP="003F718F">
      <w:pPr>
        <w:numPr>
          <w:ilvl w:val="0"/>
          <w:numId w:val="1"/>
        </w:numPr>
        <w:spacing w:after="0" w:line="240" w:lineRule="auto"/>
        <w:jc w:val="both"/>
        <w:rPr>
          <w:rFonts w:ascii="Arial" w:eastAsia="Times New Roman" w:hAnsi="Arial"/>
          <w:b/>
          <w:bCs/>
          <w:color w:val="000000"/>
          <w:sz w:val="24"/>
          <w:szCs w:val="24"/>
          <w:lang w:eastAsia="es-ES"/>
        </w:rPr>
      </w:pPr>
      <w:r w:rsidRPr="003F718F">
        <w:rPr>
          <w:rFonts w:ascii="Arial" w:eastAsia="Times New Roman" w:hAnsi="Arial"/>
          <w:b/>
          <w:color w:val="000000"/>
          <w:sz w:val="24"/>
          <w:szCs w:val="20"/>
          <w:lang w:eastAsia="es-ES"/>
        </w:rPr>
        <w:t>Millora en la seguretat del manteniment de l’arbustiva del talús.</w:t>
      </w:r>
    </w:p>
    <w:p w:rsidR="003F718F" w:rsidRPr="003F718F" w:rsidRDefault="003F718F" w:rsidP="003F718F">
      <w:pPr>
        <w:spacing w:after="0" w:line="240" w:lineRule="auto"/>
        <w:ind w:left="1146"/>
        <w:jc w:val="both"/>
        <w:rPr>
          <w:rFonts w:ascii="Arial" w:eastAsia="Times New Roman" w:hAnsi="Arial"/>
          <w:b/>
          <w:bCs/>
          <w:color w:val="000000"/>
          <w:sz w:val="24"/>
          <w:szCs w:val="24"/>
          <w:lang w:eastAsia="es-ES"/>
        </w:rPr>
      </w:pPr>
    </w:p>
    <w:tbl>
      <w:tblPr>
        <w:tblW w:w="3225" w:type="dxa"/>
        <w:tblInd w:w="1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90"/>
      </w:tblGrid>
      <w:tr w:rsidR="003F718F" w:rsidRPr="003F718F" w:rsidTr="00C76DE2">
        <w:trPr>
          <w:tblHeader/>
        </w:trPr>
        <w:tc>
          <w:tcPr>
            <w:tcW w:w="2535"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r w:rsidRPr="003F718F">
              <w:rPr>
                <w:rFonts w:ascii="Novarese Md BT" w:eastAsia="Times New Roman" w:hAnsi="Novarese Md BT" w:cs="Times New Roman"/>
                <w:b/>
                <w:color w:val="000000"/>
                <w:sz w:val="24"/>
                <w:szCs w:val="20"/>
                <w:lang w:eastAsia="es-ES"/>
              </w:rPr>
              <w:t>Sí, s’ofereix la millora</w:t>
            </w:r>
          </w:p>
        </w:tc>
        <w:tc>
          <w:tcPr>
            <w:tcW w:w="690"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p>
        </w:tc>
      </w:tr>
      <w:tr w:rsidR="003F718F" w:rsidRPr="003F718F" w:rsidTr="00C76DE2">
        <w:trPr>
          <w:tblHeader/>
        </w:trPr>
        <w:tc>
          <w:tcPr>
            <w:tcW w:w="2535"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r w:rsidRPr="003F718F">
              <w:rPr>
                <w:rFonts w:ascii="Novarese Md BT" w:eastAsia="Times New Roman" w:hAnsi="Novarese Md BT" w:cs="Times New Roman"/>
                <w:b/>
                <w:color w:val="000000"/>
                <w:sz w:val="24"/>
                <w:szCs w:val="20"/>
                <w:lang w:eastAsia="es-ES"/>
              </w:rPr>
              <w:t>No s’ofereix la millora</w:t>
            </w:r>
          </w:p>
        </w:tc>
        <w:tc>
          <w:tcPr>
            <w:tcW w:w="690" w:type="dxa"/>
            <w:shd w:val="clear" w:color="auto" w:fill="auto"/>
            <w:tcMar>
              <w:top w:w="100" w:type="dxa"/>
              <w:left w:w="100" w:type="dxa"/>
              <w:bottom w:w="100" w:type="dxa"/>
              <w:right w:w="100" w:type="dxa"/>
            </w:tcMar>
          </w:tcPr>
          <w:p w:rsidR="003F718F" w:rsidRPr="003F718F" w:rsidRDefault="003F718F" w:rsidP="003F718F">
            <w:pPr>
              <w:widowControl w:val="0"/>
              <w:pBdr>
                <w:top w:val="nil"/>
                <w:left w:val="nil"/>
                <w:bottom w:val="nil"/>
                <w:right w:val="nil"/>
                <w:between w:val="nil"/>
              </w:pBdr>
              <w:spacing w:after="0" w:line="240" w:lineRule="auto"/>
              <w:rPr>
                <w:rFonts w:ascii="Novarese Md BT" w:eastAsia="Times New Roman" w:hAnsi="Novarese Md BT" w:cs="Times New Roman"/>
                <w:b/>
                <w:color w:val="000000"/>
                <w:sz w:val="24"/>
                <w:szCs w:val="20"/>
                <w:lang w:eastAsia="es-ES"/>
              </w:rPr>
            </w:pPr>
          </w:p>
        </w:tc>
      </w:tr>
    </w:tbl>
    <w:p w:rsidR="003F718F" w:rsidRPr="003F718F" w:rsidRDefault="003F718F" w:rsidP="003F718F">
      <w:pPr>
        <w:spacing w:after="0" w:line="240" w:lineRule="auto"/>
        <w:ind w:left="709"/>
        <w:jc w:val="both"/>
        <w:rPr>
          <w:rFonts w:ascii="Arial" w:eastAsia="Times New Roman" w:hAnsi="Arial"/>
          <w:color w:val="000000"/>
          <w:sz w:val="24"/>
          <w:szCs w:val="24"/>
          <w:lang w:eastAsia="es-ES"/>
        </w:rPr>
      </w:pP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p w:rsidR="003F718F" w:rsidRPr="003F718F" w:rsidRDefault="003F718F" w:rsidP="003F718F">
      <w:pPr>
        <w:tabs>
          <w:tab w:val="left" w:pos="9072"/>
          <w:tab w:val="left" w:pos="9072"/>
        </w:tabs>
        <w:spacing w:after="0" w:line="276" w:lineRule="auto"/>
        <w:jc w:val="both"/>
        <w:rPr>
          <w:rFonts w:ascii="Arial" w:eastAsia="Times New Roman" w:hAnsi="Arial"/>
          <w:color w:val="000000"/>
          <w:sz w:val="24"/>
          <w:szCs w:val="20"/>
          <w:highlight w:val="white"/>
          <w:u w:val="single"/>
          <w:lang w:eastAsia="es-ES"/>
        </w:rPr>
      </w:pPr>
      <w:r w:rsidRPr="003F718F">
        <w:rPr>
          <w:rFonts w:ascii="Arial" w:eastAsia="Times New Roman" w:hAnsi="Arial"/>
          <w:color w:val="000000"/>
          <w:sz w:val="24"/>
          <w:szCs w:val="20"/>
          <w:highlight w:val="white"/>
          <w:u w:val="single"/>
          <w:lang w:eastAsia="es-ES"/>
        </w:rPr>
        <w:t>Per als tres casos anteriors, en cas de marcar més d’una opció es considerarà que NO s’ofereix la millora.</w:t>
      </w: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p w:rsidR="003F718F" w:rsidRPr="003F718F" w:rsidRDefault="003F718F" w:rsidP="003F718F">
      <w:pPr>
        <w:spacing w:after="0" w:line="240" w:lineRule="auto"/>
        <w:jc w:val="both"/>
        <w:rPr>
          <w:rFonts w:ascii="Arial" w:eastAsia="Times New Roman" w:hAnsi="Arial"/>
          <w:b/>
          <w:bCs/>
          <w:color w:val="000000"/>
          <w:sz w:val="24"/>
          <w:szCs w:val="24"/>
          <w:lang w:eastAsia="es-ES"/>
        </w:rPr>
      </w:pPr>
    </w:p>
    <w:p w:rsidR="003F718F" w:rsidRPr="003F718F" w:rsidRDefault="003F718F" w:rsidP="003F718F">
      <w:pPr>
        <w:spacing w:after="0" w:line="240" w:lineRule="auto"/>
        <w:ind w:left="709"/>
        <w:jc w:val="both"/>
        <w:rPr>
          <w:rFonts w:ascii="Arial" w:eastAsia="Times New Roman" w:hAnsi="Arial"/>
          <w:color w:val="000000"/>
          <w:sz w:val="24"/>
          <w:szCs w:val="24"/>
          <w:lang w:eastAsia="es-ES"/>
        </w:rPr>
      </w:pPr>
    </w:p>
    <w:p w:rsidR="003F718F" w:rsidRPr="003F718F" w:rsidRDefault="003F718F" w:rsidP="003F718F">
      <w:pPr>
        <w:spacing w:after="0" w:line="240" w:lineRule="auto"/>
        <w:ind w:left="709"/>
        <w:jc w:val="both"/>
        <w:rPr>
          <w:rFonts w:ascii="Novarese Md BT" w:eastAsia="Times New Roman" w:hAnsi="Novarese Md BT" w:cs="Times New Roman"/>
          <w:color w:val="000000"/>
          <w:sz w:val="24"/>
          <w:szCs w:val="20"/>
          <w:lang w:eastAsia="es-ES"/>
        </w:rPr>
      </w:pPr>
      <w:r w:rsidRPr="003F718F">
        <w:rPr>
          <w:rFonts w:ascii="Arial" w:eastAsia="Times New Roman" w:hAnsi="Arial"/>
          <w:color w:val="000000"/>
          <w:sz w:val="24"/>
          <w:szCs w:val="24"/>
          <w:lang w:eastAsia="es-ES"/>
        </w:rPr>
        <w:t>(</w:t>
      </w:r>
      <w:r w:rsidRPr="003F718F">
        <w:rPr>
          <w:rFonts w:ascii="Arial" w:eastAsia="Times New Roman" w:hAnsi="Arial"/>
          <w:i/>
          <w:color w:val="000000"/>
          <w:sz w:val="24"/>
          <w:szCs w:val="24"/>
          <w:lang w:eastAsia="es-ES"/>
        </w:rPr>
        <w:t>Data i signatura electrònica</w:t>
      </w:r>
      <w:r w:rsidRPr="003F718F">
        <w:rPr>
          <w:rFonts w:ascii="Arial" w:eastAsia="Times New Roman" w:hAnsi="Arial"/>
          <w:color w:val="000000"/>
          <w:sz w:val="24"/>
          <w:szCs w:val="24"/>
          <w:lang w:eastAsia="es-ES"/>
        </w:rPr>
        <w:t>)."</w:t>
      </w:r>
    </w:p>
    <w:p w:rsidR="00783C2D" w:rsidRDefault="00783C2D"/>
    <w:sectPr w:rsidR="00783C2D" w:rsidSect="00C76DE2">
      <w:headerReference w:type="default" r:id="rId7"/>
      <w:footerReference w:type="even" r:id="rId8"/>
      <w:footerReference w:type="default" r:id="rId9"/>
      <w:headerReference w:type="first" r:id="rId10"/>
      <w:footerReference w:type="first" r:id="rId11"/>
      <w:pgSz w:w="11906" w:h="16838"/>
      <w:pgMar w:top="1418" w:right="1700"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3909">
      <w:pPr>
        <w:spacing w:after="0" w:line="240" w:lineRule="auto"/>
      </w:pPr>
      <w:r>
        <w:separator/>
      </w:r>
    </w:p>
  </w:endnote>
  <w:endnote w:type="continuationSeparator" w:id="0">
    <w:p w:rsidR="00000000" w:rsidRDefault="00B5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varese Md BT">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E2" w:rsidRDefault="00C76DE2" w:rsidP="00C76D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76DE2" w:rsidRDefault="00C76DE2" w:rsidP="00C76DE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E2" w:rsidRDefault="00C76DE2" w:rsidP="00C76D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67</w:t>
    </w:r>
    <w:r>
      <w:rPr>
        <w:rStyle w:val="Nmerodepgina"/>
      </w:rPr>
      <w:fldChar w:fldCharType="end"/>
    </w:r>
  </w:p>
  <w:p w:rsidR="00C76DE2" w:rsidRDefault="00C76DE2" w:rsidP="00C76DE2">
    <w:pPr>
      <w:pStyle w:val="Piedepgina"/>
      <w:ind w:right="360"/>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E2" w:rsidRDefault="00C76DE2">
    <w:pPr>
      <w:pStyle w:val="Piedepgina"/>
    </w:pPr>
    <w:r>
      <w:rPr>
        <w:noProof/>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3909">
      <w:pPr>
        <w:spacing w:after="0" w:line="240" w:lineRule="auto"/>
      </w:pPr>
      <w:r>
        <w:separator/>
      </w:r>
    </w:p>
  </w:footnote>
  <w:footnote w:type="continuationSeparator" w:id="0">
    <w:p w:rsidR="00000000" w:rsidRDefault="00B5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E2" w:rsidRDefault="00B53909">
    <w:pPr>
      <w:pStyle w:val="Encabezado"/>
      <w:rPr>
        <w:noProof/>
        <w:lang w:val="es-ES"/>
      </w:rPr>
    </w:pPr>
    <w:r w:rsidRPr="003F718F">
      <w:rPr>
        <w:noProof/>
        <w:lang w:val="es-ES"/>
      </w:rPr>
      <w:drawing>
        <wp:inline distT="0" distB="0" distL="0" distR="0">
          <wp:extent cx="914400" cy="533400"/>
          <wp:effectExtent l="0" t="0" r="0" b="0"/>
          <wp:docPr id="1" name="Imagen 2"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rsidR="00C76DE2" w:rsidRDefault="00C76D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E2" w:rsidRDefault="00B53909">
    <w:pPr>
      <w:pStyle w:val="Encabezado"/>
      <w:rPr>
        <w:noProof/>
        <w:lang w:val="es-ES"/>
      </w:rPr>
    </w:pPr>
    <w:r w:rsidRPr="003F718F">
      <w:rPr>
        <w:noProof/>
        <w:lang w:val="es-ES"/>
      </w:rPr>
      <w:drawing>
        <wp:inline distT="0" distB="0" distL="0" distR="0">
          <wp:extent cx="914400" cy="533400"/>
          <wp:effectExtent l="0" t="0" r="0" b="0"/>
          <wp:docPr id="2" name="Imagen 1"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rsidR="00C76DE2" w:rsidRDefault="00C76D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92ADF"/>
    <w:multiLevelType w:val="hybridMultilevel"/>
    <w:tmpl w:val="C2B29A3A"/>
    <w:lvl w:ilvl="0" w:tplc="0C0A0001">
      <w:start w:val="1"/>
      <w:numFmt w:val="bullet"/>
      <w:lvlText w:val=""/>
      <w:lvlJc w:val="left"/>
      <w:pPr>
        <w:ind w:left="1146" w:hanging="360"/>
      </w:pPr>
      <w:rPr>
        <w:rFonts w:ascii="Symbol" w:hAnsi="Symbol" w:hint="default"/>
        <w:u w:val="none"/>
      </w:rPr>
    </w:lvl>
    <w:lvl w:ilvl="1" w:tplc="0C0A0003">
      <w:start w:val="1"/>
      <w:numFmt w:val="lowerLetter"/>
      <w:lvlText w:val="%2."/>
      <w:lvlJc w:val="left"/>
      <w:pPr>
        <w:ind w:left="1866" w:hanging="360"/>
      </w:pPr>
    </w:lvl>
    <w:lvl w:ilvl="2" w:tplc="0C0A0005" w:tentative="1">
      <w:start w:val="1"/>
      <w:numFmt w:val="lowerRoman"/>
      <w:lvlText w:val="%3."/>
      <w:lvlJc w:val="right"/>
      <w:pPr>
        <w:ind w:left="2586" w:hanging="180"/>
      </w:pPr>
    </w:lvl>
    <w:lvl w:ilvl="3" w:tplc="0C0A0001" w:tentative="1">
      <w:start w:val="1"/>
      <w:numFmt w:val="decimal"/>
      <w:lvlText w:val="%4."/>
      <w:lvlJc w:val="left"/>
      <w:pPr>
        <w:ind w:left="3306" w:hanging="360"/>
      </w:pPr>
    </w:lvl>
    <w:lvl w:ilvl="4" w:tplc="0C0A0003" w:tentative="1">
      <w:start w:val="1"/>
      <w:numFmt w:val="lowerLetter"/>
      <w:lvlText w:val="%5."/>
      <w:lvlJc w:val="left"/>
      <w:pPr>
        <w:ind w:left="4026" w:hanging="360"/>
      </w:pPr>
    </w:lvl>
    <w:lvl w:ilvl="5" w:tplc="0C0A0005" w:tentative="1">
      <w:start w:val="1"/>
      <w:numFmt w:val="lowerRoman"/>
      <w:lvlText w:val="%6."/>
      <w:lvlJc w:val="right"/>
      <w:pPr>
        <w:ind w:left="4746" w:hanging="180"/>
      </w:pPr>
    </w:lvl>
    <w:lvl w:ilvl="6" w:tplc="0C0A0001" w:tentative="1">
      <w:start w:val="1"/>
      <w:numFmt w:val="decimal"/>
      <w:lvlText w:val="%7."/>
      <w:lvlJc w:val="left"/>
      <w:pPr>
        <w:ind w:left="5466" w:hanging="360"/>
      </w:pPr>
    </w:lvl>
    <w:lvl w:ilvl="7" w:tplc="0C0A0003" w:tentative="1">
      <w:start w:val="1"/>
      <w:numFmt w:val="lowerLetter"/>
      <w:lvlText w:val="%8."/>
      <w:lvlJc w:val="left"/>
      <w:pPr>
        <w:ind w:left="6186" w:hanging="360"/>
      </w:pPr>
    </w:lvl>
    <w:lvl w:ilvl="8" w:tplc="0C0A0005"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8F"/>
    <w:rsid w:val="003F718F"/>
    <w:rsid w:val="00783C2D"/>
    <w:rsid w:val="009B2B6F"/>
    <w:rsid w:val="00B53909"/>
    <w:rsid w:val="00C76DE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93FB33A-4C76-44EB-A1EE-420D1FA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F71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F718F"/>
  </w:style>
  <w:style w:type="paragraph" w:styleId="Piedepgina">
    <w:name w:val="footer"/>
    <w:basedOn w:val="Normal"/>
    <w:link w:val="PiedepginaCar"/>
    <w:uiPriority w:val="99"/>
    <w:rsid w:val="003F718F"/>
    <w:pPr>
      <w:tabs>
        <w:tab w:val="center" w:pos="4252"/>
        <w:tab w:val="right" w:pos="8504"/>
      </w:tabs>
      <w:spacing w:after="0" w:line="240" w:lineRule="auto"/>
    </w:pPr>
    <w:rPr>
      <w:rFonts w:ascii="Novarese Md BT" w:eastAsia="Times New Roman" w:hAnsi="Novarese Md BT" w:cs="Times New Roman"/>
      <w:color w:val="000000"/>
      <w:sz w:val="24"/>
      <w:szCs w:val="20"/>
      <w:lang w:eastAsia="es-ES"/>
    </w:rPr>
  </w:style>
  <w:style w:type="character" w:customStyle="1" w:styleId="PiedepginaCar">
    <w:name w:val="Pie de página Car"/>
    <w:link w:val="Piedepgina"/>
    <w:uiPriority w:val="99"/>
    <w:rsid w:val="003F718F"/>
    <w:rPr>
      <w:rFonts w:ascii="Novarese Md BT" w:eastAsia="Times New Roman" w:hAnsi="Novarese Md BT" w:cs="Times New Roman"/>
      <w:color w:val="000000"/>
      <w:sz w:val="24"/>
      <w:szCs w:val="20"/>
      <w:lang w:eastAsia="es-ES"/>
    </w:rPr>
  </w:style>
  <w:style w:type="character" w:styleId="Nmerodepgina">
    <w:name w:val="page number"/>
    <w:rsid w:val="003F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Ajuntament d Esplugues</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Morales Garcia</dc:creator>
  <cp:keywords/>
  <dc:description/>
  <cp:lastModifiedBy>Eulalia Morales Garcia</cp:lastModifiedBy>
  <cp:revision>2</cp:revision>
  <dcterms:created xsi:type="dcterms:W3CDTF">2025-05-26T07:31:00Z</dcterms:created>
  <dcterms:modified xsi:type="dcterms:W3CDTF">2025-05-26T07:31:00Z</dcterms:modified>
</cp:coreProperties>
</file>