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1DC41" w14:textId="2AEC84F8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b/>
          <w:bCs/>
          <w:color w:val="000000"/>
        </w:rPr>
        <w:t xml:space="preserve">ANNEX </w:t>
      </w:r>
      <w:r w:rsidR="00C54829">
        <w:rPr>
          <w:rFonts w:ascii="Gotham" w:hAnsi="Gotham" w:cs="Arial"/>
          <w:b/>
          <w:bCs/>
          <w:color w:val="000000"/>
        </w:rPr>
        <w:t>9</w:t>
      </w:r>
      <w:r w:rsidRPr="00CB42A1">
        <w:rPr>
          <w:rFonts w:ascii="Gotham" w:hAnsi="Gotham" w:cs="Arial"/>
          <w:b/>
          <w:bCs/>
          <w:color w:val="000000"/>
        </w:rPr>
        <w:t>. DECLARACIÓ RESPONSABLE SOBRE EL COMPLIMENT DEL PRINCIPI DE NO CAUSAR PERJUDICI SIGNIFICATIU ALS SIS OBJECTIUS MEDIAMBIENTALS EN EL SENTIT DE L’ARTICLE 17 DEL REGLAMENT (UE) 2020/852</w:t>
      </w:r>
    </w:p>
    <w:p w14:paraId="0D90B28B" w14:textId="77777777" w:rsidR="00B37386" w:rsidRDefault="00B37386" w:rsidP="00B37386">
      <w:pPr>
        <w:pStyle w:val="AjCosdetext"/>
        <w:spacing w:line="360" w:lineRule="auto"/>
        <w:rPr>
          <w:rFonts w:ascii="Gotham" w:hAnsi="Gotham" w:cs="Calibri"/>
        </w:rPr>
      </w:pPr>
    </w:p>
    <w:p w14:paraId="5A3FBA64" w14:textId="77777777" w:rsidR="00C72627" w:rsidRPr="007B5845" w:rsidRDefault="00C72627" w:rsidP="00C72627">
      <w:pPr>
        <w:pStyle w:val="AjCosdetext"/>
        <w:spacing w:line="360" w:lineRule="auto"/>
        <w:rPr>
          <w:rFonts w:ascii="Gotham" w:hAnsi="Gotham" w:cs="Calibri"/>
        </w:rPr>
      </w:pPr>
      <w:r w:rsidRPr="007B5845">
        <w:rPr>
          <w:rFonts w:ascii="Gotham" w:hAnsi="Gotham" w:cs="Calibri"/>
        </w:rPr>
        <w:t xml:space="preserve">Expedient: </w:t>
      </w:r>
      <w:r w:rsidRPr="007B5845">
        <w:rPr>
          <w:rFonts w:ascii="Gotham" w:hAnsi="Gotham" w:cs="Gotham"/>
        </w:rPr>
        <w:t>2025/000016462</w:t>
      </w:r>
    </w:p>
    <w:p w14:paraId="59DE6DEF" w14:textId="77777777" w:rsidR="00C72627" w:rsidRPr="007B5845" w:rsidRDefault="00C72627" w:rsidP="00C72627">
      <w:pPr>
        <w:pStyle w:val="AjCosdetext"/>
        <w:spacing w:line="360" w:lineRule="auto"/>
        <w:rPr>
          <w:rFonts w:ascii="Gotham" w:hAnsi="Gotham" w:cs="Calibri"/>
        </w:rPr>
      </w:pPr>
    </w:p>
    <w:p w14:paraId="6893EA4E" w14:textId="452C6156" w:rsidR="00B37386" w:rsidRPr="00190CE4" w:rsidRDefault="00C72627" w:rsidP="00C72627">
      <w:pPr>
        <w:pStyle w:val="AjCosdetext"/>
        <w:spacing w:line="360" w:lineRule="auto"/>
        <w:rPr>
          <w:rFonts w:ascii="Gotham" w:hAnsi="Gotham" w:cs="Calibri"/>
        </w:rPr>
      </w:pPr>
      <w:r w:rsidRPr="007B5845">
        <w:rPr>
          <w:rFonts w:ascii="Gotham" w:hAnsi="Gotham" w:cs="Calibri"/>
        </w:rPr>
        <w:t xml:space="preserve">Contracte: </w:t>
      </w:r>
      <w:r w:rsidRPr="007B5845">
        <w:rPr>
          <w:rFonts w:ascii="Gotham" w:hAnsi="Gotham" w:cs="Gotham"/>
        </w:rPr>
        <w:t>Obres del Projecte executiu de l’actuació B2 “Recuperació socioambiental de la Riera d’Argentona” en el marc del Pla de Recuperació, Transformació i Resiliència (PRTR), finança</w:t>
      </w:r>
      <w:bookmarkStart w:id="0" w:name="_GoBack"/>
      <w:bookmarkEnd w:id="0"/>
      <w:r w:rsidRPr="007B5845">
        <w:rPr>
          <w:rFonts w:ascii="Gotham" w:hAnsi="Gotham" w:cs="Gotham"/>
        </w:rPr>
        <w:t>t per la Unió Europea (NextGeneration EU).</w:t>
      </w:r>
      <w:r w:rsidR="00B37386" w:rsidRPr="00190CE4">
        <w:rPr>
          <w:rFonts w:ascii="Gotham" w:hAnsi="Gotham" w:cs="Gotham"/>
        </w:rPr>
        <w:t xml:space="preserve"> </w:t>
      </w:r>
    </w:p>
    <w:p w14:paraId="1593B1E8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Component del Pla de Recuperació, Transformació i Resiliència (PRTR) al qual pertany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l’activitat:</w:t>
      </w:r>
    </w:p>
    <w:p w14:paraId="11BAAC62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Mesura del component PRTR a què pertany l’activitat indicant, si escau, la submesura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365F91"/>
        </w:rPr>
        <w:t>:</w:t>
      </w:r>
    </w:p>
    <w:p w14:paraId="167B25D8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Etiquetatge climàtic i mediambiental assignat a la mesura (reforma o inversió) o a la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submesura del PRTR (si la mesura no disposa d’etiqueta assignada que reconegui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 xml:space="preserve">contribució climàtica i mediambiental, cal indicar “sense etiqueta”): </w:t>
      </w:r>
    </w:p>
    <w:p w14:paraId="58B25D17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Jo, el sotasignat/ada, ............................................................, amb DNI ..........................., en nom propi / en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representació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de</w:t>
      </w:r>
      <w:r w:rsidRPr="00CB42A1">
        <w:rPr>
          <w:rFonts w:ascii="Gotham" w:hAnsi="Gotham" w:cs="Arial"/>
          <w:color w:val="000000"/>
          <w:spacing w:val="-6"/>
        </w:rPr>
        <w:t xml:space="preserve"> </w:t>
      </w:r>
      <w:r w:rsidRPr="00CB42A1">
        <w:rPr>
          <w:rFonts w:ascii="Gotham" w:hAnsi="Gotham" w:cs="Arial"/>
          <w:color w:val="000000"/>
        </w:rPr>
        <w:t>l’entitat ......................................,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amb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NIF......................, en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qualitat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de.............................,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com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 participant en el procediment d’adjudicació del contracte indicat, sota la meva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responsabilitat,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en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matèria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mediambiental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b/>
          <w:bCs/>
          <w:color w:val="000000"/>
        </w:rPr>
        <w:t>declaro</w:t>
      </w:r>
      <w:r w:rsidRPr="00CB42A1">
        <w:rPr>
          <w:rFonts w:ascii="Gotham" w:hAnsi="Gotham" w:cs="Arial"/>
          <w:b/>
          <w:bCs/>
          <w:color w:val="000000"/>
          <w:spacing w:val="2"/>
        </w:rPr>
        <w:t xml:space="preserve"> </w:t>
      </w:r>
      <w:r w:rsidRPr="00CB42A1">
        <w:rPr>
          <w:rFonts w:ascii="Gotham" w:hAnsi="Gotham" w:cs="Arial"/>
          <w:b/>
          <w:bCs/>
          <w:color w:val="000000"/>
        </w:rPr>
        <w:t>que</w:t>
      </w:r>
      <w:r w:rsidRPr="00CB42A1">
        <w:rPr>
          <w:rFonts w:ascii="Gotham" w:hAnsi="Gotham" w:cs="Arial"/>
          <w:color w:val="000000"/>
        </w:rPr>
        <w:t>:</w:t>
      </w:r>
    </w:p>
    <w:p w14:paraId="1496A753" w14:textId="77777777" w:rsidR="00CB42A1" w:rsidRPr="00CB42A1" w:rsidRDefault="00CB42A1" w:rsidP="00CB42A1">
      <w:pPr>
        <w:numPr>
          <w:ilvl w:val="0"/>
          <w:numId w:val="26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que es desenvolupen no ocasionen un perjudici significatiu als següents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objectius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mediambientals:</w:t>
      </w:r>
    </w:p>
    <w:p w14:paraId="729DE208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Mitigació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canvi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climàtic.</w:t>
      </w:r>
    </w:p>
    <w:p w14:paraId="2DF546AB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Adaptació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canvi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climàtic.</w:t>
      </w:r>
    </w:p>
    <w:p w14:paraId="35A4C80B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Ús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sostenible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protecció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recursos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hídrics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marins.</w:t>
      </w:r>
    </w:p>
    <w:p w14:paraId="0D9B1123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Economia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circular,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inclosos 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prevenció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reciclatge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residus.</w:t>
      </w:r>
    </w:p>
    <w:p w14:paraId="10ED159A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Prevenció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control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contaminació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l’atmosfera,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l’aigua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o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sòl.</w:t>
      </w:r>
    </w:p>
    <w:p w14:paraId="72627D06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Protecció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restauració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biodiversitat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els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ecosistemes.</w:t>
      </w:r>
    </w:p>
    <w:p w14:paraId="466805AE" w14:textId="77777777" w:rsidR="00CB42A1" w:rsidRPr="00CB42A1" w:rsidRDefault="00CB42A1" w:rsidP="00CB42A1">
      <w:pPr>
        <w:numPr>
          <w:ilvl w:val="0"/>
          <w:numId w:val="27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s’adeqüen, si escau, a les característiques fixades per a la mesura i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submesura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component 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reflectides en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Pla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2"/>
        </w:rPr>
        <w:t xml:space="preserve"> R</w:t>
      </w:r>
      <w:r w:rsidRPr="00CB42A1">
        <w:rPr>
          <w:rFonts w:ascii="Gotham" w:hAnsi="Gotham"/>
          <w:color w:val="000000"/>
        </w:rPr>
        <w:t>ecuperació,</w:t>
      </w:r>
      <w:r w:rsidRPr="00CB42A1">
        <w:rPr>
          <w:rFonts w:ascii="Gotham" w:hAnsi="Gotham"/>
          <w:color w:val="000000"/>
          <w:spacing w:val="-2"/>
        </w:rPr>
        <w:t xml:space="preserve"> T</w:t>
      </w:r>
      <w:r w:rsidRPr="00CB42A1">
        <w:rPr>
          <w:rFonts w:ascii="Gotham" w:hAnsi="Gotham"/>
          <w:color w:val="000000"/>
        </w:rPr>
        <w:t>ransformació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 Resiliència.</w:t>
      </w:r>
    </w:p>
    <w:p w14:paraId="0B3CC73D" w14:textId="77777777" w:rsidR="00CB42A1" w:rsidRPr="00CB42A1" w:rsidRDefault="00CB42A1" w:rsidP="00CB42A1">
      <w:pPr>
        <w:numPr>
          <w:ilvl w:val="0"/>
          <w:numId w:val="28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que es desenvolupen en el projecte compliran amb la normativa mediambiental vigent que sigui aplicable.</w:t>
      </w:r>
    </w:p>
    <w:p w14:paraId="5A4E3CA3" w14:textId="77777777" w:rsidR="00CB42A1" w:rsidRPr="00CB42A1" w:rsidRDefault="00CB42A1" w:rsidP="00CB42A1">
      <w:pPr>
        <w:spacing w:before="100" w:beforeAutospacing="1" w:line="278" w:lineRule="atLeast"/>
        <w:ind w:right="454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lastRenderedPageBreak/>
        <w:t>Les activitats que es desenvolupen no estan excloses per al finançament pel Pla de</w:t>
      </w:r>
      <w:r w:rsidRPr="00CB42A1">
        <w:rPr>
          <w:rFonts w:ascii="Gotham" w:hAnsi="Gotham" w:cs="Arial"/>
          <w:color w:val="000000"/>
          <w:spacing w:val="2"/>
        </w:rPr>
        <w:t xml:space="preserve"> R</w:t>
      </w:r>
      <w:r w:rsidRPr="00CB42A1">
        <w:rPr>
          <w:rFonts w:ascii="Gotham" w:hAnsi="Gotham" w:cs="Arial"/>
          <w:color w:val="000000"/>
        </w:rPr>
        <w:t xml:space="preserve">ecuperació, Transformació i Resiliència d’acord amb la </w:t>
      </w:r>
      <w:hyperlink r:id="rId8" w:history="1">
        <w:r w:rsidRPr="00CB42A1">
          <w:rPr>
            <w:rFonts w:ascii="Gotham" w:hAnsi="Gotham" w:cs="Arial"/>
            <w:color w:val="800080"/>
            <w:u w:val="single"/>
          </w:rPr>
          <w:t>Guia tècnica sobre l’aplicació del</w:t>
        </w:r>
      </w:hyperlink>
      <w:r w:rsidRPr="00CB42A1">
        <w:rPr>
          <w:rFonts w:ascii="Gotham" w:hAnsi="Gotham" w:cs="Arial"/>
          <w:color w:val="800080"/>
          <w:spacing w:val="2"/>
        </w:rPr>
        <w:t xml:space="preserve"> </w:t>
      </w:r>
      <w:hyperlink r:id="rId9" w:history="1">
        <w:r w:rsidRPr="00CB42A1">
          <w:rPr>
            <w:rFonts w:ascii="Gotham" w:hAnsi="Gotham" w:cs="Arial"/>
            <w:color w:val="800080"/>
            <w:u w:val="single"/>
          </w:rPr>
          <w:t>principi “no causar un perjudici significatiu” en virtut del Reglament relatiu al Mecanisme de</w:t>
        </w:r>
      </w:hyperlink>
      <w:r w:rsidRPr="00CB42A1">
        <w:rPr>
          <w:rFonts w:ascii="Gotham" w:hAnsi="Gotham" w:cs="Arial"/>
          <w:color w:val="800080"/>
          <w:spacing w:val="-60"/>
        </w:rPr>
        <w:t xml:space="preserve"> </w:t>
      </w:r>
      <w:hyperlink r:id="rId10" w:history="1">
        <w:r w:rsidRPr="00CB42A1">
          <w:rPr>
            <w:rFonts w:ascii="Gotham" w:hAnsi="Gotham" w:cs="Arial"/>
            <w:color w:val="800080"/>
            <w:u w:val="single"/>
          </w:rPr>
          <w:t>Recuperació i Resiliència (2021/C 58/01)</w:t>
        </w:r>
      </w:hyperlink>
      <w:r w:rsidRPr="00CB42A1">
        <w:rPr>
          <w:rFonts w:ascii="Gotham" w:hAnsi="Gotham" w:cs="Arial"/>
          <w:color w:val="000000"/>
        </w:rPr>
        <w:t xml:space="preserve">, a la </w:t>
      </w:r>
      <w:hyperlink r:id="rId11" w:history="1">
        <w:r w:rsidRPr="00CB42A1">
          <w:rPr>
            <w:rFonts w:ascii="Gotham" w:hAnsi="Gotham" w:cs="Arial"/>
            <w:color w:val="0563C1"/>
            <w:u w:val="single"/>
          </w:rPr>
          <w:t xml:space="preserve">Proposta de </w:t>
        </w:r>
      </w:hyperlink>
      <w:hyperlink r:id="rId12" w:history="1">
        <w:r w:rsidRPr="00CB42A1">
          <w:rPr>
            <w:rFonts w:ascii="Gotham" w:hAnsi="Gotham" w:cs="Arial"/>
            <w:color w:val="0563C1"/>
            <w:u w:val="single"/>
          </w:rPr>
          <w:t>Decisió d’execució del Consel</w:t>
        </w:r>
      </w:hyperlink>
      <w:hyperlink r:id="rId13" w:history="1">
        <w:r w:rsidRPr="00CB42A1">
          <w:rPr>
            <w:rFonts w:ascii="Gotham" w:hAnsi="Gotham" w:cs="Arial"/>
            <w:color w:val="800080"/>
            <w:u w:val="single"/>
          </w:rPr>
          <w:t>l</w:t>
        </w:r>
      </w:hyperlink>
      <w:r w:rsidRPr="00CB42A1">
        <w:rPr>
          <w:rFonts w:ascii="Gotham" w:hAnsi="Gotham" w:cs="Arial"/>
          <w:color w:val="800080"/>
          <w:spacing w:val="2"/>
        </w:rPr>
        <w:t xml:space="preserve"> </w:t>
      </w:r>
      <w:hyperlink r:id="rId14" w:history="1">
        <w:r w:rsidRPr="00CB42A1">
          <w:rPr>
            <w:rFonts w:ascii="Gotham" w:hAnsi="Gotham" w:cs="Arial"/>
            <w:color w:val="800080"/>
            <w:u w:val="single"/>
          </w:rPr>
          <w:t xml:space="preserve">relativa a l’aprovació de l’avaluació del </w:t>
        </w:r>
      </w:hyperlink>
      <w:hyperlink r:id="rId15" w:history="1">
        <w:r w:rsidRPr="00CB42A1">
          <w:rPr>
            <w:rFonts w:ascii="Gotham" w:hAnsi="Gotham" w:cs="Arial"/>
            <w:color w:val="800080"/>
            <w:u w:val="single"/>
          </w:rPr>
          <w:t>P</w:t>
        </w:r>
      </w:hyperlink>
      <w:hyperlink r:id="rId16" w:history="1">
        <w:r w:rsidRPr="00CB42A1">
          <w:rPr>
            <w:rFonts w:ascii="Gotham" w:hAnsi="Gotham" w:cs="Arial"/>
            <w:color w:val="800080"/>
            <w:u w:val="single"/>
          </w:rPr>
          <w:t xml:space="preserve">la de </w:t>
        </w:r>
      </w:hyperlink>
      <w:hyperlink r:id="rId17" w:history="1">
        <w:r w:rsidRPr="00CB42A1">
          <w:rPr>
            <w:rFonts w:ascii="Gotham" w:hAnsi="Gotham" w:cs="Arial"/>
            <w:color w:val="800080"/>
            <w:u w:val="single"/>
          </w:rPr>
          <w:t>R</w:t>
        </w:r>
      </w:hyperlink>
      <w:hyperlink r:id="rId18" w:history="1">
        <w:r w:rsidRPr="00CB42A1">
          <w:rPr>
            <w:rFonts w:ascii="Gotham" w:hAnsi="Gotham" w:cs="Arial"/>
            <w:color w:val="800080"/>
            <w:u w:val="single"/>
          </w:rPr>
          <w:t xml:space="preserve">ecuperació i </w:t>
        </w:r>
      </w:hyperlink>
      <w:hyperlink r:id="rId19" w:history="1">
        <w:r w:rsidRPr="00CB42A1">
          <w:rPr>
            <w:rFonts w:ascii="Gotham" w:hAnsi="Gotham" w:cs="Arial"/>
            <w:color w:val="800080"/>
            <w:u w:val="single"/>
          </w:rPr>
          <w:t>R</w:t>
        </w:r>
      </w:hyperlink>
      <w:hyperlink r:id="rId20" w:history="1">
        <w:r w:rsidRPr="00CB42A1">
          <w:rPr>
            <w:rFonts w:ascii="Gotham" w:hAnsi="Gotham" w:cs="Arial"/>
            <w:color w:val="800080"/>
            <w:u w:val="single"/>
          </w:rPr>
          <w:t>esiliència d’Espanya</w:t>
        </w:r>
      </w:hyperlink>
      <w:hyperlink r:id="rId21" w:history="1">
        <w:r w:rsidRPr="00CB42A1">
          <w:rPr>
            <w:rFonts w:ascii="Gotham" w:hAnsi="Gotham" w:cs="Arial"/>
            <w:color w:val="800080"/>
            <w:u w:val="single"/>
          </w:rPr>
          <w:t xml:space="preserve"> </w:t>
        </w:r>
      </w:hyperlink>
      <w:r w:rsidRPr="00CB42A1">
        <w:rPr>
          <w:rFonts w:ascii="Gotham" w:hAnsi="Gotham" w:cs="Arial"/>
          <w:color w:val="000000"/>
        </w:rPr>
        <w:t>i al seu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hyperlink r:id="rId22" w:history="1">
        <w:r w:rsidRPr="00CB42A1">
          <w:rPr>
            <w:rFonts w:ascii="Gotham" w:hAnsi="Gotham" w:cs="Arial"/>
            <w:color w:val="0000FF"/>
            <w:u w:val="single"/>
          </w:rPr>
          <w:t>annex</w:t>
        </w:r>
      </w:hyperlink>
      <w:r w:rsidRPr="00CB42A1">
        <w:rPr>
          <w:rFonts w:ascii="Gotham" w:hAnsi="Gotham" w:cs="Arial"/>
          <w:color w:val="000000"/>
        </w:rPr>
        <w:t>.</w:t>
      </w:r>
    </w:p>
    <w:p w14:paraId="06791707" w14:textId="77777777" w:rsidR="00CB42A1" w:rsidRPr="00CB42A1" w:rsidRDefault="00CB42A1" w:rsidP="00CB42A1">
      <w:pPr>
        <w:spacing w:before="100" w:beforeAutospacing="1" w:line="278" w:lineRule="atLeast"/>
        <w:ind w:right="454"/>
        <w:jc w:val="both"/>
        <w:rPr>
          <w:rFonts w:ascii="Arial" w:hAnsi="Arial" w:cs="Arial"/>
          <w:color w:val="000000"/>
          <w:sz w:val="24"/>
          <w:szCs w:val="24"/>
        </w:rPr>
      </w:pPr>
    </w:p>
    <w:p w14:paraId="6E752AE7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Construcció de refineries de cru, centrals tèrmiques de carbó i projectes que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impliquin l'extracció de petroli o gas natural, a causa del perjudici a l’objectiu de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mitigació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 canvi climàtic.</w:t>
      </w:r>
    </w:p>
    <w:p w14:paraId="1FFBC513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relacionades amb els combustibles fòssils, inclosa la utilització ulterior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d’aquests, excepte els projectes relacionats amb la generació d'electricitat i/o calor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utilitzant gas natural, així com amb la infraestructura de transport i distribució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connexa, que compleixin les condicions establertes a l'annex III de la Guia tècnica de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Comissió Europea.</w:t>
      </w:r>
    </w:p>
    <w:p w14:paraId="18C425C6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i actius en el marc del règim de comerç de drets d'emissió de la UE (RCDE)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en relació amb les quals es prevegi que les emissions de gasos amb efecte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d’hivernacle que provocaran no se situaran per sota dels paràmetres de referència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pertinents. Quan es prevegi que les emissions de gasos amb efecte d’hivernacle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provocades per l'activitat subvencionada no seran significativament inferiors als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paràmetres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referència,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cal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facilitar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una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explicació motivada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respecte.</w:t>
      </w:r>
    </w:p>
    <w:p w14:paraId="37E9D56D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Compensació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costos indirectes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RCDE.</w:t>
      </w:r>
    </w:p>
    <w:p w14:paraId="20AD8ECA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relacionades amb abocadors de residus i incineradores</w:t>
      </w:r>
      <w:r w:rsidRPr="00CB42A1">
        <w:rPr>
          <w:rFonts w:ascii="Gotham" w:hAnsi="Gotham"/>
          <w:b/>
          <w:bCs/>
          <w:color w:val="95C21F"/>
        </w:rPr>
        <w:t xml:space="preserve">. </w:t>
      </w:r>
      <w:r w:rsidRPr="00CB42A1">
        <w:rPr>
          <w:rFonts w:ascii="Gotham" w:hAnsi="Gotham"/>
          <w:color w:val="000000"/>
        </w:rPr>
        <w:t>Aquesta exclusió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no s'aplica 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les accions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en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plantes dedicades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exclusivament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tractament</w:t>
      </w:r>
      <w:r w:rsidRPr="00CB42A1">
        <w:rPr>
          <w:rFonts w:ascii="Gotham" w:hAnsi="Gotham"/>
          <w:color w:val="000000"/>
          <w:spacing w:val="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residus perillosos no reciclables, ni a les plantes existents, quan aquestes accions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tinguin per objecte augmentar l'eficiència energètica, capturar els gasos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d'escapament per emmagatzematge o utilització, o recuperar materials de les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cendres d'incineració, sempre que aquestes accions no comportin un augment de la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capacitat de tractament de residus de les plantes o a una prolongació de la seva vida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útil.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Aquests detalls s'hauran 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justificar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documentalment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per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cada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planta.</w:t>
      </w:r>
    </w:p>
    <w:p w14:paraId="3D4BAD34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Activitats relacionades amb plantes de tractament mecànic-biològic. Aquesta exclusió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no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s'aplica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les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accions</w:t>
      </w:r>
      <w:r w:rsidRPr="00CB42A1">
        <w:rPr>
          <w:rFonts w:ascii="Gotham" w:hAnsi="Gotham" w:cs="Arial"/>
          <w:color w:val="000000"/>
          <w:spacing w:val="-6"/>
        </w:rPr>
        <w:t xml:space="preserve"> </w:t>
      </w:r>
      <w:r w:rsidRPr="00CB42A1">
        <w:rPr>
          <w:rFonts w:ascii="Gotham" w:hAnsi="Gotham" w:cs="Arial"/>
          <w:color w:val="000000"/>
        </w:rPr>
        <w:t>en plantes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de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tractament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mecànic-biològic existents,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quan aquestes accions tinguin per objecte augmentar l'eficiència energètica o el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recondicionament per a operacions de reciclatge de residus separats, com el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 xml:space="preserve">compostatge i la </w:t>
      </w:r>
      <w:r w:rsidRPr="00CB42A1">
        <w:rPr>
          <w:rFonts w:ascii="Gotham" w:hAnsi="Gotham" w:cs="Arial"/>
          <w:color w:val="000000"/>
        </w:rPr>
        <w:lastRenderedPageBreak/>
        <w:t>digestió anaeròbia de bioresidus, sempre que aquestes accions no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comportin un augment de la capacitat de tractament de residus de les plantes o una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prolongació de la vida útil. Aquests detalls s'hauran de justificar documentalment per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a cada planta.</w:t>
      </w:r>
    </w:p>
    <w:p w14:paraId="1B408B38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en què l'eliminació a llarg termini de residus pugui causar danys al medi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ambient.</w:t>
      </w:r>
    </w:p>
    <w:p w14:paraId="1629A954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77732CBF" w14:textId="77777777" w:rsidR="00CB42A1" w:rsidRPr="00CB42A1" w:rsidRDefault="00CB42A1" w:rsidP="00CB42A1">
      <w:pPr>
        <w:numPr>
          <w:ilvl w:val="0"/>
          <w:numId w:val="30"/>
        </w:numPr>
        <w:spacing w:before="100" w:beforeAutospacing="1" w:line="278" w:lineRule="atLeast"/>
        <w:ind w:left="1004" w:right="306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Les activitats que es desenvolupin no causaran efectes directes sobre el medi ambient, ni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efectes indirectes primaris en tot el seu cicle de vida, entenent com a tals els que es puguin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materialitzar una vegada realitzada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l’activitat.</w:t>
      </w:r>
    </w:p>
    <w:p w14:paraId="4C66BA5C" w14:textId="77777777" w:rsidR="00CB42A1" w:rsidRPr="00CB42A1" w:rsidRDefault="00CB42A1" w:rsidP="00CB42A1">
      <w:pPr>
        <w:spacing w:before="100" w:beforeAutospacing="1" w:line="278" w:lineRule="atLeast"/>
        <w:ind w:right="318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Tinc coneixement que l’incompliment d’algun dels requisits que estableix aquesta declaració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dona lloc a l’obligació de retornar les quantitats percebudes i els interessos de demora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corresponents.</w:t>
      </w:r>
    </w:p>
    <w:p w14:paraId="1C083B2F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2D332CD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Mataró, a data de la signatura electrònica</w:t>
      </w:r>
    </w:p>
    <w:p w14:paraId="7B5082D7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AB85DEE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DF84C8C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99D95EF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A508568" w14:textId="671FA460" w:rsidR="009F25C6" w:rsidRPr="00CB42A1" w:rsidRDefault="009F25C6" w:rsidP="00CB42A1"/>
    <w:sectPr w:rsidR="009F25C6" w:rsidRPr="00CB42A1" w:rsidSect="002B4D3B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2627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541D7F5E" w:rsidR="001E7B8F" w:rsidRDefault="00C54829">
    <w:pPr>
      <w:pStyle w:val="Encabezado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2DB518B"/>
    <w:multiLevelType w:val="multilevel"/>
    <w:tmpl w:val="12D00B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0415E"/>
    <w:multiLevelType w:val="multilevel"/>
    <w:tmpl w:val="5C22E4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otham" w:hAnsi="Gotham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647C9"/>
    <w:multiLevelType w:val="multilevel"/>
    <w:tmpl w:val="613C9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111AAC"/>
    <w:multiLevelType w:val="multilevel"/>
    <w:tmpl w:val="D9F6670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B52D3"/>
    <w:multiLevelType w:val="multilevel"/>
    <w:tmpl w:val="6952F9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5"/>
  </w:num>
  <w:num w:numId="3">
    <w:abstractNumId w:val="21"/>
  </w:num>
  <w:num w:numId="4">
    <w:abstractNumId w:val="9"/>
  </w:num>
  <w:num w:numId="5">
    <w:abstractNumId w:val="11"/>
  </w:num>
  <w:num w:numId="6">
    <w:abstractNumId w:val="13"/>
  </w:num>
  <w:num w:numId="7">
    <w:abstractNumId w:val="22"/>
    <w:lvlOverride w:ilvl="0">
      <w:startOverride w:val="1"/>
    </w:lvlOverride>
  </w:num>
  <w:num w:numId="8">
    <w:abstractNumId w:val="18"/>
  </w:num>
  <w:num w:numId="9">
    <w:abstractNumId w:val="19"/>
  </w:num>
  <w:num w:numId="10">
    <w:abstractNumId w:val="0"/>
  </w:num>
  <w:num w:numId="11">
    <w:abstractNumId w:val="24"/>
  </w:num>
  <w:num w:numId="12">
    <w:abstractNumId w:val="29"/>
  </w:num>
  <w:num w:numId="13">
    <w:abstractNumId w:val="16"/>
  </w:num>
  <w:num w:numId="14">
    <w:abstractNumId w:val="20"/>
  </w:num>
  <w:num w:numId="15">
    <w:abstractNumId w:val="10"/>
  </w:num>
  <w:num w:numId="16">
    <w:abstractNumId w:val="2"/>
  </w:num>
  <w:num w:numId="17">
    <w:abstractNumId w:val="23"/>
  </w:num>
  <w:num w:numId="18">
    <w:abstractNumId w:val="5"/>
  </w:num>
  <w:num w:numId="19">
    <w:abstractNumId w:val="4"/>
  </w:num>
  <w:num w:numId="20">
    <w:abstractNumId w:val="3"/>
  </w:num>
  <w:num w:numId="21">
    <w:abstractNumId w:val="27"/>
  </w:num>
  <w:num w:numId="22">
    <w:abstractNumId w:val="6"/>
  </w:num>
  <w:num w:numId="23">
    <w:abstractNumId w:val="15"/>
  </w:num>
  <w:num w:numId="24">
    <w:abstractNumId w:val="12"/>
  </w:num>
  <w:num w:numId="25">
    <w:abstractNumId w:val="1"/>
  </w:num>
  <w:num w:numId="26">
    <w:abstractNumId w:val="8"/>
  </w:num>
  <w:num w:numId="27">
    <w:abstractNumId w:val="7"/>
  </w:num>
  <w:num w:numId="28">
    <w:abstractNumId w:val="28"/>
  </w:num>
  <w:num w:numId="29">
    <w:abstractNumId w:val="14"/>
  </w:num>
  <w:num w:numId="3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07977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25C6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37386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4829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2627"/>
    <w:rsid w:val="00C73A3A"/>
    <w:rsid w:val="00C81107"/>
    <w:rsid w:val="00C8400F"/>
    <w:rsid w:val="00C858AF"/>
    <w:rsid w:val="00C90711"/>
    <w:rsid w:val="00C926C8"/>
    <w:rsid w:val="00CA70A0"/>
    <w:rsid w:val="00CB42A1"/>
    <w:rsid w:val="00CB482D"/>
    <w:rsid w:val="00CC0D98"/>
    <w:rsid w:val="00CC4A8F"/>
    <w:rsid w:val="00CC5FBA"/>
    <w:rsid w:val="00CD083B"/>
    <w:rsid w:val="00CE0429"/>
    <w:rsid w:val="00CE088A"/>
    <w:rsid w:val="00CE530F"/>
    <w:rsid w:val="00CE6C80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doc.php?id=DOUE-Z-2021-70014" TargetMode="External"/><Relationship Id="rId13" Type="http://schemas.openxmlformats.org/officeDocument/2006/relationships/hyperlink" Target="https://ec.europa.eu/info/sites/default/files/com_322_1_es.pdf" TargetMode="External"/><Relationship Id="rId18" Type="http://schemas.openxmlformats.org/officeDocument/2006/relationships/hyperlink" Target="https://ec.europa.eu/info/sites/default/files/com_322_1_es.pd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ec.europa.eu/info/sites/default/files/com_322_1_e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c.europa.eu/info/sites/default/files/com_322_1_es.pdf" TargetMode="External"/><Relationship Id="rId17" Type="http://schemas.openxmlformats.org/officeDocument/2006/relationships/hyperlink" Target="https://ec.europa.eu/info/sites/default/files/com_322_1_es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sites/default/files/com_322_1_es.pdf" TargetMode="External"/><Relationship Id="rId20" Type="http://schemas.openxmlformats.org/officeDocument/2006/relationships/hyperlink" Target="https://ec.europa.eu/info/sites/default/files/com_322_1_es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info/sites/default/files/com_322_1_es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info/sites/default/files/com_322_1_es.pdf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www.boe.es/buscar/doc.php?id=DOUE-Z-2021-70014" TargetMode="External"/><Relationship Id="rId19" Type="http://schemas.openxmlformats.org/officeDocument/2006/relationships/hyperlink" Target="https://ec.europa.eu/info/sites/default/files/com_322_1_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uscar/doc.php?id=DOUE-Z-2021-70014" TargetMode="External"/><Relationship Id="rId14" Type="http://schemas.openxmlformats.org/officeDocument/2006/relationships/hyperlink" Target="https://ec.europa.eu/info/sites/default/files/com_322_1_es.pdf" TargetMode="External"/><Relationship Id="rId22" Type="http://schemas.openxmlformats.org/officeDocument/2006/relationships/hyperlink" Target="https://ec.europa.eu/info/sites/default/files/com_322_1_annex_es.pdf" TargetMode="Externa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FB4F1-B206-41AE-BC0E-C62A1BCD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776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6528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7</cp:revision>
  <cp:lastPrinted>2023-01-14T12:26:00Z</cp:lastPrinted>
  <dcterms:created xsi:type="dcterms:W3CDTF">2023-12-13T08:33:00Z</dcterms:created>
  <dcterms:modified xsi:type="dcterms:W3CDTF">2025-05-16T06:29:00Z</dcterms:modified>
</cp:coreProperties>
</file>