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</w:t>
      </w:r>
      <w:r>
        <w:rPr>
          <w:rFonts w:ascii="Arial" w:hAnsi="Arial"/>
          <w:color w:val="auto"/>
          <w:sz w:val="22"/>
          <w:szCs w:val="22"/>
          <w:lang w:val="ca-ES"/>
        </w:rPr>
        <w:t>subministrament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de......................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, </w:t>
      </w:r>
      <w:r>
        <w:rPr>
          <w:rFonts w:ascii="Arial" w:hAnsi="Arial"/>
          <w:color w:val="auto"/>
          <w:sz w:val="22"/>
          <w:szCs w:val="22"/>
          <w:lang w:val="ca-ES"/>
        </w:rPr>
        <w:t>Lot ...........</w:t>
      </w:r>
      <w:r>
        <w:rPr>
          <w:rFonts w:ascii="Arial" w:hAnsi="Arial"/>
          <w:color w:val="auto"/>
          <w:sz w:val="22"/>
          <w:szCs w:val="22"/>
          <w:lang w:val="ca-ES"/>
        </w:rPr>
        <w:t>la relació dels s</w:t>
      </w:r>
      <w:r>
        <w:rPr>
          <w:rFonts w:ascii="Arial" w:hAnsi="Arial"/>
          <w:color w:val="auto"/>
          <w:sz w:val="22"/>
          <w:szCs w:val="22"/>
          <w:lang w:val="ca-ES"/>
        </w:rPr>
        <w:t>ubministraments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09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09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bidi w:val="0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Helvetica-Bold" w:cs="Arial"/>
          <w:b/>
          <w:bCs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LibreOffice/24.8.6.2$Windows_X86_64 LibreOffice_project/6d98ba145e9a8a39fc57bcc76981d1fb1316c60c</Application>
  <AppVersion>15.0000</AppVersion>
  <Pages>2</Pages>
  <Words>163</Words>
  <Characters>1144</Characters>
  <CharactersWithSpaces>1278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2025-05-20T09:00:48Z</dcterms:created>
  <dc:creator/>
  <dc:description/>
  <dc:language>es-ES</dc:language>
  <cp:lastModifiedBy/>
  <dcterms:modified xsi:type="dcterms:W3CDTF">2025-05-20T09:10:00Z</dcterms:modified>
  <cp:revision>1</cp:revision>
  <dc:subject/>
  <dc:title/>
</cp:coreProperties>
</file>