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 Expedient: 20.../…., i que les accepta incondicionadament totes i cadascuna d'elles.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6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2 “Documentació avaluable mitjançant criteris avaluables de forma automàtica”</w: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Qualsevol altre que considereu oportú.</w:t>
      </w:r>
    </w:p>
    <w:p>
      <w:pPr>
        <w:pStyle w:val="BodyText"/>
        <w:widowControl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rFonts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 w:before="0" w:after="140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LibreOffice/24.8.6.2$Windows_X86_64 LibreOffice_project/6d98ba145e9a8a39fc57bcc76981d1fb1316c60c</Application>
  <AppVersion>15.0000</AppVersion>
  <Pages>1</Pages>
  <Words>128</Words>
  <Characters>983</Characters>
  <CharactersWithSpaces>1102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2025-05-20T09:00:48Z</dcterms:created>
  <dc:creator/>
  <dc:description/>
  <dc:language>es-ES</dc:language>
  <cp:lastModifiedBy/>
  <dcterms:modified xsi:type="dcterms:W3CDTF">2025-05-20T09:14:43Z</dcterms:modified>
  <cp:revision>3</cp:revision>
  <dc:subject/>
  <dc:title/>
</cp:coreProperties>
</file>