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60471D" w14:textId="4F299244" w:rsidR="00B366BC" w:rsidRDefault="00000000">
      <w:pPr>
        <w:pStyle w:val="Ttulo"/>
      </w:pPr>
      <w:r>
        <w:t>Proposició de judici de valor - Sobre B</w:t>
      </w:r>
    </w:p>
    <w:p w14:paraId="4894F967" w14:textId="77777777" w:rsidR="00B366BC" w:rsidRDefault="00000000">
      <w:pPr>
        <w:jc w:val="center"/>
        <w:rPr>
          <w:b/>
          <w:bCs/>
        </w:rPr>
      </w:pPr>
      <w:r>
        <w:rPr>
          <w:b/>
          <w:bCs/>
        </w:rPr>
        <w:t>MEMÒRIA TÈCNICA -contingut obligatori-</w:t>
      </w:r>
    </w:p>
    <w:p w14:paraId="1630C467" w14:textId="77777777" w:rsidR="00B366BC" w:rsidRDefault="00000000">
      <w:pPr>
        <w:rPr>
          <w:b/>
          <w:bCs/>
        </w:rPr>
      </w:pPr>
      <w:r>
        <w:t>A continuació es presenta el contingut de la memòria tècnica.</w:t>
      </w:r>
    </w:p>
    <w:p w14:paraId="67EB710B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</w:pPr>
      <w:r>
        <w:rPr>
          <w:b/>
          <w:bCs/>
        </w:rPr>
        <w:t>Posada en marxa del servei</w:t>
      </w:r>
    </w:p>
    <w:p w14:paraId="4E5C93BA" w14:textId="77777777" w:rsidR="00B366BC" w:rsidRDefault="00000000">
      <w:pPr>
        <w:pStyle w:val="Pargrafdellista"/>
        <w:rPr>
          <w:b/>
          <w:bCs/>
        </w:rPr>
      </w:pPr>
      <w:r>
        <w:t xml:space="preserve">Descripció detalla del Pla de posada a punt inicial del servei, actuacions a executar i recursos humans i materials adscrits a cadascuna. </w:t>
      </w:r>
    </w:p>
    <w:p w14:paraId="509C3384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</w:pPr>
      <w:r>
        <w:rPr>
          <w:b/>
          <w:bCs/>
        </w:rPr>
        <w:t xml:space="preserve">Recollida en contenidors </w:t>
      </w:r>
    </w:p>
    <w:p w14:paraId="13712CD7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</w:pPr>
      <w:r>
        <w:t xml:space="preserve">Descripció de la metodologia del servei a prestar, amb indicació de rutes, dies, freqüències, horaris de prestació del servei, operativa de prestació del servei, protocols i normes de treball, seguretat i salut laboral, etc. </w:t>
      </w:r>
    </w:p>
    <w:p w14:paraId="77D1FE6E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</w:pPr>
      <w:r>
        <w:t>Descripció dels mitjans adscrits i/o a disposició del servei:</w:t>
      </w:r>
    </w:p>
    <w:p w14:paraId="4E1AC95B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t>Nombre de contenidors a instal·lar i en estoc. Cal indicar la proposta d’ubicació i/o reubicació i justificar-la</w:t>
      </w:r>
    </w:p>
    <w:p w14:paraId="74AB8A96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t>Nombre, tipus i antiguitat dels vehicles per a la recollida i el transport del residu i mitjans de reserva en cas d’averies.</w:t>
      </w:r>
    </w:p>
    <w:p w14:paraId="73F09739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</w:pPr>
      <w:r>
        <w:t xml:space="preserve">Recursos humans adscrits a cada servei. </w:t>
      </w:r>
    </w:p>
    <w:p w14:paraId="6FE653ED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</w:pPr>
      <w:r>
        <w:t xml:space="preserve">Proposta d’incorporació d’elements tecnològics que permetin l’optimització de rutes, o el control de contenidors si s’escau. </w:t>
      </w:r>
    </w:p>
    <w:p w14:paraId="722E8C6D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rPr>
          <w:b/>
          <w:bCs/>
        </w:rPr>
      </w:pPr>
      <w:r>
        <w:t xml:space="preserve">Descripció de les tasques i els mitjans humans i materials inclosos al Pla de manteniment preventiu i correctiu i neteja de tots els contenidors. </w:t>
      </w:r>
    </w:p>
    <w:p w14:paraId="7ECE3000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  <w:rPr>
          <w:b/>
          <w:bCs/>
        </w:rPr>
      </w:pPr>
      <w:r>
        <w:rPr>
          <w:b/>
          <w:bCs/>
        </w:rPr>
        <w:t>Recollida de la deixalleria mòbil</w:t>
      </w:r>
    </w:p>
    <w:p w14:paraId="47145A53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</w:pPr>
      <w:r>
        <w:rPr>
          <w:b/>
          <w:bCs/>
        </w:rPr>
        <w:t>Mitjans humans</w:t>
      </w:r>
    </w:p>
    <w:p w14:paraId="72D9F266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</w:pPr>
      <w:r>
        <w:t xml:space="preserve">Estructura de l’empresa i organigrama detallat del conjunt de tot el personal amb especificació de les categories, descripcions de les funcions generals, % de dedicació al servei, etc. </w:t>
      </w:r>
    </w:p>
    <w:p w14:paraId="2E352180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rPr>
          <w:b/>
          <w:bCs/>
        </w:rPr>
      </w:pPr>
      <w:r>
        <w:t>Pla de formació i motivació del personal i proposta de calendari d’execució</w:t>
      </w:r>
    </w:p>
    <w:p w14:paraId="4752FB73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</w:pPr>
      <w:r>
        <w:rPr>
          <w:b/>
          <w:bCs/>
        </w:rPr>
        <w:t>Mitjans materials</w:t>
      </w:r>
    </w:p>
    <w:p w14:paraId="55853D59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</w:pPr>
      <w:r>
        <w:t>Parc mòbil:</w:t>
      </w:r>
    </w:p>
    <w:p w14:paraId="738F5F9D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t xml:space="preserve">Característiques dels vehicles i maquinària </w:t>
      </w:r>
      <w:proofErr w:type="spellStart"/>
      <w:r>
        <w:t>ofertats</w:t>
      </w:r>
      <w:proofErr w:type="spellEnd"/>
    </w:p>
    <w:p w14:paraId="5E53F388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t xml:space="preserve">Mitjans previstos per garantir la continuïtat del servei, en casos d’avaries i substitució dels mitjans adscrits </w:t>
      </w:r>
    </w:p>
    <w:p w14:paraId="55B29F04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t xml:space="preserve">Pla de manteniment preventiu i correctiu, neteja i conservació </w:t>
      </w:r>
    </w:p>
    <w:p w14:paraId="408B4AE6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</w:pPr>
      <w:r>
        <w:t xml:space="preserve">Contenidors </w:t>
      </w:r>
    </w:p>
    <w:p w14:paraId="3AC5295B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lastRenderedPageBreak/>
        <w:t xml:space="preserve">Característiques d’aquests, condicions de seguretat i fitxes tècniques associades, si s’escau. </w:t>
      </w:r>
    </w:p>
    <w:p w14:paraId="38D04CB2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</w:pPr>
      <w:r>
        <w:t>Instal·lacions</w:t>
      </w:r>
    </w:p>
    <w:p w14:paraId="2A1B0AD4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t>Descripció detallada de les instal·lacions (superfície, distribució dels espais, etc.)</w:t>
      </w:r>
    </w:p>
    <w:p w14:paraId="6A7B2966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</w:pPr>
      <w:r>
        <w:t xml:space="preserve">Pla d’adequació previst, si s’escau </w:t>
      </w:r>
    </w:p>
    <w:p w14:paraId="11F02BB6" w14:textId="77777777" w:rsidR="00B366BC" w:rsidRDefault="00000000">
      <w:pPr>
        <w:pStyle w:val="Pargrafdellista"/>
        <w:numPr>
          <w:ilvl w:val="2"/>
          <w:numId w:val="24"/>
        </w:numPr>
        <w:spacing w:before="60" w:after="60"/>
        <w:rPr>
          <w:b/>
          <w:bCs/>
        </w:rPr>
      </w:pPr>
      <w:r>
        <w:t xml:space="preserve">Pla de manteniment i neteja previstes </w:t>
      </w:r>
    </w:p>
    <w:p w14:paraId="45C9B00C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</w:pPr>
      <w:r>
        <w:rPr>
          <w:b/>
          <w:bCs/>
        </w:rPr>
        <w:t>Mesures de sostenibilitat</w:t>
      </w:r>
    </w:p>
    <w:p w14:paraId="65738869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</w:pPr>
      <w:r>
        <w:t xml:space="preserve">Descripció de les mesures en termes d’emissions atmosfèriques i acústiques, i edat mitjana de la flota </w:t>
      </w:r>
    </w:p>
    <w:p w14:paraId="1C450BFF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  <w:rPr>
          <w:b/>
          <w:bCs/>
        </w:rPr>
      </w:pPr>
      <w:r>
        <w:t>Descripció de la gestió del cicle de vida de la roba utilitzada pel personal i el tipus de material utilitzat per la seva confecció</w:t>
      </w:r>
    </w:p>
    <w:p w14:paraId="1FEA0609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</w:pPr>
      <w:r>
        <w:rPr>
          <w:b/>
          <w:bCs/>
        </w:rPr>
        <w:t>Gestió del servei</w:t>
      </w:r>
    </w:p>
    <w:p w14:paraId="6FF65D49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</w:pPr>
      <w:r>
        <w:t xml:space="preserve">Descripció del protocol d’actuació en la gestió d’incidències </w:t>
      </w:r>
    </w:p>
    <w:p w14:paraId="5965A770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</w:pPr>
      <w:r>
        <w:t xml:space="preserve">Descripció detallada dels informes a presentar i la seva periodicitat </w:t>
      </w:r>
    </w:p>
    <w:p w14:paraId="2BD55F83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  <w:rPr>
          <w:b/>
          <w:bCs/>
        </w:rPr>
      </w:pPr>
      <w:r>
        <w:t xml:space="preserve">Descripció de les característiques de la plataforma de seguiment del servei </w:t>
      </w:r>
    </w:p>
    <w:p w14:paraId="33BDE6AD" w14:textId="77777777" w:rsidR="00B366BC" w:rsidRDefault="00000000">
      <w:pPr>
        <w:pStyle w:val="Pargrafdellista"/>
        <w:numPr>
          <w:ilvl w:val="0"/>
          <w:numId w:val="9"/>
        </w:numPr>
        <w:spacing w:before="60" w:after="60"/>
      </w:pPr>
      <w:r>
        <w:rPr>
          <w:b/>
          <w:bCs/>
        </w:rPr>
        <w:t xml:space="preserve">Comunicació i sensibilització ambiental </w:t>
      </w:r>
    </w:p>
    <w:p w14:paraId="17475CA2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  <w:ind w:left="1434" w:hanging="357"/>
      </w:pPr>
      <w:r>
        <w:t xml:space="preserve">Descripció de propostes de les accions comunicatives d’informació i sensibilització, amb indicació de la metodologia, els recursos assignats, els materials comunicatius, etc.  </w:t>
      </w:r>
    </w:p>
    <w:p w14:paraId="27B967E7" w14:textId="77777777" w:rsidR="00B366BC" w:rsidRDefault="00000000">
      <w:pPr>
        <w:pStyle w:val="Pargrafdellista"/>
        <w:numPr>
          <w:ilvl w:val="1"/>
          <w:numId w:val="24"/>
        </w:numPr>
        <w:spacing w:before="60" w:after="60"/>
      </w:pPr>
      <w:r>
        <w:t>Propostes de serveis complementaris i addicionals que facilitin la recollida i fomentin augmentar les quantitats d’aquesta fracció</w:t>
      </w:r>
    </w:p>
    <w:p w14:paraId="6F649887" w14:textId="266C1E96" w:rsidR="00B366BC" w:rsidRDefault="00000000" w:rsidP="001257C2">
      <w:pPr>
        <w:pStyle w:val="Pargrafdellista"/>
        <w:numPr>
          <w:ilvl w:val="1"/>
          <w:numId w:val="24"/>
        </w:numPr>
        <w:spacing w:before="60" w:after="60"/>
      </w:pPr>
      <w:r>
        <w:t>Mesures que incentivin la participació i el foment de l'aportació de residu tèxtil</w:t>
      </w:r>
    </w:p>
    <w:sectPr w:rsidR="00B366BC">
      <w:headerReference w:type="default" r:id="rId7"/>
      <w:footerReference w:type="default" r:id="rId8"/>
      <w:pgSz w:w="11906" w:h="16838"/>
      <w:pgMar w:top="1809" w:right="1417" w:bottom="1354" w:left="1417" w:header="567" w:footer="567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7389" w14:textId="77777777" w:rsidR="00CB5EA9" w:rsidRDefault="00CB5EA9">
      <w:pPr>
        <w:spacing w:line="240" w:lineRule="auto"/>
      </w:pPr>
      <w:r>
        <w:separator/>
      </w:r>
    </w:p>
  </w:endnote>
  <w:endnote w:type="continuationSeparator" w:id="0">
    <w:p w14:paraId="64AB4008" w14:textId="77777777" w:rsidR="00CB5EA9" w:rsidRDefault="00CB5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ADE8" w14:textId="77777777" w:rsidR="00B366BC" w:rsidRDefault="00000000">
    <w:pPr>
      <w:pStyle w:val="Peu"/>
      <w:spacing w:line="240" w:lineRule="auto"/>
      <w:jc w:val="right"/>
      <w:rPr>
        <w:b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55</w:t>
    </w:r>
    <w:r>
      <w:rPr>
        <w:sz w:val="20"/>
        <w:szCs w:val="20"/>
      </w:rPr>
      <w:fldChar w:fldCharType="end"/>
    </w:r>
    <w:r>
      <w:rPr>
        <w:rFonts w:eastAsia="Arial" w:cs="Arial"/>
        <w:sz w:val="20"/>
        <w:szCs w:val="20"/>
        <w:lang w:val="es-ES"/>
      </w:rPr>
      <w:t xml:space="preserve"> </w:t>
    </w:r>
    <w:r>
      <w:rPr>
        <w:sz w:val="20"/>
        <w:szCs w:val="20"/>
        <w:lang w:val="es-ES"/>
      </w:rPr>
      <w:t xml:space="preserve">de </w:t>
    </w:r>
    <w:r>
      <w:rPr>
        <w:sz w:val="20"/>
        <w:szCs w:val="20"/>
        <w:lang w:val="es-ES"/>
      </w:rPr>
      <w:fldChar w:fldCharType="begin"/>
    </w:r>
    <w:r>
      <w:rPr>
        <w:sz w:val="20"/>
        <w:szCs w:val="20"/>
        <w:lang w:val="es-ES"/>
      </w:rPr>
      <w:instrText xml:space="preserve"> NUMPAGES \* ARABIC </w:instrText>
    </w:r>
    <w:r>
      <w:rPr>
        <w:sz w:val="20"/>
        <w:szCs w:val="20"/>
        <w:lang w:val="es-ES"/>
      </w:rPr>
      <w:fldChar w:fldCharType="separate"/>
    </w:r>
    <w:r>
      <w:rPr>
        <w:sz w:val="20"/>
        <w:szCs w:val="20"/>
        <w:lang w:val="es-ES"/>
      </w:rPr>
      <w:t>55</w:t>
    </w:r>
    <w:r>
      <w:rPr>
        <w:sz w:val="20"/>
        <w:szCs w:val="20"/>
        <w:lang w:val="es-ES"/>
      </w:rPr>
      <w:fldChar w:fldCharType="end"/>
    </w:r>
  </w:p>
  <w:p w14:paraId="280D4871" w14:textId="77777777" w:rsidR="00B366BC" w:rsidRDefault="00000000">
    <w:pPr>
      <w:pStyle w:val="Textindependent"/>
      <w:pBdr>
        <w:top w:val="single" w:sz="4" w:space="11" w:color="000000"/>
      </w:pBdr>
      <w:spacing w:after="0" w:line="240" w:lineRule="auto"/>
      <w:jc w:val="center"/>
      <w:rPr>
        <w:sz w:val="20"/>
        <w:szCs w:val="20"/>
      </w:rPr>
    </w:pPr>
    <w:r>
      <w:rPr>
        <w:b/>
        <w:sz w:val="20"/>
        <w:szCs w:val="20"/>
      </w:rPr>
      <w:t>Consell Comarcal del Segrià</w:t>
    </w:r>
  </w:p>
  <w:p w14:paraId="20A0E281" w14:textId="77777777" w:rsidR="00B366BC" w:rsidRDefault="00000000">
    <w:pPr>
      <w:pStyle w:val="Textindependent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C. del Canyeret, 12, Lleida. 25007 (Lleida). Tel. 973 054 800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9F5C" w14:textId="77777777" w:rsidR="00CB5EA9" w:rsidRDefault="00CB5EA9">
      <w:pPr>
        <w:spacing w:line="240" w:lineRule="auto"/>
      </w:pPr>
      <w:r>
        <w:separator/>
      </w:r>
    </w:p>
  </w:footnote>
  <w:footnote w:type="continuationSeparator" w:id="0">
    <w:p w14:paraId="48962825" w14:textId="77777777" w:rsidR="00CB5EA9" w:rsidRDefault="00CB5E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0A2" w14:textId="77777777" w:rsidR="00B366BC" w:rsidRDefault="00000000">
    <w:pPr>
      <w:pStyle w:val="Capalera"/>
      <w:jc w:val="center"/>
      <w:rPr>
        <w:lang w:eastAsia="ca-ES"/>
      </w:rPr>
    </w:pPr>
    <w:r>
      <w:rPr>
        <w:noProof/>
        <w:lang w:eastAsia="ca-ES"/>
      </w:rPr>
      <w:drawing>
        <wp:inline distT="0" distB="0" distL="0" distR="0" wp14:anchorId="4A01E4A2" wp14:editId="45AD04BA">
          <wp:extent cx="866140" cy="1123315"/>
          <wp:effectExtent l="0" t="0" r="0" b="0"/>
          <wp:docPr id="5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4" t="-142" r="-184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F33"/>
    <w:multiLevelType w:val="multilevel"/>
    <w:tmpl w:val="14B6E04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B1575"/>
    <w:multiLevelType w:val="multilevel"/>
    <w:tmpl w:val="DD06CC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234F77"/>
    <w:multiLevelType w:val="multilevel"/>
    <w:tmpl w:val="904C3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F36AD"/>
    <w:multiLevelType w:val="multilevel"/>
    <w:tmpl w:val="AF500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F5B69"/>
    <w:multiLevelType w:val="multilevel"/>
    <w:tmpl w:val="3790F9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035984"/>
    <w:multiLevelType w:val="multilevel"/>
    <w:tmpl w:val="B62062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E6220"/>
    <w:multiLevelType w:val="multilevel"/>
    <w:tmpl w:val="830A87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69194D"/>
    <w:multiLevelType w:val="multilevel"/>
    <w:tmpl w:val="9C364C8A"/>
    <w:lvl w:ilvl="0">
      <w:start w:val="1"/>
      <w:numFmt w:val="upperLetter"/>
      <w:lvlText w:val="%1."/>
      <w:lvlJc w:val="left"/>
      <w:pPr>
        <w:tabs>
          <w:tab w:val="num" w:pos="0"/>
        </w:tabs>
        <w:ind w:left="11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834BE"/>
    <w:multiLevelType w:val="multilevel"/>
    <w:tmpl w:val="24E0E924"/>
    <w:lvl w:ilvl="0">
      <w:start w:val="1"/>
      <w:numFmt w:val="bullet"/>
      <w:lvlText w:val=""/>
      <w:lvlJc w:val="left"/>
      <w:pPr>
        <w:tabs>
          <w:tab w:val="num" w:pos="0"/>
        </w:tabs>
        <w:ind w:left="750" w:hanging="39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7B1F7A"/>
    <w:multiLevelType w:val="multilevel"/>
    <w:tmpl w:val="86F02F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211B2"/>
    <w:multiLevelType w:val="multilevel"/>
    <w:tmpl w:val="219234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813668"/>
    <w:multiLevelType w:val="multilevel"/>
    <w:tmpl w:val="07D245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403EF"/>
    <w:multiLevelType w:val="multilevel"/>
    <w:tmpl w:val="37D670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B043B"/>
    <w:multiLevelType w:val="multilevel"/>
    <w:tmpl w:val="EA569CD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772231"/>
    <w:multiLevelType w:val="multilevel"/>
    <w:tmpl w:val="F27281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5191F79"/>
    <w:multiLevelType w:val="multilevel"/>
    <w:tmpl w:val="3620BF20"/>
    <w:lvl w:ilvl="0">
      <w:start w:val="1"/>
      <w:numFmt w:val="decimal"/>
      <w:pStyle w:val="Titulo2"/>
      <w:lvlText w:val="Clàusula: %1.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40" w:hanging="360"/>
      </w:pPr>
    </w:lvl>
    <w:lvl w:ilvl="3">
      <w:start w:val="6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69458E3"/>
    <w:multiLevelType w:val="multilevel"/>
    <w:tmpl w:val="985C667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9E37AC"/>
    <w:multiLevelType w:val="multilevel"/>
    <w:tmpl w:val="172A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F052895"/>
    <w:multiLevelType w:val="multilevel"/>
    <w:tmpl w:val="4B521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267A0"/>
    <w:multiLevelType w:val="multilevel"/>
    <w:tmpl w:val="4000CE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751376"/>
    <w:multiLevelType w:val="multilevel"/>
    <w:tmpl w:val="AB264C56"/>
    <w:lvl w:ilvl="0">
      <w:start w:val="1"/>
      <w:numFmt w:val="decimal"/>
      <w:pStyle w:val="Ttol1"/>
      <w:lvlText w:val="Clàusula: %1.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599E3D75"/>
    <w:multiLevelType w:val="multilevel"/>
    <w:tmpl w:val="00EA4E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26002C"/>
    <w:multiLevelType w:val="multilevel"/>
    <w:tmpl w:val="77E059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9664A"/>
    <w:multiLevelType w:val="multilevel"/>
    <w:tmpl w:val="EFC04F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9F1864"/>
    <w:multiLevelType w:val="multilevel"/>
    <w:tmpl w:val="E6923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616D93"/>
    <w:multiLevelType w:val="multilevel"/>
    <w:tmpl w:val="FFF04C8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85ADB"/>
    <w:multiLevelType w:val="multilevel"/>
    <w:tmpl w:val="A5CACA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741D4302"/>
    <w:multiLevelType w:val="multilevel"/>
    <w:tmpl w:val="EC04E8B4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C865EE"/>
    <w:multiLevelType w:val="multilevel"/>
    <w:tmpl w:val="5D609A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0258396">
    <w:abstractNumId w:val="17"/>
  </w:num>
  <w:num w:numId="2" w16cid:durableId="226258656">
    <w:abstractNumId w:val="14"/>
  </w:num>
  <w:num w:numId="3" w16cid:durableId="630862202">
    <w:abstractNumId w:val="21"/>
  </w:num>
  <w:num w:numId="4" w16cid:durableId="566917099">
    <w:abstractNumId w:val="24"/>
  </w:num>
  <w:num w:numId="5" w16cid:durableId="402988586">
    <w:abstractNumId w:val="13"/>
  </w:num>
  <w:num w:numId="6" w16cid:durableId="1966765424">
    <w:abstractNumId w:val="7"/>
  </w:num>
  <w:num w:numId="7" w16cid:durableId="1969774202">
    <w:abstractNumId w:val="8"/>
  </w:num>
  <w:num w:numId="8" w16cid:durableId="1539004813">
    <w:abstractNumId w:val="16"/>
  </w:num>
  <w:num w:numId="9" w16cid:durableId="2125078530">
    <w:abstractNumId w:val="12"/>
  </w:num>
  <w:num w:numId="10" w16cid:durableId="1858234112">
    <w:abstractNumId w:val="20"/>
  </w:num>
  <w:num w:numId="11" w16cid:durableId="1291202801">
    <w:abstractNumId w:val="2"/>
  </w:num>
  <w:num w:numId="12" w16cid:durableId="948127919">
    <w:abstractNumId w:val="1"/>
  </w:num>
  <w:num w:numId="13" w16cid:durableId="1887595138">
    <w:abstractNumId w:val="18"/>
  </w:num>
  <w:num w:numId="14" w16cid:durableId="709770674">
    <w:abstractNumId w:val="15"/>
  </w:num>
  <w:num w:numId="15" w16cid:durableId="1904295632">
    <w:abstractNumId w:val="6"/>
  </w:num>
  <w:num w:numId="16" w16cid:durableId="1843935198">
    <w:abstractNumId w:val="3"/>
  </w:num>
  <w:num w:numId="17" w16cid:durableId="2065172900">
    <w:abstractNumId w:val="10"/>
  </w:num>
  <w:num w:numId="18" w16cid:durableId="2042506759">
    <w:abstractNumId w:val="22"/>
  </w:num>
  <w:num w:numId="19" w16cid:durableId="1665160568">
    <w:abstractNumId w:val="9"/>
  </w:num>
  <w:num w:numId="20" w16cid:durableId="1896156526">
    <w:abstractNumId w:val="11"/>
  </w:num>
  <w:num w:numId="21" w16cid:durableId="1813598062">
    <w:abstractNumId w:val="4"/>
  </w:num>
  <w:num w:numId="22" w16cid:durableId="135147768">
    <w:abstractNumId w:val="27"/>
  </w:num>
  <w:num w:numId="23" w16cid:durableId="1086145873">
    <w:abstractNumId w:val="19"/>
  </w:num>
  <w:num w:numId="24" w16cid:durableId="167603069">
    <w:abstractNumId w:val="26"/>
  </w:num>
  <w:num w:numId="25" w16cid:durableId="555167702">
    <w:abstractNumId w:val="5"/>
  </w:num>
  <w:num w:numId="26" w16cid:durableId="470710593">
    <w:abstractNumId w:val="0"/>
  </w:num>
  <w:num w:numId="27" w16cid:durableId="699624703">
    <w:abstractNumId w:val="25"/>
  </w:num>
  <w:num w:numId="28" w16cid:durableId="989208288">
    <w:abstractNumId w:val="23"/>
  </w:num>
  <w:num w:numId="29" w16cid:durableId="19155107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BC"/>
    <w:rsid w:val="00095D8A"/>
    <w:rsid w:val="001257C2"/>
    <w:rsid w:val="002963B1"/>
    <w:rsid w:val="00332636"/>
    <w:rsid w:val="00B276D5"/>
    <w:rsid w:val="00B366BC"/>
    <w:rsid w:val="00C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697"/>
  <w15:docId w15:val="{9A215AF7-6671-4AC0-A501-9B7F5C0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Arial" w:eastAsia="DejaVu Sans" w:hAnsi="Arial" w:cs="DejaVu Sans"/>
      <w:sz w:val="22"/>
    </w:rPr>
  </w:style>
  <w:style w:type="paragraph" w:styleId="Ttol1">
    <w:name w:val="heading 1"/>
    <w:basedOn w:val="Heading"/>
    <w:next w:val="Textindependent"/>
    <w:uiPriority w:val="9"/>
    <w:qFormat/>
    <w:pPr>
      <w:numPr>
        <w:numId w:val="10"/>
      </w:numPr>
      <w:shd w:val="clear" w:color="auto" w:fill="FFFFFF"/>
      <w:spacing w:after="240"/>
      <w:ind w:left="0" w:firstLine="0"/>
      <w:jc w:val="left"/>
      <w:outlineLvl w:val="0"/>
    </w:pPr>
    <w:rPr>
      <w:rFonts w:ascii="Arial" w:hAnsi="Arial" w:cs="Arial"/>
      <w:b/>
      <w:bCs/>
      <w:sz w:val="22"/>
      <w:szCs w:val="44"/>
    </w:rPr>
  </w:style>
  <w:style w:type="paragraph" w:styleId="Ttol2">
    <w:name w:val="heading 2"/>
    <w:basedOn w:val="Normal"/>
    <w:next w:val="Textindependent"/>
    <w:uiPriority w:val="9"/>
    <w:unhideWhenUsed/>
    <w:qFormat/>
    <w:pPr>
      <w:tabs>
        <w:tab w:val="num" w:pos="0"/>
      </w:tabs>
      <w:spacing w:before="120" w:after="120"/>
      <w:ind w:left="360" w:hanging="360"/>
      <w:outlineLvl w:val="1"/>
    </w:pPr>
    <w:rPr>
      <w:b/>
    </w:rPr>
  </w:style>
  <w:style w:type="paragraph" w:styleId="Ttol3">
    <w:name w:val="heading 3"/>
    <w:basedOn w:val="Normal"/>
    <w:next w:val="Textindependent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Ttol4">
    <w:name w:val="heading 4"/>
    <w:basedOn w:val="Normal"/>
    <w:next w:val="Textindependent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Ttol5">
    <w:name w:val="heading 5"/>
    <w:basedOn w:val="Normal"/>
    <w:next w:val="Textindependent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Ttol6">
    <w:name w:val="heading 6"/>
    <w:basedOn w:val="Normal"/>
    <w:next w:val="Textindependent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Ttol7">
    <w:name w:val="heading 7"/>
    <w:basedOn w:val="Normal"/>
    <w:next w:val="Textindependent"/>
    <w:qFormat/>
    <w:pPr>
      <w:numPr>
        <w:ilvl w:val="6"/>
        <w:numId w:val="1"/>
      </w:numPr>
      <w:outlineLvl w:val="6"/>
    </w:pPr>
  </w:style>
  <w:style w:type="paragraph" w:styleId="Ttol8">
    <w:name w:val="heading 8"/>
    <w:basedOn w:val="Normal"/>
    <w:next w:val="Textindependent"/>
    <w:qFormat/>
    <w:pPr>
      <w:numPr>
        <w:ilvl w:val="7"/>
        <w:numId w:val="1"/>
      </w:numPr>
      <w:outlineLvl w:val="7"/>
    </w:pPr>
  </w:style>
  <w:style w:type="paragraph" w:styleId="Ttol9">
    <w:name w:val="heading 9"/>
    <w:basedOn w:val="Normal"/>
    <w:next w:val="Textindependent"/>
    <w:qFormat/>
    <w:pPr>
      <w:numPr>
        <w:ilvl w:val="8"/>
        <w:numId w:val="1"/>
      </w:num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hAnsi="Arial" w:cs="Arial"/>
      <w:sz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Arial" w:hAnsi="Arial" w:cs="Arial"/>
      <w:b/>
      <w:sz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alibri" w:hAnsi="Calibri" w:cs="Calibri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WW8Num22z0">
    <w:name w:val="WW8Num22z0"/>
    <w:qFormat/>
    <w:rPr>
      <w:rFonts w:ascii="Wingdings 2" w:hAnsi="Wingdings 2" w:cs="Wingdings 2"/>
      <w:sz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alibri" w:hAnsi="Calibri" w:cs="Calibri"/>
    </w:rPr>
  </w:style>
  <w:style w:type="character" w:customStyle="1" w:styleId="WW8Num24z3">
    <w:name w:val="WW8Num24z3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alibri" w:hAnsi="Calibri" w:cs="Calibri"/>
    </w:rPr>
  </w:style>
  <w:style w:type="character" w:customStyle="1" w:styleId="WW8Num35z2">
    <w:name w:val="WW8Num35z2"/>
    <w:qFormat/>
    <w:rPr>
      <w:rFonts w:cs="Times New Roman"/>
    </w:rPr>
  </w:style>
  <w:style w:type="character" w:customStyle="1" w:styleId="WW8Num36z0">
    <w:name w:val="WW8Num36z0"/>
    <w:qFormat/>
    <w:rPr>
      <w:rFonts w:ascii="Symbol" w:hAnsi="Symbol" w:cs="Symbol"/>
      <w:sz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 2" w:hAnsi="Wingdings 2" w:cs="Wingdings 2"/>
      <w:sz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Arial" w:eastAsia="DejaVu Sans" w:hAnsi="Arial" w:cs="Aria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alibri" w:eastAsia="Aptos" w:hAnsi="Calibri" w:cs="Calibri"/>
    </w:rPr>
  </w:style>
  <w:style w:type="character" w:customStyle="1" w:styleId="WW8Num42z3">
    <w:name w:val="WW8Num42z3"/>
    <w:qFormat/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Arial" w:eastAsia="DejaVu Sans" w:hAnsi="Arial" w:cs="Aria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Enlla">
    <w:name w:val="Hyperlink"/>
    <w:rPr>
      <w:color w:val="000080"/>
      <w:u w:val="single"/>
    </w:rPr>
  </w:style>
  <w:style w:type="character" w:customStyle="1" w:styleId="Bullet20Symbols">
    <w:name w:val="Bullet_20_Symbols"/>
    <w:qFormat/>
  </w:style>
  <w:style w:type="character" w:customStyle="1" w:styleId="PeuCar">
    <w:name w:val="Peu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extindependentCar">
    <w:name w:val="Text independent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tol2Car">
    <w:name w:val="Títol 2 Car"/>
    <w:qFormat/>
    <w:rPr>
      <w:rFonts w:ascii="Arial" w:eastAsia="DejaVu Sans" w:hAnsi="Arial" w:cs="DejaVu Sans"/>
      <w:b/>
      <w:sz w:val="22"/>
      <w:szCs w:val="24"/>
      <w:lang w:eastAsia="zh-CN" w:bidi="hi-IN"/>
    </w:rPr>
  </w:style>
  <w:style w:type="character" w:customStyle="1" w:styleId="TtolCar">
    <w:name w:val="Títol Car"/>
    <w:qFormat/>
    <w:rPr>
      <w:rFonts w:ascii="Arial" w:eastAsia="Times New Roman" w:hAnsi="Arial" w:cs="Mangal"/>
      <w:b/>
      <w:bCs/>
      <w:kern w:val="2"/>
      <w:sz w:val="24"/>
      <w:szCs w:val="29"/>
      <w:lang w:val="en-US" w:eastAsia="zh-CN" w:bidi="hi-IN"/>
    </w:rPr>
  </w:style>
  <w:style w:type="character" w:customStyle="1" w:styleId="TextdecomentariCar">
    <w:name w:val="Text de comentari Car"/>
    <w:qFormat/>
    <w:rPr>
      <w:rFonts w:ascii="Arial" w:eastAsia="DejaVu Sans" w:hAnsi="Arial" w:cs="Mangal"/>
      <w:szCs w:val="18"/>
      <w:lang w:eastAsia="zh-CN" w:bidi="hi-IN"/>
    </w:rPr>
  </w:style>
  <w:style w:type="character" w:styleId="Refernciadecomentari">
    <w:name w:val="annotation reference"/>
    <w:qFormat/>
    <w:rPr>
      <w:sz w:val="16"/>
      <w:szCs w:val="16"/>
    </w:rPr>
  </w:style>
  <w:style w:type="character" w:styleId="Mencisenseresoldre">
    <w:name w:val="Unresolved Mention"/>
    <w:qFormat/>
    <w:rPr>
      <w:color w:val="605E5C"/>
      <w:shd w:val="clear" w:color="auto" w:fill="E1DFDD"/>
    </w:rPr>
  </w:style>
  <w:style w:type="character" w:customStyle="1" w:styleId="PargrafdellistaCar">
    <w:name w:val="Paràgraf de llista Car"/>
    <w:qFormat/>
    <w:rPr>
      <w:rFonts w:ascii="Arial" w:hAnsi="Arial" w:cs="Arial"/>
      <w:sz w:val="22"/>
      <w:szCs w:val="22"/>
    </w:rPr>
  </w:style>
  <w:style w:type="paragraph" w:customStyle="1" w:styleId="Ttulo">
    <w:name w:val="Título"/>
    <w:basedOn w:val="Normal"/>
    <w:next w:val="Normal"/>
    <w:qFormat/>
    <w:pPr>
      <w:spacing w:before="360" w:after="180"/>
      <w:outlineLvl w:val="0"/>
    </w:pPr>
    <w:rPr>
      <w:rFonts w:eastAsia="Times New Roman" w:cs="Mangal"/>
      <w:b/>
      <w:bCs/>
      <w:kern w:val="2"/>
      <w:sz w:val="24"/>
      <w:szCs w:val="29"/>
    </w:rPr>
  </w:style>
  <w:style w:type="paragraph" w:styleId="Textindependent">
    <w:name w:val="Body Text"/>
    <w:basedOn w:val="Normal"/>
    <w:next w:val="Ttol2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independent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independen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qFormat/>
    <w:pPr>
      <w:spacing w:after="0"/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IDC1">
    <w:name w:val="toc 1"/>
    <w:basedOn w:val="Normal"/>
    <w:next w:val="Normal"/>
    <w:pPr>
      <w:spacing w:before="120"/>
      <w:jc w:val="left"/>
    </w:pPr>
    <w:rPr>
      <w:rFonts w:ascii="Aptos" w:hAnsi="Aptos" w:cs="Aptos"/>
      <w:b/>
      <w:bCs/>
      <w:i/>
      <w:iCs/>
      <w:sz w:val="24"/>
    </w:rPr>
  </w:style>
  <w:style w:type="paragraph" w:styleId="Pargrafdellista">
    <w:name w:val="List Paragraph"/>
    <w:basedOn w:val="Normal"/>
    <w:qFormat/>
    <w:pPr>
      <w:widowControl/>
      <w:suppressAutoHyphens w:val="0"/>
      <w:spacing w:before="120" w:after="240"/>
      <w:ind w:left="720"/>
      <w:contextualSpacing/>
    </w:pPr>
    <w:rPr>
      <w:rFonts w:eastAsia="Times New Roman" w:cs="Arial"/>
      <w:szCs w:val="22"/>
      <w:lang w:bidi="ar-SA"/>
    </w:rPr>
  </w:style>
  <w:style w:type="paragraph" w:customStyle="1" w:styleId="WW-Ttulo1">
    <w:name w:val="WW-Título 1"/>
    <w:basedOn w:val="Normal"/>
    <w:qFormat/>
  </w:style>
  <w:style w:type="paragraph" w:styleId="IDC2">
    <w:name w:val="toc 2"/>
    <w:basedOn w:val="Normal"/>
    <w:next w:val="Normal"/>
    <w:pPr>
      <w:spacing w:before="120"/>
      <w:ind w:left="220"/>
      <w:jc w:val="left"/>
    </w:pPr>
    <w:rPr>
      <w:bCs/>
      <w:szCs w:val="22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Titol1">
    <w:name w:val="Titol 1"/>
    <w:basedOn w:val="Ttol1"/>
    <w:qFormat/>
    <w:pPr>
      <w:ind w:left="360" w:hanging="360"/>
    </w:pPr>
  </w:style>
  <w:style w:type="paragraph" w:customStyle="1" w:styleId="Titulo2">
    <w:name w:val="Titulo 2"/>
    <w:basedOn w:val="Normal"/>
    <w:next w:val="Ttol2"/>
    <w:qFormat/>
    <w:pPr>
      <w:keepNext/>
      <w:numPr>
        <w:numId w:val="14"/>
      </w:numPr>
      <w:tabs>
        <w:tab w:val="left" w:pos="360"/>
      </w:tabs>
      <w:spacing w:before="240" w:after="60"/>
      <w:ind w:firstLine="0"/>
    </w:pPr>
    <w:rPr>
      <w:rFonts w:eastAsia="Times New Roman" w:cs="Mangal"/>
      <w:bCs/>
      <w:iCs/>
      <w:szCs w:val="25"/>
    </w:rPr>
  </w:style>
  <w:style w:type="paragraph" w:customStyle="1" w:styleId="Titulo3">
    <w:name w:val="Titulo 3"/>
    <w:basedOn w:val="Titulo2"/>
    <w:qFormat/>
    <w:pPr>
      <w:numPr>
        <w:numId w:val="0"/>
      </w:numPr>
    </w:pPr>
  </w:style>
  <w:style w:type="paragraph" w:styleId="Textdecomentari">
    <w:name w:val="annotation text"/>
    <w:basedOn w:val="Normal"/>
    <w:qFormat/>
    <w:pPr>
      <w:spacing w:before="120" w:after="120" w:line="240" w:lineRule="auto"/>
    </w:pPr>
    <w:rPr>
      <w:rFonts w:cs="Mangal"/>
      <w:sz w:val="20"/>
      <w:szCs w:val="18"/>
    </w:rPr>
  </w:style>
  <w:style w:type="paragraph" w:styleId="IDC3">
    <w:name w:val="toc 3"/>
    <w:basedOn w:val="Normal"/>
    <w:next w:val="Normal"/>
    <w:pPr>
      <w:ind w:left="440"/>
      <w:jc w:val="left"/>
    </w:pPr>
    <w:rPr>
      <w:rFonts w:ascii="Aptos" w:hAnsi="Aptos" w:cs="Aptos"/>
      <w:sz w:val="20"/>
      <w:szCs w:val="20"/>
    </w:rPr>
  </w:style>
  <w:style w:type="paragraph" w:styleId="IDC4">
    <w:name w:val="toc 4"/>
    <w:basedOn w:val="Normal"/>
    <w:next w:val="Normal"/>
    <w:pPr>
      <w:ind w:left="660"/>
      <w:jc w:val="left"/>
    </w:pPr>
    <w:rPr>
      <w:rFonts w:ascii="Aptos" w:hAnsi="Aptos" w:cs="Aptos"/>
      <w:sz w:val="20"/>
      <w:szCs w:val="20"/>
    </w:rPr>
  </w:style>
  <w:style w:type="paragraph" w:styleId="IDC5">
    <w:name w:val="toc 5"/>
    <w:basedOn w:val="Normal"/>
    <w:next w:val="Normal"/>
    <w:pPr>
      <w:ind w:left="880"/>
      <w:jc w:val="left"/>
    </w:pPr>
    <w:rPr>
      <w:rFonts w:ascii="Aptos" w:hAnsi="Aptos" w:cs="Aptos"/>
      <w:sz w:val="20"/>
      <w:szCs w:val="20"/>
    </w:rPr>
  </w:style>
  <w:style w:type="paragraph" w:styleId="IDC6">
    <w:name w:val="toc 6"/>
    <w:basedOn w:val="Normal"/>
    <w:next w:val="Normal"/>
    <w:pPr>
      <w:ind w:left="1100"/>
      <w:jc w:val="left"/>
    </w:pPr>
    <w:rPr>
      <w:rFonts w:ascii="Aptos" w:hAnsi="Aptos" w:cs="Aptos"/>
      <w:sz w:val="20"/>
      <w:szCs w:val="20"/>
    </w:rPr>
  </w:style>
  <w:style w:type="paragraph" w:styleId="IDC7">
    <w:name w:val="toc 7"/>
    <w:basedOn w:val="Normal"/>
    <w:next w:val="Normal"/>
    <w:pPr>
      <w:ind w:left="1320"/>
      <w:jc w:val="left"/>
    </w:pPr>
    <w:rPr>
      <w:rFonts w:ascii="Aptos" w:hAnsi="Aptos" w:cs="Aptos"/>
      <w:sz w:val="20"/>
      <w:szCs w:val="20"/>
    </w:rPr>
  </w:style>
  <w:style w:type="paragraph" w:styleId="IDC8">
    <w:name w:val="toc 8"/>
    <w:basedOn w:val="Normal"/>
    <w:next w:val="Normal"/>
    <w:pPr>
      <w:ind w:left="1540"/>
      <w:jc w:val="left"/>
    </w:pPr>
    <w:rPr>
      <w:rFonts w:ascii="Aptos" w:hAnsi="Aptos" w:cs="Aptos"/>
      <w:sz w:val="20"/>
      <w:szCs w:val="20"/>
    </w:rPr>
  </w:style>
  <w:style w:type="paragraph" w:styleId="IDC9">
    <w:name w:val="toc 9"/>
    <w:basedOn w:val="Normal"/>
    <w:next w:val="Normal"/>
    <w:pPr>
      <w:ind w:left="1760"/>
      <w:jc w:val="left"/>
    </w:pPr>
    <w:rPr>
      <w:rFonts w:ascii="Aptos" w:hAnsi="Aptos" w:cs="Aptos"/>
      <w:sz w:val="20"/>
      <w:szCs w:val="20"/>
    </w:rPr>
  </w:style>
  <w:style w:type="paragraph" w:styleId="NormalWeb">
    <w:name w:val="Normal (Web)"/>
    <w:basedOn w:val="Normal"/>
    <w:qFormat/>
    <w:pPr>
      <w:widowControl/>
      <w:suppressAutoHyphens w:val="0"/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Normal"/>
    <w:qFormat/>
    <w:pPr>
      <w:spacing w:line="240" w:lineRule="auto"/>
      <w:textAlignment w:val="baseline"/>
    </w:pPr>
    <w:rPr>
      <w:rFonts w:eastAsia="Calibri" w:cs="Calibri"/>
      <w:szCs w:val="22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Maria Rodés Cirera</dc:creator>
  <cp:lastModifiedBy>Josep Maria Rodés Cirera</cp:lastModifiedBy>
  <cp:revision>2</cp:revision>
  <dcterms:created xsi:type="dcterms:W3CDTF">2025-05-19T05:59:00Z</dcterms:created>
  <dcterms:modified xsi:type="dcterms:W3CDTF">2025-05-19T05:59:00Z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2025-05-08T14:04:00Z</dcterms:created>
  <dc:creator>Josep Maria Rodés</dc:creator>
  <dc:description/>
  <dc:language>ca-ES</dc:language>
  <cp:lastModifiedBy/>
  <dcterms:modified xsi:type="dcterms:W3CDTF">2025-05-13T13:46:58Z</dcterms:modified>
  <cp:revision>16</cp:revision>
  <dc:subject/>
  <dc:title/>
</cp:coreProperties>
</file>