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A37D" w14:textId="7D0D94EA" w:rsidR="006021A8" w:rsidRPr="00610E45" w:rsidRDefault="006021A8" w:rsidP="006021A8">
      <w:pPr>
        <w:jc w:val="both"/>
        <w:rPr>
          <w:rFonts w:ascii="Century Gothic" w:hAnsi="Century Gothic"/>
          <w:b/>
          <w:bCs/>
        </w:rPr>
      </w:pPr>
      <w:r w:rsidRPr="00610E45">
        <w:rPr>
          <w:rFonts w:ascii="Century Gothic" w:hAnsi="Century Gothic"/>
          <w:b/>
          <w:bCs/>
        </w:rPr>
        <w:t>ANNEX 1</w:t>
      </w:r>
      <w:r>
        <w:rPr>
          <w:rFonts w:ascii="Century Gothic" w:hAnsi="Century Gothic"/>
          <w:b/>
          <w:bCs/>
        </w:rPr>
        <w:t>3</w:t>
      </w:r>
      <w:r w:rsidRPr="00610E45">
        <w:rPr>
          <w:rFonts w:ascii="Century Gothic" w:hAnsi="Century Gothic"/>
          <w:b/>
          <w:bCs/>
        </w:rPr>
        <w:t xml:space="preserve">. </w:t>
      </w:r>
      <w:r w:rsidR="00C14958">
        <w:rPr>
          <w:rFonts w:ascii="Century Gothic" w:hAnsi="Century Gothic"/>
          <w:b/>
          <w:bCs/>
        </w:rPr>
        <w:t>DECLARACIONS RESPONSABLES DE CONFORMITAT AMB L’ANNEX 12</w:t>
      </w:r>
    </w:p>
    <w:p w14:paraId="1BF01880" w14:textId="039ADA1E" w:rsidR="006021A8" w:rsidRPr="00610E45" w:rsidRDefault="006021A8" w:rsidP="00C14958">
      <w:pPr>
        <w:jc w:val="both"/>
        <w:rPr>
          <w:rFonts w:ascii="Century Gothic" w:hAnsi="Century Gothic"/>
        </w:rPr>
      </w:pPr>
    </w:p>
    <w:p w14:paraId="0D18C067" w14:textId="1EFA4A04" w:rsidR="00000B73" w:rsidRPr="00000B73" w:rsidRDefault="00000B73" w:rsidP="00000B7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-BoldMT"/>
          <w:b/>
          <w:bCs/>
        </w:rPr>
      </w:pPr>
      <w:r w:rsidRPr="00000B73">
        <w:rPr>
          <w:rFonts w:ascii="Century Gothic" w:hAnsi="Century Gothic" w:cs="Arial-BoldMT"/>
          <w:b/>
          <w:bCs/>
        </w:rPr>
        <w:t>Declaració responsable sobre el compliment del principi de no causar</w:t>
      </w:r>
      <w:r>
        <w:rPr>
          <w:rFonts w:ascii="Century Gothic" w:hAnsi="Century Gothic" w:cs="Arial-BoldMT"/>
          <w:b/>
          <w:bCs/>
        </w:rPr>
        <w:t xml:space="preserve"> </w:t>
      </w:r>
      <w:r w:rsidRPr="00000B73">
        <w:rPr>
          <w:rFonts w:ascii="Century Gothic" w:hAnsi="Century Gothic" w:cs="Arial-BoldMT"/>
          <w:b/>
          <w:bCs/>
        </w:rPr>
        <w:t>un perjudici significatiu als sis objectius mediambientals (DNSH) d’acord</w:t>
      </w:r>
      <w:r>
        <w:rPr>
          <w:rFonts w:ascii="Century Gothic" w:hAnsi="Century Gothic" w:cs="Arial-BoldMT"/>
          <w:b/>
          <w:bCs/>
        </w:rPr>
        <w:t xml:space="preserve"> </w:t>
      </w:r>
      <w:r w:rsidRPr="00000B73">
        <w:rPr>
          <w:rFonts w:ascii="Century Gothic" w:hAnsi="Century Gothic" w:cs="Arial-BoldMT"/>
          <w:b/>
          <w:bCs/>
        </w:rPr>
        <w:t>amb l’article 17 del Reglament (UE) 2020/852</w:t>
      </w:r>
    </w:p>
    <w:p w14:paraId="6FD31AAA" w14:textId="77777777" w:rsidR="00000B73" w:rsidRPr="00000B73" w:rsidRDefault="00000B73" w:rsidP="00000B7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-BoldMT"/>
          <w:b/>
          <w:bCs/>
        </w:rPr>
      </w:pPr>
    </w:p>
    <w:p w14:paraId="0E3C9FDF" w14:textId="0CEC4B61" w:rsidR="00FD1F6A" w:rsidRPr="00FD1F6A" w:rsidRDefault="00FD1F6A" w:rsidP="00FD1F6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FD1F6A">
        <w:rPr>
          <w:rFonts w:ascii="Century Gothic" w:hAnsi="Century Gothic" w:cs="Arial-BoldMT"/>
          <w:b/>
          <w:bCs/>
        </w:rPr>
        <w:t xml:space="preserve">Primer. </w:t>
      </w:r>
      <w:r w:rsidRPr="00FD1F6A">
        <w:rPr>
          <w:rFonts w:ascii="Century Gothic" w:hAnsi="Century Gothic" w:cs="ArialMT"/>
        </w:rPr>
        <w:t>Que l’entitat  a la qual representa, tenint el compte totes les fases</w:t>
      </w:r>
      <w:r>
        <w:rPr>
          <w:rFonts w:ascii="Century Gothic" w:hAnsi="Century Gothic" w:cs="ArialMT"/>
        </w:rPr>
        <w:t xml:space="preserve"> </w:t>
      </w:r>
      <w:r w:rsidRPr="00FD1F6A">
        <w:rPr>
          <w:rFonts w:ascii="Century Gothic" w:hAnsi="Century Gothic" w:cs="ArialMT"/>
        </w:rPr>
        <w:t>del cicle de vida del projecte o activitat a desenvolupar, tant durant la seva implantació</w:t>
      </w:r>
      <w:r>
        <w:rPr>
          <w:rFonts w:ascii="Century Gothic" w:hAnsi="Century Gothic" w:cs="ArialMT"/>
        </w:rPr>
        <w:t xml:space="preserve"> </w:t>
      </w:r>
      <w:r w:rsidRPr="00FD1F6A">
        <w:rPr>
          <w:rFonts w:ascii="Century Gothic" w:hAnsi="Century Gothic" w:cs="ArialMT"/>
        </w:rPr>
        <w:t>com al final de la seva vida útil, complirà amb el principi DNSH de “no ocasionar un</w:t>
      </w:r>
      <w:r>
        <w:rPr>
          <w:rFonts w:ascii="Century Gothic" w:hAnsi="Century Gothic" w:cs="ArialMT"/>
        </w:rPr>
        <w:t xml:space="preserve"> </w:t>
      </w:r>
      <w:r w:rsidRPr="00FD1F6A">
        <w:rPr>
          <w:rFonts w:ascii="Century Gothic" w:hAnsi="Century Gothic" w:cs="ArialMT"/>
        </w:rPr>
        <w:t>perjudici significatiu” exigit pel Reglament (UE) 2021/241, pel qual s’estableix el</w:t>
      </w:r>
      <w:r>
        <w:rPr>
          <w:rFonts w:ascii="Century Gothic" w:hAnsi="Century Gothic" w:cs="ArialMT"/>
        </w:rPr>
        <w:t xml:space="preserve"> </w:t>
      </w:r>
      <w:r w:rsidRPr="00FD1F6A">
        <w:rPr>
          <w:rFonts w:ascii="Century Gothic" w:hAnsi="Century Gothic" w:cs="ArialMT"/>
        </w:rPr>
        <w:t>Mecanisme de Recuperació i Resiliència, de manera que no causa un</w:t>
      </w:r>
      <w:r>
        <w:rPr>
          <w:rFonts w:ascii="Century Gothic" w:hAnsi="Century Gothic" w:cs="ArialMT"/>
        </w:rPr>
        <w:t xml:space="preserve"> </w:t>
      </w:r>
      <w:r w:rsidRPr="00FD1F6A">
        <w:rPr>
          <w:rFonts w:ascii="Century Gothic" w:hAnsi="Century Gothic" w:cs="ArialMT"/>
        </w:rPr>
        <w:t>perjudici significatiu als sis objectius mediambientals de l’article 17 del</w:t>
      </w:r>
      <w:r>
        <w:rPr>
          <w:rFonts w:ascii="Century Gothic" w:hAnsi="Century Gothic" w:cs="ArialMT"/>
        </w:rPr>
        <w:t xml:space="preserve"> </w:t>
      </w:r>
      <w:r w:rsidRPr="00FD1F6A">
        <w:rPr>
          <w:rFonts w:ascii="Century Gothic" w:hAnsi="Century Gothic" w:cs="ArialMT"/>
        </w:rPr>
        <w:t>Reglament (UE) 2020/852, que s’enumeren a continuació:</w:t>
      </w:r>
    </w:p>
    <w:p w14:paraId="6D41407A" w14:textId="3199FEA9" w:rsidR="00FD1F6A" w:rsidRPr="00000B73" w:rsidRDefault="00FD1F6A" w:rsidP="00000B7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000B73">
        <w:rPr>
          <w:rFonts w:ascii="Century Gothic" w:hAnsi="Century Gothic" w:cs="ArialMT"/>
        </w:rPr>
        <w:t>Mitigació del canvi climàtic – es considera que una activitat causa perjudici significatiu a la mitigació del canvi climàtic si produeix considerables emissions de gasos d’efecte hivernacle.</w:t>
      </w:r>
    </w:p>
    <w:p w14:paraId="6736B59C" w14:textId="242977E8" w:rsidR="00FD1F6A" w:rsidRPr="00000B73" w:rsidRDefault="00FD1F6A" w:rsidP="00000B7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000B73">
        <w:rPr>
          <w:rFonts w:ascii="Century Gothic" w:hAnsi="Century Gothic" w:cs="ArialMT"/>
        </w:rPr>
        <w:t>Adaptació al canvi climàtic – es considera que una activitat causa un perjudici</w:t>
      </w:r>
      <w:r w:rsidR="00000B73" w:rsidRPr="00000B73">
        <w:rPr>
          <w:rFonts w:ascii="Century Gothic" w:hAnsi="Century Gothic" w:cs="ArialMT"/>
        </w:rPr>
        <w:t xml:space="preserve"> </w:t>
      </w:r>
      <w:r w:rsidRPr="00000B73">
        <w:rPr>
          <w:rFonts w:ascii="Century Gothic" w:hAnsi="Century Gothic" w:cs="ArialMT"/>
        </w:rPr>
        <w:t>significatiu a l’adaptació al canvi climàtic si provoca un augment dels efectes adversos a les condicions climàtiques actuals i de les previstes al futur, sobre si mateixa o a les persones, la naturalesa o els actius.</w:t>
      </w:r>
    </w:p>
    <w:p w14:paraId="3AEFF0F2" w14:textId="2425BCA1" w:rsidR="00FD1F6A" w:rsidRPr="00000B73" w:rsidRDefault="00FD1F6A" w:rsidP="00000B7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000B73">
        <w:rPr>
          <w:rFonts w:ascii="Century Gothic" w:hAnsi="Century Gothic" w:cs="ArialMT"/>
        </w:rPr>
        <w:t>Ús sostenible i protecció dels recursos híbrids i marins – es considera que una activitat causa un perjudici significatiu a la utilització i protecció sostenibles dels recursos híbrids i marins si va en detriment del bon estat o del bon potencial ecològic de les masses d’aigua, incloses les superficials i subterrànies, i del bon estat ecològic de les aigües marines.</w:t>
      </w:r>
    </w:p>
    <w:p w14:paraId="28E67EF5" w14:textId="519FF79C" w:rsidR="00FD1F6A" w:rsidRPr="00000B73" w:rsidRDefault="00FD1F6A" w:rsidP="00000B7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000B73">
        <w:rPr>
          <w:rFonts w:ascii="Century Gothic" w:hAnsi="Century Gothic" w:cs="ArialMT"/>
        </w:rPr>
        <w:t>Economia circular, inclosos la prevenció i el reciclatge de residus – es considera</w:t>
      </w:r>
      <w:r w:rsidR="00000B73" w:rsidRPr="00000B73">
        <w:rPr>
          <w:rFonts w:ascii="Century Gothic" w:hAnsi="Century Gothic" w:cs="ArialMT"/>
        </w:rPr>
        <w:t xml:space="preserve"> </w:t>
      </w:r>
      <w:r w:rsidRPr="00000B73">
        <w:rPr>
          <w:rFonts w:ascii="Century Gothic" w:hAnsi="Century Gothic" w:cs="ArialMT"/>
        </w:rPr>
        <w:t>que una activitat causa un perjudici significatiu a l’economia circular, inclosos la prevenció i el reciclatge de residus, si genera importants ineficiències en l’ús de materials o en l’ús directe o indirecte de recursos naturals; si dóna lloc a un</w:t>
      </w:r>
      <w:r w:rsidR="00000B73" w:rsidRPr="00000B73">
        <w:rPr>
          <w:rFonts w:ascii="Century Gothic" w:hAnsi="Century Gothic" w:cs="ArialMT"/>
        </w:rPr>
        <w:t xml:space="preserve"> </w:t>
      </w:r>
      <w:r w:rsidRPr="00000B73">
        <w:rPr>
          <w:rFonts w:ascii="Century Gothic" w:hAnsi="Century Gothic" w:cs="ArialMT"/>
        </w:rPr>
        <w:t>augment significatiu de la generació de residus, el tractament mecànic-biològic, la incineració o el depòsit a l’abocament de residus; o si l’eliminació de residus a llarg termini pot causar un perjudici significatiu i a llarg termini al medi ambient.</w:t>
      </w:r>
    </w:p>
    <w:p w14:paraId="28174A14" w14:textId="5258F77F" w:rsidR="00FD1F6A" w:rsidRPr="00000B73" w:rsidRDefault="00FD1F6A" w:rsidP="00000B7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000B73">
        <w:rPr>
          <w:rFonts w:ascii="Century Gothic" w:hAnsi="Century Gothic" w:cs="ArialMT"/>
        </w:rPr>
        <w:t>Prevenció i control de la contaminació a l’atmosfera, a l’aigua o al sòl –es considera que una activitat causa un perjudici significatiu a la prevenció i control de la contaminació quan es produeix un augment significatiu de les emissions de contaminants a l’atmosfera, l’aigua o el sòl.</w:t>
      </w:r>
    </w:p>
    <w:p w14:paraId="4D01E7C4" w14:textId="38F8E0B0" w:rsidR="00FD1F6A" w:rsidRPr="00000B73" w:rsidRDefault="00FD1F6A" w:rsidP="00000B7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000B73">
        <w:rPr>
          <w:rFonts w:ascii="Century Gothic" w:hAnsi="Century Gothic" w:cs="ArialMT"/>
        </w:rPr>
        <w:t>Protecció i restauració de la biodiversitat i els ecosistemes –es considera que una</w:t>
      </w:r>
      <w:r w:rsidR="00000B73" w:rsidRPr="00000B73">
        <w:rPr>
          <w:rFonts w:ascii="Century Gothic" w:hAnsi="Century Gothic" w:cs="ArialMT"/>
        </w:rPr>
        <w:t xml:space="preserve"> </w:t>
      </w:r>
      <w:r w:rsidRPr="00000B73">
        <w:rPr>
          <w:rFonts w:ascii="Century Gothic" w:hAnsi="Century Gothic" w:cs="ArialMT"/>
        </w:rPr>
        <w:t>activitat causa un perjudici significatiu a la protecció i restauració de la biodiversitat</w:t>
      </w:r>
      <w:r w:rsidR="00000B73" w:rsidRPr="00000B73">
        <w:rPr>
          <w:rFonts w:ascii="Century Gothic" w:hAnsi="Century Gothic" w:cs="ArialMT"/>
        </w:rPr>
        <w:t xml:space="preserve"> </w:t>
      </w:r>
      <w:r w:rsidRPr="00000B73">
        <w:rPr>
          <w:rFonts w:ascii="Century Gothic" w:hAnsi="Century Gothic" w:cs="ArialMT"/>
        </w:rPr>
        <w:t xml:space="preserve">i els ecosistemes quan va en </w:t>
      </w:r>
      <w:r w:rsidRPr="00000B73">
        <w:rPr>
          <w:rFonts w:ascii="Century Gothic" w:hAnsi="Century Gothic" w:cs="ArialMT"/>
        </w:rPr>
        <w:lastRenderedPageBreak/>
        <w:t>gran mesura al detriment de les bones condicions i</w:t>
      </w:r>
      <w:r w:rsidR="00000B73" w:rsidRPr="00000B73">
        <w:rPr>
          <w:rFonts w:ascii="Century Gothic" w:hAnsi="Century Gothic" w:cs="ArialMT"/>
        </w:rPr>
        <w:t xml:space="preserve"> </w:t>
      </w:r>
      <w:r w:rsidRPr="00000B73">
        <w:rPr>
          <w:rFonts w:ascii="Century Gothic" w:hAnsi="Century Gothic" w:cs="ArialMT"/>
        </w:rPr>
        <w:t>la resiliència dels ecosistemes, o va en detriment de l’estat de conservació dels</w:t>
      </w:r>
      <w:r w:rsidR="00000B73" w:rsidRPr="00000B73">
        <w:rPr>
          <w:rFonts w:ascii="Century Gothic" w:hAnsi="Century Gothic" w:cs="ArialMT"/>
        </w:rPr>
        <w:t xml:space="preserve"> </w:t>
      </w:r>
      <w:r w:rsidRPr="00000B73">
        <w:rPr>
          <w:rFonts w:ascii="Century Gothic" w:hAnsi="Century Gothic" w:cs="ArialMT"/>
        </w:rPr>
        <w:t>hàbitats i les espècies, en particular d’aquells d’interès per la Unió.</w:t>
      </w:r>
    </w:p>
    <w:p w14:paraId="56745E55" w14:textId="77777777" w:rsidR="00000B73" w:rsidRDefault="00000B73" w:rsidP="00000B7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-BoldMT"/>
          <w:b/>
          <w:bCs/>
        </w:rPr>
      </w:pPr>
    </w:p>
    <w:p w14:paraId="1C8D788A" w14:textId="64A90F7B" w:rsidR="00FD1F6A" w:rsidRPr="00FD1F6A" w:rsidRDefault="00FD1F6A" w:rsidP="00000B7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FD1F6A">
        <w:rPr>
          <w:rFonts w:ascii="Century Gothic" w:hAnsi="Century Gothic" w:cs="Arial-BoldMT"/>
          <w:b/>
          <w:bCs/>
        </w:rPr>
        <w:t xml:space="preserve">Segon. </w:t>
      </w:r>
      <w:r w:rsidRPr="00FD1F6A">
        <w:rPr>
          <w:rFonts w:ascii="Century Gothic" w:hAnsi="Century Gothic" w:cs="ArialMT"/>
        </w:rPr>
        <w:t>L’entitat sol·licitant no desenvolupa activitats excloses segons la Guia tècnica</w:t>
      </w:r>
      <w:r w:rsidR="00000B73">
        <w:rPr>
          <w:rFonts w:ascii="Century Gothic" w:hAnsi="Century Gothic" w:cs="ArialMT"/>
        </w:rPr>
        <w:t xml:space="preserve"> </w:t>
      </w:r>
      <w:r w:rsidRPr="00FD1F6A">
        <w:rPr>
          <w:rFonts w:ascii="Century Gothic" w:hAnsi="Century Gothic" w:cs="ArialMT"/>
        </w:rPr>
        <w:t>sobre l’aplicació del principi “no causar un perjudici significatiu” d’acord amb el</w:t>
      </w:r>
      <w:r w:rsidR="00000B73">
        <w:rPr>
          <w:rFonts w:ascii="Century Gothic" w:hAnsi="Century Gothic" w:cs="ArialMT"/>
        </w:rPr>
        <w:t xml:space="preserve"> </w:t>
      </w:r>
      <w:r w:rsidRPr="00FD1F6A">
        <w:rPr>
          <w:rFonts w:ascii="Century Gothic" w:hAnsi="Century Gothic" w:cs="ArialMT"/>
        </w:rPr>
        <w:t>Reglament relatiu al Mecanisme de Recuperació i Resiliència. Les activitats excloses:</w:t>
      </w:r>
    </w:p>
    <w:p w14:paraId="7A561195" w14:textId="312A0126" w:rsidR="00FD1F6A" w:rsidRPr="00000B73" w:rsidRDefault="00FD1F6A" w:rsidP="00000B7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000B73">
        <w:rPr>
          <w:rFonts w:ascii="Century Gothic" w:hAnsi="Century Gothic" w:cs="ArialMT"/>
        </w:rPr>
        <w:t>Refineries de petroli</w:t>
      </w:r>
    </w:p>
    <w:p w14:paraId="52ED7DF5" w14:textId="29F3CB32" w:rsidR="00FD1F6A" w:rsidRPr="00000B73" w:rsidRDefault="00FD1F6A" w:rsidP="00000B7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000B73">
        <w:rPr>
          <w:rFonts w:ascii="Century Gothic" w:hAnsi="Century Gothic" w:cs="ArialMT"/>
        </w:rPr>
        <w:t>Centrals tèrmiques de carbó i extracció de combustibles fòssils</w:t>
      </w:r>
    </w:p>
    <w:p w14:paraId="0FDAFC47" w14:textId="41105D05" w:rsidR="00FD1F6A" w:rsidRPr="00000B73" w:rsidRDefault="00FD1F6A" w:rsidP="00000B7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000B73">
        <w:rPr>
          <w:rFonts w:ascii="Century Gothic" w:hAnsi="Century Gothic" w:cs="ArialMT"/>
        </w:rPr>
        <w:t xml:space="preserve">Generació d’electricitat i/o calor utilitzant combustibles fòssils i relacionats amb </w:t>
      </w:r>
      <w:r w:rsidR="00000B73" w:rsidRPr="00000B73">
        <w:rPr>
          <w:rFonts w:ascii="Century Gothic" w:hAnsi="Century Gothic" w:cs="ArialMT"/>
        </w:rPr>
        <w:t xml:space="preserve">la </w:t>
      </w:r>
      <w:r w:rsidRPr="00000B73">
        <w:rPr>
          <w:rFonts w:ascii="Century Gothic" w:hAnsi="Century Gothic" w:cs="ArialMT"/>
        </w:rPr>
        <w:t>seva infraestructura de transport i distribució.</w:t>
      </w:r>
    </w:p>
    <w:p w14:paraId="0CBC9CA3" w14:textId="030C1547" w:rsidR="00FD1F6A" w:rsidRPr="00000B73" w:rsidRDefault="00FD1F6A" w:rsidP="00000B7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000B73">
        <w:rPr>
          <w:rFonts w:ascii="Century Gothic" w:hAnsi="Century Gothic" w:cs="ArialMT"/>
        </w:rPr>
        <w:t>Eliminació de deixalles (per exemple, nuclears, que puguin causar danys a llarg</w:t>
      </w:r>
      <w:r w:rsidR="00000B73" w:rsidRPr="00000B73">
        <w:rPr>
          <w:rFonts w:ascii="Century Gothic" w:hAnsi="Century Gothic" w:cs="ArialMT"/>
        </w:rPr>
        <w:t xml:space="preserve"> </w:t>
      </w:r>
      <w:r w:rsidRPr="00000B73">
        <w:rPr>
          <w:rFonts w:ascii="Century Gothic" w:hAnsi="Century Gothic" w:cs="ArialMT"/>
        </w:rPr>
        <w:t>termini al medi ambient)</w:t>
      </w:r>
    </w:p>
    <w:p w14:paraId="1AAD4DA4" w14:textId="604BDB3C" w:rsidR="00FD1F6A" w:rsidRPr="00000B73" w:rsidRDefault="00FD1F6A" w:rsidP="00000B7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000B73">
        <w:rPr>
          <w:rFonts w:ascii="Century Gothic" w:hAnsi="Century Gothic" w:cs="ArialMT"/>
        </w:rPr>
        <w:t>Inversions en instal·lacions per la deposició de residus en abocadors o inversions</w:t>
      </w:r>
      <w:r w:rsidR="00000B73" w:rsidRPr="00000B73">
        <w:rPr>
          <w:rFonts w:ascii="Century Gothic" w:hAnsi="Century Gothic" w:cs="ArialMT"/>
        </w:rPr>
        <w:t xml:space="preserve"> </w:t>
      </w:r>
      <w:r w:rsidRPr="00000B73">
        <w:rPr>
          <w:rFonts w:ascii="Century Gothic" w:hAnsi="Century Gothic" w:cs="ArialMT"/>
        </w:rPr>
        <w:t>de la seva capacitat en plantes de tractament biològic mecànic que impliquin un</w:t>
      </w:r>
      <w:r w:rsidR="00000B73" w:rsidRPr="00000B73">
        <w:rPr>
          <w:rFonts w:ascii="Century Gothic" w:hAnsi="Century Gothic" w:cs="ArialMT"/>
        </w:rPr>
        <w:t xml:space="preserve"> </w:t>
      </w:r>
      <w:r w:rsidRPr="00000B73">
        <w:rPr>
          <w:rFonts w:ascii="Century Gothic" w:hAnsi="Century Gothic" w:cs="ArialMT"/>
        </w:rPr>
        <w:t>augment de la seva capacitat o se la seva vida útil (excepte plantes de tractament</w:t>
      </w:r>
      <w:r w:rsidR="00000B73" w:rsidRPr="00000B73">
        <w:rPr>
          <w:rFonts w:ascii="Century Gothic" w:hAnsi="Century Gothic" w:cs="ArialMT"/>
        </w:rPr>
        <w:t xml:space="preserve"> </w:t>
      </w:r>
      <w:r w:rsidRPr="00000B73">
        <w:rPr>
          <w:rFonts w:ascii="Century Gothic" w:hAnsi="Century Gothic" w:cs="ArialMT"/>
        </w:rPr>
        <w:t>de residus perillosos no reciclables)</w:t>
      </w:r>
    </w:p>
    <w:p w14:paraId="05884DB2" w14:textId="79027FBC" w:rsidR="00FD1F6A" w:rsidRPr="00000B73" w:rsidRDefault="00FD1F6A" w:rsidP="00000B7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000B73">
        <w:rPr>
          <w:rFonts w:ascii="Century Gothic" w:hAnsi="Century Gothic" w:cs="ArialMT"/>
        </w:rPr>
        <w:t>Activitats cobertes pel regim de comerç de drets d’emissió de la UE.</w:t>
      </w:r>
    </w:p>
    <w:p w14:paraId="33A65115" w14:textId="77777777" w:rsidR="00000B73" w:rsidRDefault="00000B73" w:rsidP="00000B7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-BoldMT"/>
          <w:b/>
          <w:bCs/>
        </w:rPr>
      </w:pPr>
    </w:p>
    <w:p w14:paraId="056F594A" w14:textId="7A6D203E" w:rsidR="00FD1F6A" w:rsidRPr="00FD1F6A" w:rsidRDefault="00FD1F6A" w:rsidP="00000B7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FD1F6A">
        <w:rPr>
          <w:rFonts w:ascii="Century Gothic" w:hAnsi="Century Gothic" w:cs="Arial-BoldMT"/>
          <w:b/>
          <w:bCs/>
        </w:rPr>
        <w:t xml:space="preserve">Tercer. </w:t>
      </w:r>
      <w:r w:rsidRPr="00FD1F6A">
        <w:rPr>
          <w:rFonts w:ascii="Century Gothic" w:hAnsi="Century Gothic" w:cs="ArialMT"/>
        </w:rPr>
        <w:t>L’entitat sol·licitant no preveu efectes directes del projecte o activitat sobre el</w:t>
      </w:r>
      <w:r w:rsidR="00000B73">
        <w:rPr>
          <w:rFonts w:ascii="Century Gothic" w:hAnsi="Century Gothic" w:cs="ArialMT"/>
        </w:rPr>
        <w:t xml:space="preserve"> </w:t>
      </w:r>
      <w:r w:rsidRPr="00FD1F6A">
        <w:rPr>
          <w:rFonts w:ascii="Century Gothic" w:hAnsi="Century Gothic" w:cs="ArialMT"/>
        </w:rPr>
        <w:t>medi ambient, ni efectes indirectes primaris, entenent com tals aquells que puguin</w:t>
      </w:r>
      <w:r w:rsidR="00000B73">
        <w:rPr>
          <w:rFonts w:ascii="Century Gothic" w:hAnsi="Century Gothic" w:cs="ArialMT"/>
        </w:rPr>
        <w:t xml:space="preserve"> </w:t>
      </w:r>
      <w:r w:rsidRPr="00FD1F6A">
        <w:rPr>
          <w:rFonts w:ascii="Century Gothic" w:hAnsi="Century Gothic" w:cs="ArialMT"/>
        </w:rPr>
        <w:t>materialitzar-se després de la seva finalització, una vegada realitzat el projecte o</w:t>
      </w:r>
      <w:r w:rsidR="00000B73">
        <w:rPr>
          <w:rFonts w:ascii="Century Gothic" w:hAnsi="Century Gothic" w:cs="ArialMT"/>
        </w:rPr>
        <w:t xml:space="preserve"> </w:t>
      </w:r>
      <w:r w:rsidRPr="00FD1F6A">
        <w:rPr>
          <w:rFonts w:ascii="Century Gothic" w:hAnsi="Century Gothic" w:cs="ArialMT"/>
        </w:rPr>
        <w:t>activitat.</w:t>
      </w:r>
    </w:p>
    <w:p w14:paraId="4EA8F4A1" w14:textId="77777777" w:rsidR="00000B73" w:rsidRDefault="00000B73" w:rsidP="00000B7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</w:p>
    <w:p w14:paraId="28CAA08E" w14:textId="02F62B30" w:rsidR="00FD1F6A" w:rsidRDefault="00FD1F6A" w:rsidP="00000B7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FD1F6A">
        <w:rPr>
          <w:rFonts w:ascii="Century Gothic" w:hAnsi="Century Gothic" w:cs="ArialMT"/>
        </w:rPr>
        <w:t>L’incompliment d’algun d’aquests requisits establerts en la present declaració</w:t>
      </w:r>
      <w:r w:rsidR="00000B73">
        <w:rPr>
          <w:rFonts w:ascii="Century Gothic" w:hAnsi="Century Gothic" w:cs="ArialMT"/>
        </w:rPr>
        <w:t xml:space="preserve"> </w:t>
      </w:r>
      <w:r w:rsidRPr="00FD1F6A">
        <w:rPr>
          <w:rFonts w:ascii="Century Gothic" w:hAnsi="Century Gothic" w:cs="ArialMT"/>
        </w:rPr>
        <w:t>comportarà, previ oportú procediment de reintegrament, l’obligació de tornar les ajudes</w:t>
      </w:r>
      <w:r w:rsidR="00000B73">
        <w:rPr>
          <w:rFonts w:ascii="Century Gothic" w:hAnsi="Century Gothic" w:cs="ArialMT"/>
        </w:rPr>
        <w:t xml:space="preserve"> </w:t>
      </w:r>
      <w:r w:rsidRPr="00FD1F6A">
        <w:rPr>
          <w:rFonts w:ascii="Century Gothic" w:hAnsi="Century Gothic" w:cs="ArialMT"/>
        </w:rPr>
        <w:t>percebudes i els interessos de demora corresponents</w:t>
      </w:r>
      <w:r>
        <w:rPr>
          <w:rFonts w:ascii="ArialMT" w:hAnsi="ArialMT" w:cs="ArialMT"/>
        </w:rPr>
        <w:t>.</w:t>
      </w:r>
    </w:p>
    <w:p w14:paraId="38E3789A" w14:textId="09966D37" w:rsidR="00000B73" w:rsidRDefault="00000B73" w:rsidP="00000B7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6AE8831C" w14:textId="74FAC8D9" w:rsidR="00000B73" w:rsidRPr="00000B73" w:rsidRDefault="00000B73" w:rsidP="00000B73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Century Gothic" w:hAnsi="Century Gothic" w:cs="ArialMT"/>
        </w:rPr>
      </w:pPr>
    </w:p>
    <w:p w14:paraId="0A1432FF" w14:textId="0D3370A1" w:rsidR="00000B73" w:rsidRDefault="00000B73" w:rsidP="00000B73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Century Gothic" w:hAnsi="Century Gothic" w:cs="Arial-BoldMT"/>
          <w:b/>
          <w:bCs/>
          <w:color w:val="000000"/>
        </w:rPr>
      </w:pPr>
      <w:r w:rsidRPr="00000B73">
        <w:rPr>
          <w:rFonts w:ascii="Century Gothic" w:hAnsi="Century Gothic" w:cs="Arial-BoldMT"/>
          <w:b/>
          <w:bCs/>
          <w:color w:val="000000"/>
        </w:rPr>
        <w:t xml:space="preserve">Declaració de cessió i tractament de dades en relació amb l'execució </w:t>
      </w:r>
      <w:r>
        <w:rPr>
          <w:rFonts w:ascii="Century Gothic" w:hAnsi="Century Gothic" w:cs="Arial-BoldMT"/>
          <w:b/>
          <w:bCs/>
          <w:color w:val="000000"/>
        </w:rPr>
        <w:t xml:space="preserve">d’actuacions del </w:t>
      </w:r>
      <w:r w:rsidRPr="00000B73">
        <w:rPr>
          <w:rFonts w:ascii="Century Gothic" w:hAnsi="Century Gothic" w:cs="Arial-BoldMT"/>
          <w:b/>
          <w:bCs/>
          <w:color w:val="000000"/>
        </w:rPr>
        <w:t xml:space="preserve"> Pla de recuperació, transformació i resiliència</w:t>
      </w:r>
    </w:p>
    <w:p w14:paraId="09747D86" w14:textId="55003786" w:rsidR="00000B73" w:rsidRDefault="00000B73" w:rsidP="00000B73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Century Gothic" w:hAnsi="Century Gothic" w:cs="Arial-BoldMT"/>
          <w:b/>
          <w:bCs/>
          <w:color w:val="000000"/>
        </w:rPr>
      </w:pPr>
    </w:p>
    <w:p w14:paraId="3C525A14" w14:textId="67DCDA22" w:rsidR="00000B73" w:rsidRPr="00000B73" w:rsidRDefault="00C14958" w:rsidP="00000B7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>
        <w:rPr>
          <w:rFonts w:ascii="Century Gothic" w:hAnsi="Century Gothic" w:cs="Arial-BoldMT"/>
        </w:rPr>
        <w:t>El sotasignat declara c</w:t>
      </w:r>
      <w:r w:rsidR="00000B73" w:rsidRPr="00000B73">
        <w:rPr>
          <w:rFonts w:ascii="Century Gothic" w:hAnsi="Century Gothic" w:cs="ArialMT"/>
        </w:rPr>
        <w:t>onèixer la normativa aplicable, en particular els següents apartats de</w:t>
      </w:r>
      <w:r w:rsidR="00000B73">
        <w:rPr>
          <w:rFonts w:ascii="Century Gothic" w:hAnsi="Century Gothic" w:cs="ArialMT"/>
        </w:rPr>
        <w:t xml:space="preserve">  </w:t>
      </w:r>
      <w:r w:rsidR="00000B73" w:rsidRPr="00000B73">
        <w:rPr>
          <w:rFonts w:ascii="Century Gothic" w:hAnsi="Century Gothic" w:cs="ArialMT"/>
        </w:rPr>
        <w:t>l'article 22, del Reglament (UE) 2021/241 del Parlament Europeu i del Consell, de 12 de</w:t>
      </w:r>
      <w:r w:rsidR="00000B73">
        <w:rPr>
          <w:rFonts w:ascii="Century Gothic" w:hAnsi="Century Gothic" w:cs="ArialMT"/>
        </w:rPr>
        <w:t xml:space="preserve"> </w:t>
      </w:r>
      <w:r w:rsidR="00000B73" w:rsidRPr="00000B73">
        <w:rPr>
          <w:rFonts w:ascii="Century Gothic" w:hAnsi="Century Gothic" w:cs="ArialMT"/>
        </w:rPr>
        <w:t>febrer de 2021, pel qual s'estableix el Mecanisme de Recuperació i Resiliència:</w:t>
      </w:r>
    </w:p>
    <w:p w14:paraId="5CC3DC1B" w14:textId="77777777" w:rsidR="00C14958" w:rsidRDefault="00C14958" w:rsidP="00000B7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</w:p>
    <w:p w14:paraId="48DB9F50" w14:textId="27478AAA" w:rsidR="00000B73" w:rsidRPr="00000B73" w:rsidRDefault="00000B73" w:rsidP="00000B7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000B73">
        <w:rPr>
          <w:rFonts w:ascii="Century Gothic" w:hAnsi="Century Gothic" w:cs="ArialMT"/>
        </w:rPr>
        <w:t>«1. La lletra d) de l'apartat 2: «recollir, a efectes d'auditoria i control de l'ús de fons en</w:t>
      </w:r>
      <w:r w:rsidR="00C14958">
        <w:rPr>
          <w:rFonts w:ascii="Century Gothic" w:hAnsi="Century Gothic" w:cs="ArialMT"/>
        </w:rPr>
        <w:t xml:space="preserve"> </w:t>
      </w:r>
      <w:r w:rsidRPr="00000B73">
        <w:rPr>
          <w:rFonts w:ascii="Century Gothic" w:hAnsi="Century Gothic" w:cs="ArialMT"/>
        </w:rPr>
        <w:t>relació amb les mesures destinades a l'execució de reformes i projectes d'inversió en el</w:t>
      </w:r>
      <w:r w:rsidR="00C14958">
        <w:rPr>
          <w:rFonts w:ascii="Century Gothic" w:hAnsi="Century Gothic" w:cs="ArialMT"/>
        </w:rPr>
        <w:t xml:space="preserve"> </w:t>
      </w:r>
      <w:r w:rsidRPr="00000B73">
        <w:rPr>
          <w:rFonts w:ascii="Century Gothic" w:hAnsi="Century Gothic" w:cs="ArialMT"/>
        </w:rPr>
        <w:t>marc del PRTR, en un format electrònic que permeti fer cerques i en una base de dades</w:t>
      </w:r>
      <w:r w:rsidR="00C14958">
        <w:rPr>
          <w:rFonts w:ascii="Century Gothic" w:hAnsi="Century Gothic" w:cs="ArialMT"/>
        </w:rPr>
        <w:t xml:space="preserve"> </w:t>
      </w:r>
      <w:r w:rsidRPr="00000B73">
        <w:rPr>
          <w:rFonts w:ascii="Century Gothic" w:hAnsi="Century Gothic" w:cs="ArialMT"/>
        </w:rPr>
        <w:t>única, les categories harmonitzades de dades següents:</w:t>
      </w:r>
    </w:p>
    <w:p w14:paraId="2C7B8EE3" w14:textId="77777777" w:rsidR="00000B73" w:rsidRPr="00000B73" w:rsidRDefault="00000B73" w:rsidP="00000B7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000B73">
        <w:rPr>
          <w:rFonts w:ascii="Century Gothic" w:hAnsi="Century Gothic" w:cs="ArialMT"/>
        </w:rPr>
        <w:t>i. El nom del perceptor final dels fons;</w:t>
      </w:r>
    </w:p>
    <w:p w14:paraId="1B25779A" w14:textId="77777777" w:rsidR="00000B73" w:rsidRPr="00000B73" w:rsidRDefault="00000B73" w:rsidP="00000B7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000B73">
        <w:rPr>
          <w:rFonts w:ascii="Century Gothic" w:hAnsi="Century Gothic" w:cs="ArialMT"/>
        </w:rPr>
        <w:t>ii. El nom del contractista i del subcontractista, quan el perceptor final dels fons</w:t>
      </w:r>
    </w:p>
    <w:p w14:paraId="076A2052" w14:textId="77777777" w:rsidR="00000B73" w:rsidRPr="00000B73" w:rsidRDefault="00000B73" w:rsidP="00000B7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000B73">
        <w:rPr>
          <w:rFonts w:ascii="Century Gothic" w:hAnsi="Century Gothic" w:cs="ArialMT"/>
        </w:rPr>
        <w:t>sigui un poder adjudicador de conformitat amb el Dret de la Unió o nacional en</w:t>
      </w:r>
    </w:p>
    <w:p w14:paraId="0D66A74F" w14:textId="77777777" w:rsidR="00000B73" w:rsidRPr="00000B73" w:rsidRDefault="00000B73" w:rsidP="00000B7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000B73">
        <w:rPr>
          <w:rFonts w:ascii="Century Gothic" w:hAnsi="Century Gothic" w:cs="ArialMT"/>
        </w:rPr>
        <w:lastRenderedPageBreak/>
        <w:t>matèria de contractació pública;</w:t>
      </w:r>
    </w:p>
    <w:p w14:paraId="362D3A0C" w14:textId="77777777" w:rsidR="00000B73" w:rsidRPr="00000B73" w:rsidRDefault="00000B73" w:rsidP="00000B7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000B73">
        <w:rPr>
          <w:rFonts w:ascii="Century Gothic" w:hAnsi="Century Gothic" w:cs="ArialMT"/>
        </w:rPr>
        <w:t>iii. Els noms, cognoms i dates de naixement dels titulars reals del perceptor dels</w:t>
      </w:r>
    </w:p>
    <w:p w14:paraId="0018A89E" w14:textId="77777777" w:rsidR="00000B73" w:rsidRPr="00000B73" w:rsidRDefault="00000B73" w:rsidP="00000B7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000B73">
        <w:rPr>
          <w:rFonts w:ascii="Century Gothic" w:hAnsi="Century Gothic" w:cs="ArialMT"/>
        </w:rPr>
        <w:t>fons o del contractista, segons es defineix a l'article 3, punt 6, de la Directiva (UE)</w:t>
      </w:r>
    </w:p>
    <w:p w14:paraId="4D096919" w14:textId="77777777" w:rsidR="00000B73" w:rsidRPr="00000B73" w:rsidRDefault="00000B73" w:rsidP="00000B7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000B73">
        <w:rPr>
          <w:rFonts w:ascii="Century Gothic" w:hAnsi="Century Gothic" w:cs="ArialMT"/>
        </w:rPr>
        <w:t>2015/849 del Parlament Europeu i del Consell (26);</w:t>
      </w:r>
    </w:p>
    <w:p w14:paraId="7D11CAA8" w14:textId="77777777" w:rsidR="00000B73" w:rsidRPr="00000B73" w:rsidRDefault="00000B73" w:rsidP="00000B7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000B73">
        <w:rPr>
          <w:rFonts w:ascii="Century Gothic" w:hAnsi="Century Gothic" w:cs="ArialMT"/>
        </w:rPr>
        <w:t>iv. Una llista de mesures per a l'execució de reformes i projectes d'inversió en el</w:t>
      </w:r>
    </w:p>
    <w:p w14:paraId="2E98900F" w14:textId="77777777" w:rsidR="00000B73" w:rsidRPr="00000B73" w:rsidRDefault="00000B73" w:rsidP="00000B7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000B73">
        <w:rPr>
          <w:rFonts w:ascii="Century Gothic" w:hAnsi="Century Gothic" w:cs="ArialMT"/>
        </w:rPr>
        <w:t>marc del PRTR, juntament amb l'import total del finançament públic d'aquestes</w:t>
      </w:r>
    </w:p>
    <w:p w14:paraId="542C9B85" w14:textId="41DA7505" w:rsidR="00000B73" w:rsidRPr="00000B73" w:rsidRDefault="00000B73" w:rsidP="00000B7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000B73">
        <w:rPr>
          <w:rFonts w:ascii="Century Gothic" w:hAnsi="Century Gothic" w:cs="ArialMT"/>
        </w:rPr>
        <w:t>mesures i que indiqui la quantia dels fons desemborsats en el marc del</w:t>
      </w:r>
      <w:r w:rsidR="00C14958">
        <w:rPr>
          <w:rFonts w:ascii="Century Gothic" w:hAnsi="Century Gothic" w:cs="ArialMT"/>
        </w:rPr>
        <w:t xml:space="preserve"> </w:t>
      </w:r>
      <w:r w:rsidRPr="00000B73">
        <w:rPr>
          <w:rFonts w:ascii="Century Gothic" w:hAnsi="Century Gothic" w:cs="ArialMT"/>
        </w:rPr>
        <w:t>Mecanisme i d'altres fons de la Unió».</w:t>
      </w:r>
    </w:p>
    <w:p w14:paraId="3AAAFC9A" w14:textId="77777777" w:rsidR="00C14958" w:rsidRDefault="00C14958" w:rsidP="00000B7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</w:p>
    <w:p w14:paraId="46F9E2FB" w14:textId="68FC6708" w:rsidR="00000B73" w:rsidRPr="00000B73" w:rsidRDefault="00000B73" w:rsidP="00000B7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000B73">
        <w:rPr>
          <w:rFonts w:ascii="Century Gothic" w:hAnsi="Century Gothic" w:cs="ArialMT"/>
        </w:rPr>
        <w:t>2. Apartat 3: «Les dades personals esmentades a l'apartat 2, lletra d), del present article</w:t>
      </w:r>
      <w:r w:rsidR="00C14958">
        <w:rPr>
          <w:rFonts w:ascii="Century Gothic" w:hAnsi="Century Gothic" w:cs="ArialMT"/>
        </w:rPr>
        <w:t xml:space="preserve"> </w:t>
      </w:r>
      <w:r w:rsidRPr="00000B73">
        <w:rPr>
          <w:rFonts w:ascii="Century Gothic" w:hAnsi="Century Gothic" w:cs="ArialMT"/>
        </w:rPr>
        <w:t>només seran tractades pels Estats membres i per la Comissió als efectes i durada de la</w:t>
      </w:r>
      <w:r w:rsidR="00C14958">
        <w:rPr>
          <w:rFonts w:ascii="Century Gothic" w:hAnsi="Century Gothic" w:cs="ArialMT"/>
        </w:rPr>
        <w:t xml:space="preserve"> </w:t>
      </w:r>
      <w:r w:rsidRPr="00000B73">
        <w:rPr>
          <w:rFonts w:ascii="Century Gothic" w:hAnsi="Century Gothic" w:cs="ArialMT"/>
        </w:rPr>
        <w:t>corresponent auditoria de l'aprovació de la gestió pressupostària i dels procediments de</w:t>
      </w:r>
      <w:r w:rsidR="00C14958">
        <w:rPr>
          <w:rFonts w:ascii="Century Gothic" w:hAnsi="Century Gothic" w:cs="ArialMT"/>
        </w:rPr>
        <w:t xml:space="preserve"> </w:t>
      </w:r>
      <w:r w:rsidRPr="00000B73">
        <w:rPr>
          <w:rFonts w:ascii="Century Gothic" w:hAnsi="Century Gothic" w:cs="ArialMT"/>
        </w:rPr>
        <w:t>control relacionats amb la utilització dels fons relacionats amb l'aplicació dels acords a</w:t>
      </w:r>
      <w:r w:rsidR="00C14958">
        <w:rPr>
          <w:rFonts w:ascii="Century Gothic" w:hAnsi="Century Gothic" w:cs="ArialMT"/>
        </w:rPr>
        <w:t xml:space="preserve"> </w:t>
      </w:r>
      <w:r w:rsidRPr="00000B73">
        <w:rPr>
          <w:rFonts w:ascii="Century Gothic" w:hAnsi="Century Gothic" w:cs="ArialMT"/>
        </w:rPr>
        <w:t>què es refereixen els articles 15, apartat 2, i 23, apartat 1. En el marc del procediment</w:t>
      </w:r>
      <w:r w:rsidR="00C14958">
        <w:rPr>
          <w:rFonts w:ascii="Century Gothic" w:hAnsi="Century Gothic" w:cs="ArialMT"/>
        </w:rPr>
        <w:t xml:space="preserve"> </w:t>
      </w:r>
      <w:r w:rsidRPr="00000B73">
        <w:rPr>
          <w:rFonts w:ascii="Century Gothic" w:hAnsi="Century Gothic" w:cs="ArialMT"/>
        </w:rPr>
        <w:t>d'aprovació de la gestió de la Comissió, de conformitat amb l' article 319 del TFUE, el</w:t>
      </w:r>
      <w:r w:rsidR="00C14958">
        <w:rPr>
          <w:rFonts w:ascii="Century Gothic" w:hAnsi="Century Gothic" w:cs="ArialMT"/>
        </w:rPr>
        <w:t xml:space="preserve"> </w:t>
      </w:r>
      <w:r w:rsidRPr="00000B73">
        <w:rPr>
          <w:rFonts w:ascii="Century Gothic" w:hAnsi="Century Gothic" w:cs="ArialMT"/>
        </w:rPr>
        <w:t>Mecanisme estarà subjecte a la presentació d' informes en el marc de la informació</w:t>
      </w:r>
      <w:r w:rsidR="00C14958">
        <w:rPr>
          <w:rFonts w:ascii="Century Gothic" w:hAnsi="Century Gothic" w:cs="ArialMT"/>
        </w:rPr>
        <w:t xml:space="preserve"> </w:t>
      </w:r>
      <w:r w:rsidRPr="00000B73">
        <w:rPr>
          <w:rFonts w:ascii="Century Gothic" w:hAnsi="Century Gothic" w:cs="ArialMT"/>
        </w:rPr>
        <w:t>financera i de rendició de comptes integrada a què es refereix l'article 247 del Reglament</w:t>
      </w:r>
      <w:r w:rsidR="00C14958">
        <w:rPr>
          <w:rFonts w:ascii="Century Gothic" w:hAnsi="Century Gothic" w:cs="ArialMT"/>
        </w:rPr>
        <w:t xml:space="preserve"> </w:t>
      </w:r>
      <w:r w:rsidRPr="00000B73">
        <w:rPr>
          <w:rFonts w:ascii="Century Gothic" w:hAnsi="Century Gothic" w:cs="ArialMT"/>
        </w:rPr>
        <w:t>Financer i, en particular, per separat, en l'informe anual de gestió i rendiment».</w:t>
      </w:r>
    </w:p>
    <w:p w14:paraId="27C483B6" w14:textId="77777777" w:rsidR="00C14958" w:rsidRDefault="00C14958" w:rsidP="00000B7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</w:p>
    <w:p w14:paraId="045EF237" w14:textId="60A365C2" w:rsidR="00000B73" w:rsidRDefault="00000B73" w:rsidP="00C1495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000B73">
        <w:rPr>
          <w:rFonts w:ascii="Century Gothic" w:hAnsi="Century Gothic" w:cs="ArialMT"/>
        </w:rPr>
        <w:t>Conforme al marc jurídic exposat, manifesta accedir a la cessió i tractament de les dades</w:t>
      </w:r>
      <w:r w:rsidR="00C14958">
        <w:rPr>
          <w:rFonts w:ascii="Century Gothic" w:hAnsi="Century Gothic" w:cs="ArialMT"/>
        </w:rPr>
        <w:t xml:space="preserve"> </w:t>
      </w:r>
      <w:r w:rsidRPr="00000B73">
        <w:rPr>
          <w:rFonts w:ascii="Century Gothic" w:hAnsi="Century Gothic" w:cs="ArialMT"/>
        </w:rPr>
        <w:t>amb les finalitats expressament relacionades en els articles esmentats.</w:t>
      </w:r>
    </w:p>
    <w:p w14:paraId="77839FB6" w14:textId="0F92F9F6" w:rsidR="00C14958" w:rsidRDefault="00C14958" w:rsidP="00C1495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</w:p>
    <w:p w14:paraId="148C1B20" w14:textId="5DF95C69" w:rsidR="00C14958" w:rsidRDefault="00C14958" w:rsidP="00C1495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</w:p>
    <w:p w14:paraId="1802368B" w14:textId="77777777" w:rsidR="00C14958" w:rsidRPr="00C14958" w:rsidRDefault="00C14958" w:rsidP="00C1495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</w:rPr>
      </w:pPr>
      <w:r w:rsidRPr="00C14958">
        <w:rPr>
          <w:rFonts w:ascii="Century Gothic" w:hAnsi="Century Gothic" w:cs="Arial-BoldMT"/>
          <w:b/>
          <w:bCs/>
        </w:rPr>
        <w:t>Declaració de compromís en relació amb l’execució d’actuacions del Pla de</w:t>
      </w:r>
    </w:p>
    <w:p w14:paraId="27F330C3" w14:textId="77777777" w:rsidR="00C14958" w:rsidRPr="00C14958" w:rsidRDefault="00C14958" w:rsidP="00C1495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</w:rPr>
      </w:pPr>
      <w:r w:rsidRPr="00C14958">
        <w:rPr>
          <w:rFonts w:ascii="Century Gothic" w:hAnsi="Century Gothic" w:cs="Arial-BoldMT"/>
          <w:b/>
          <w:bCs/>
        </w:rPr>
        <w:t>recuperació, transformació i resiliència</w:t>
      </w:r>
    </w:p>
    <w:p w14:paraId="0B8280FC" w14:textId="77777777" w:rsidR="00C14958" w:rsidRDefault="00C14958" w:rsidP="00C1495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</w:rPr>
      </w:pPr>
    </w:p>
    <w:p w14:paraId="37A28082" w14:textId="75CB18C7" w:rsidR="00C14958" w:rsidRPr="00C14958" w:rsidRDefault="00C14958" w:rsidP="00C1495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C14958">
        <w:rPr>
          <w:rFonts w:ascii="Century Gothic" w:hAnsi="Century Gothic" w:cs="Arial-BoldMT"/>
          <w:b/>
          <w:bCs/>
        </w:rPr>
        <w:t>Primer</w:t>
      </w:r>
      <w:r w:rsidRPr="00C14958">
        <w:rPr>
          <w:rFonts w:ascii="Century Gothic" w:hAnsi="Century Gothic" w:cs="ArialMT"/>
        </w:rPr>
        <w:t>. Manifestar el compromís de l’entitat que represento amb els estàndards</w:t>
      </w:r>
    </w:p>
    <w:p w14:paraId="2B1C9B0E" w14:textId="74C96B07" w:rsidR="00C14958" w:rsidRPr="00C14958" w:rsidRDefault="00C14958" w:rsidP="00C1495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C14958">
        <w:rPr>
          <w:rFonts w:ascii="Century Gothic" w:hAnsi="Century Gothic" w:cs="ArialMT"/>
        </w:rPr>
        <w:t>més exigents en relació amb el compliment de les normes jurídiques, ètiques i</w:t>
      </w:r>
      <w:r>
        <w:rPr>
          <w:rFonts w:ascii="Century Gothic" w:hAnsi="Century Gothic" w:cs="ArialMT"/>
        </w:rPr>
        <w:t xml:space="preserve"> </w:t>
      </w:r>
      <w:r w:rsidRPr="00C14958">
        <w:rPr>
          <w:rFonts w:ascii="Century Gothic" w:hAnsi="Century Gothic" w:cs="ArialMT"/>
        </w:rPr>
        <w:t>morals, i adoptaré les mesures necessàries per prevenir i detectar el frau, la</w:t>
      </w:r>
      <w:r>
        <w:rPr>
          <w:rFonts w:ascii="Century Gothic" w:hAnsi="Century Gothic" w:cs="ArialMT"/>
        </w:rPr>
        <w:t xml:space="preserve"> </w:t>
      </w:r>
      <w:r w:rsidRPr="00C14958">
        <w:rPr>
          <w:rFonts w:ascii="Century Gothic" w:hAnsi="Century Gothic" w:cs="ArialMT"/>
        </w:rPr>
        <w:t>corrupció i els conflictes d’interès, i comunicació si escau a les autoritats procedents</w:t>
      </w:r>
      <w:r>
        <w:rPr>
          <w:rFonts w:ascii="Century Gothic" w:hAnsi="Century Gothic" w:cs="ArialMT"/>
        </w:rPr>
        <w:t xml:space="preserve"> </w:t>
      </w:r>
      <w:r w:rsidRPr="00C14958">
        <w:rPr>
          <w:rFonts w:ascii="Century Gothic" w:hAnsi="Century Gothic" w:cs="ArialMT"/>
        </w:rPr>
        <w:t>els incompliments observats.</w:t>
      </w:r>
    </w:p>
    <w:p w14:paraId="4110060C" w14:textId="77777777" w:rsidR="00C14958" w:rsidRDefault="00C14958" w:rsidP="00C1495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-BoldMT"/>
          <w:b/>
          <w:bCs/>
        </w:rPr>
      </w:pPr>
    </w:p>
    <w:p w14:paraId="425B146B" w14:textId="4EF44F2E" w:rsidR="00C14958" w:rsidRDefault="00C14958" w:rsidP="00C1495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  <w:r w:rsidRPr="00C14958">
        <w:rPr>
          <w:rFonts w:ascii="Century Gothic" w:hAnsi="Century Gothic" w:cs="Arial-BoldMT"/>
          <w:b/>
          <w:bCs/>
        </w:rPr>
        <w:t xml:space="preserve">Segon. </w:t>
      </w:r>
      <w:r w:rsidRPr="00C14958">
        <w:rPr>
          <w:rFonts w:ascii="Century Gothic" w:hAnsi="Century Gothic" w:cs="ArialMT"/>
        </w:rPr>
        <w:t>Addicionalment, atenent al contingut del PRTR, em comprometo a respectar</w:t>
      </w:r>
      <w:r>
        <w:rPr>
          <w:rFonts w:ascii="Century Gothic" w:hAnsi="Century Gothic" w:cs="ArialMT"/>
        </w:rPr>
        <w:t xml:space="preserve"> </w:t>
      </w:r>
      <w:r w:rsidRPr="00C14958">
        <w:rPr>
          <w:rFonts w:ascii="Century Gothic" w:hAnsi="Century Gothic" w:cs="ArialMT"/>
        </w:rPr>
        <w:t>els principis d’economia circular i evitar impactes negatius significatius en el medi</w:t>
      </w:r>
      <w:r>
        <w:rPr>
          <w:rFonts w:ascii="Century Gothic" w:hAnsi="Century Gothic" w:cs="ArialMT"/>
        </w:rPr>
        <w:t xml:space="preserve"> </w:t>
      </w:r>
      <w:r w:rsidRPr="00C14958">
        <w:rPr>
          <w:rFonts w:ascii="Century Gothic" w:hAnsi="Century Gothic" w:cs="ArialMT"/>
        </w:rPr>
        <w:t xml:space="preserve">ambient (DNSH, per les sigles en anglès </w:t>
      </w:r>
      <w:r w:rsidRPr="00C14958">
        <w:rPr>
          <w:rFonts w:ascii="Century Gothic" w:hAnsi="Century Gothic" w:cs="Arial-ItalicMT"/>
          <w:i/>
          <w:iCs/>
        </w:rPr>
        <w:t>do no significant harm</w:t>
      </w:r>
      <w:r w:rsidRPr="00C14958">
        <w:rPr>
          <w:rFonts w:ascii="Century Gothic" w:hAnsi="Century Gothic" w:cs="ArialMT"/>
        </w:rPr>
        <w:t>) en l’execució de les</w:t>
      </w:r>
      <w:r>
        <w:rPr>
          <w:rFonts w:ascii="Century Gothic" w:hAnsi="Century Gothic" w:cs="ArialMT"/>
        </w:rPr>
        <w:t xml:space="preserve"> </w:t>
      </w:r>
      <w:r w:rsidRPr="00C14958">
        <w:rPr>
          <w:rFonts w:ascii="Century Gothic" w:hAnsi="Century Gothic" w:cs="ArialMT"/>
        </w:rPr>
        <w:t>actuacions dutes a terme en el marc del Pla, i manifesto que no hi ha doble</w:t>
      </w:r>
      <w:r>
        <w:rPr>
          <w:rFonts w:ascii="Century Gothic" w:hAnsi="Century Gothic" w:cs="ArialMT"/>
        </w:rPr>
        <w:t xml:space="preserve"> </w:t>
      </w:r>
      <w:r w:rsidRPr="00C14958">
        <w:rPr>
          <w:rFonts w:ascii="Century Gothic" w:hAnsi="Century Gothic" w:cs="ArialMT"/>
        </w:rPr>
        <w:t>finançament i que, en cas d’haver-n’hi, no em consta cap risc d’incompatibilitat amb el</w:t>
      </w:r>
      <w:r>
        <w:rPr>
          <w:rFonts w:ascii="Century Gothic" w:hAnsi="Century Gothic" w:cs="ArialMT"/>
        </w:rPr>
        <w:t xml:space="preserve"> </w:t>
      </w:r>
      <w:r w:rsidRPr="00C14958">
        <w:rPr>
          <w:rFonts w:ascii="Century Gothic" w:hAnsi="Century Gothic" w:cs="ArialMT"/>
        </w:rPr>
        <w:t>règim d’ajuts d’estat.</w:t>
      </w:r>
    </w:p>
    <w:p w14:paraId="0D8E7ED1" w14:textId="2EA3C901" w:rsidR="00C14958" w:rsidRDefault="00C14958" w:rsidP="00C1495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</w:p>
    <w:p w14:paraId="5C63043A" w14:textId="5DA60F3E" w:rsidR="00C14958" w:rsidRDefault="00C14958" w:rsidP="00C1495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</w:p>
    <w:p w14:paraId="46A3A620" w14:textId="0F28E2FC" w:rsidR="00C14958" w:rsidRDefault="00C14958" w:rsidP="00C1495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</w:rPr>
      </w:pPr>
    </w:p>
    <w:p w14:paraId="2E988A5B" w14:textId="6E9A59D4" w:rsidR="00C14958" w:rsidRPr="00C14958" w:rsidRDefault="00C14958" w:rsidP="00C1495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-BoldMT"/>
          <w:b/>
          <w:bCs/>
          <w:color w:val="000000"/>
          <w:sz w:val="18"/>
          <w:szCs w:val="18"/>
        </w:rPr>
      </w:pPr>
      <w:r w:rsidRPr="00C14958">
        <w:rPr>
          <w:rFonts w:ascii="Century Gothic" w:hAnsi="Century Gothic" w:cs="ArialMT"/>
          <w:sz w:val="18"/>
          <w:szCs w:val="18"/>
        </w:rPr>
        <w:t>(signatura electrònica)</w:t>
      </w:r>
    </w:p>
    <w:sectPr w:rsidR="00C14958" w:rsidRPr="00C14958" w:rsidSect="00AC24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80EA9" w14:textId="77777777" w:rsidR="00D76BFA" w:rsidRDefault="00D76BFA" w:rsidP="00D76BFA">
      <w:pPr>
        <w:spacing w:after="0" w:line="240" w:lineRule="auto"/>
      </w:pPr>
      <w:r>
        <w:separator/>
      </w:r>
    </w:p>
  </w:endnote>
  <w:endnote w:type="continuationSeparator" w:id="0">
    <w:p w14:paraId="6D370F58" w14:textId="77777777" w:rsidR="00D76BFA" w:rsidRDefault="00D76BFA" w:rsidP="00D7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22AA" w14:textId="77777777" w:rsidR="00F05F40" w:rsidRDefault="00F05F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25DA" w14:textId="57EF9F5C" w:rsidR="00D76BFA" w:rsidRDefault="00D76BFA">
    <w:pPr>
      <w:pStyle w:val="Piedepgina"/>
    </w:pPr>
    <w:r>
      <w:rPr>
        <w:noProof/>
      </w:rPr>
      <w:drawing>
        <wp:inline distT="0" distB="0" distL="0" distR="0" wp14:anchorId="1EC1758C" wp14:editId="44903E55">
          <wp:extent cx="5400040" cy="476849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6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551C3" w14:textId="77777777" w:rsidR="00F05F40" w:rsidRDefault="00F05F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18055" w14:textId="77777777" w:rsidR="00D76BFA" w:rsidRDefault="00D76BFA" w:rsidP="00D76BFA">
      <w:pPr>
        <w:spacing w:after="0" w:line="240" w:lineRule="auto"/>
      </w:pPr>
      <w:r>
        <w:separator/>
      </w:r>
    </w:p>
  </w:footnote>
  <w:footnote w:type="continuationSeparator" w:id="0">
    <w:p w14:paraId="0C09CB35" w14:textId="77777777" w:rsidR="00D76BFA" w:rsidRDefault="00D76BFA" w:rsidP="00D76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11AD" w14:textId="77777777" w:rsidR="00F05F40" w:rsidRDefault="00F05F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3402"/>
    </w:tblGrid>
    <w:tr w:rsidR="00F05F40" w14:paraId="14E82E25" w14:textId="77777777" w:rsidTr="00F05F40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04ADF848" w14:textId="6547614B" w:rsidR="00F05F40" w:rsidRDefault="00F05F40" w:rsidP="00F05F40">
          <w:pPr>
            <w:pStyle w:val="Encabezado"/>
            <w:spacing w:line="256" w:lineRule="auto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bookmarkStart w:id="0" w:name="_Hlk197428374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3BBFEEA" wp14:editId="3DE069CB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43295272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>
            <w:rPr>
              <w:rFonts w:ascii="Century Gothic" w:hAnsi="Century Gothic"/>
              <w:b/>
              <w:sz w:val="14"/>
              <w:szCs w:val="14"/>
              <w:lang w:val="es-ES"/>
            </w:rPr>
            <w:t>Expedient</w:t>
          </w:r>
          <w:proofErr w:type="spellEnd"/>
          <w:r>
            <w:rPr>
              <w:rFonts w:ascii="Century Gothic" w:hAnsi="Century Gothic"/>
              <w:b/>
              <w:sz w:val="14"/>
              <w:szCs w:val="14"/>
              <w:lang w:val="es-ES"/>
            </w:rPr>
            <w:t>: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211A9C3A" w14:textId="77777777" w:rsidR="00F05F40" w:rsidRDefault="00F05F40" w:rsidP="00F05F40">
          <w:pPr>
            <w:pStyle w:val="Encabezado"/>
            <w:spacing w:line="256" w:lineRule="auto"/>
            <w:jc w:val="right"/>
            <w:rPr>
              <w:rFonts w:ascii="Century Gothic" w:hAnsi="Century Gothic"/>
              <w:sz w:val="14"/>
              <w:szCs w:val="14"/>
              <w:lang w:val="es-ES"/>
            </w:rPr>
          </w:pPr>
          <w:r>
            <w:rPr>
              <w:rFonts w:ascii="Century Gothic" w:hAnsi="Century Gothic"/>
              <w:sz w:val="14"/>
              <w:szCs w:val="14"/>
              <w:lang w:val="es-ES"/>
            </w:rPr>
            <w:t xml:space="preserve">001/2025/3881/I261 </w:t>
          </w:r>
        </w:p>
      </w:tc>
    </w:tr>
    <w:tr w:rsidR="00F05F40" w14:paraId="55C6AE6D" w14:textId="77777777" w:rsidTr="00F05F40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2A3F0973" w14:textId="77777777" w:rsidR="00F05F40" w:rsidRDefault="00F05F40" w:rsidP="00F05F40">
          <w:pPr>
            <w:pStyle w:val="Encabezado"/>
            <w:spacing w:line="256" w:lineRule="auto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proofErr w:type="spellStart"/>
          <w:r>
            <w:rPr>
              <w:rFonts w:ascii="Century Gothic" w:hAnsi="Century Gothic"/>
              <w:b/>
              <w:sz w:val="14"/>
              <w:szCs w:val="14"/>
              <w:lang w:val="es-ES"/>
            </w:rPr>
            <w:t>Descrip</w:t>
          </w:r>
          <w:proofErr w:type="spellEnd"/>
          <w:r>
            <w:rPr>
              <w:rFonts w:ascii="Century Gothic" w:hAnsi="Century Gothic"/>
              <w:b/>
              <w:sz w:val="14"/>
              <w:szCs w:val="14"/>
              <w:lang w:val="es-ES"/>
            </w:rPr>
            <w:t>.: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4F5A499B" w14:textId="77777777" w:rsidR="00F05F40" w:rsidRDefault="00F05F40" w:rsidP="00F05F40">
          <w:pPr>
            <w:pStyle w:val="Encabezado"/>
            <w:spacing w:line="256" w:lineRule="auto"/>
            <w:rPr>
              <w:rFonts w:ascii="Century Gothic" w:hAnsi="Century Gothic"/>
              <w:sz w:val="14"/>
              <w:szCs w:val="14"/>
              <w:lang w:val="es-ES"/>
            </w:rPr>
          </w:pPr>
          <w:r>
            <w:rPr>
              <w:rFonts w:ascii="Century Gothic" w:hAnsi="Century Gothic"/>
              <w:sz w:val="14"/>
              <w:szCs w:val="14"/>
              <w:lang w:val="es-ES"/>
            </w:rPr>
            <w:t>OBRES DEL PROJECTE DE REFORMA DE LA LLAR D’INFANTS LA PAU DE TÀRREGA, EN EL MARC DEL “PLA DE RECUPERACIÓ, TRANSFORMACIÓ I RESILIÈNCIA- FINANÇAT PER LA UNIÓ EUROPEA- NEXT GENERATION</w:t>
          </w:r>
        </w:p>
      </w:tc>
    </w:tr>
  </w:tbl>
  <w:p w14:paraId="421E73C0" w14:textId="404AACC4" w:rsidR="00F05F40" w:rsidRDefault="00F05F40" w:rsidP="00F05F40">
    <w:pPr>
      <w:pStyle w:val="Encabezado"/>
      <w:rPr>
        <w:rFonts w:ascii="Century Gothic" w:hAnsi="Century Gothic" w:cs="Arial"/>
        <w:szCs w:val="24"/>
        <w:lang w:eastAsia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2F3917" wp14:editId="7FE6474F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0" t="0" r="0" b="0"/>
              <wp:wrapNone/>
              <wp:docPr id="1778967813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23D9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p w14:paraId="254B52A9" w14:textId="77777777" w:rsidR="00F05F40" w:rsidRDefault="00F05F40" w:rsidP="00F05F40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0"/>
  <w:p w14:paraId="55AEE2ED" w14:textId="77777777" w:rsidR="00F05F40" w:rsidRDefault="00F05F40" w:rsidP="00F05F40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p w14:paraId="607FFE5B" w14:textId="77777777" w:rsidR="00F05F40" w:rsidRDefault="00F05F4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62638" w14:textId="77777777" w:rsidR="00F05F40" w:rsidRDefault="00F05F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EC5"/>
    <w:multiLevelType w:val="hybridMultilevel"/>
    <w:tmpl w:val="D832B5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F7895"/>
    <w:multiLevelType w:val="hybridMultilevel"/>
    <w:tmpl w:val="7FAEB0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D6590"/>
    <w:multiLevelType w:val="hybridMultilevel"/>
    <w:tmpl w:val="376C94A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C0C8C"/>
    <w:multiLevelType w:val="hybridMultilevel"/>
    <w:tmpl w:val="1C80DCD6"/>
    <w:lvl w:ilvl="0" w:tplc="AEF43A3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61780"/>
    <w:multiLevelType w:val="hybridMultilevel"/>
    <w:tmpl w:val="73EA3CE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734C9C"/>
    <w:multiLevelType w:val="hybridMultilevel"/>
    <w:tmpl w:val="663EC2C4"/>
    <w:lvl w:ilvl="0" w:tplc="3E1C10D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334865">
    <w:abstractNumId w:val="1"/>
  </w:num>
  <w:num w:numId="2" w16cid:durableId="476147312">
    <w:abstractNumId w:val="0"/>
  </w:num>
  <w:num w:numId="3" w16cid:durableId="171991063">
    <w:abstractNumId w:val="5"/>
  </w:num>
  <w:num w:numId="4" w16cid:durableId="1263341523">
    <w:abstractNumId w:val="4"/>
  </w:num>
  <w:num w:numId="5" w16cid:durableId="894897386">
    <w:abstractNumId w:val="2"/>
  </w:num>
  <w:num w:numId="6" w16cid:durableId="989821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HVDDsTlAuAh8lgAFNkubLkVbo7gi8XLJv99Oh6LKH7i8Pah//2fOkKmmolqzzXhmD+J/GVmH5SAEACQ7O6ySA==" w:salt="jOThSi3wDRLMzQYnpuchLw=="/>
  <w:defaultTabStop w:val="708"/>
  <w:hyphenationZone w:val="425"/>
  <w:characterSpacingControl w:val="doNotCompress"/>
  <w:hdrShapeDefaults>
    <o:shapedefaults v:ext="edit" spidmax="8195"/>
    <o:shapelayout v:ext="edit">
      <o:rules v:ext="edit">
        <o:r id="V:Rule1" type="connector" idref="#Conector recto de flecha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A8"/>
    <w:rsid w:val="00000B73"/>
    <w:rsid w:val="002105FE"/>
    <w:rsid w:val="003C44FE"/>
    <w:rsid w:val="006021A8"/>
    <w:rsid w:val="00627006"/>
    <w:rsid w:val="00852847"/>
    <w:rsid w:val="00A258A0"/>
    <w:rsid w:val="00AC24F8"/>
    <w:rsid w:val="00C14958"/>
    <w:rsid w:val="00D76BFA"/>
    <w:rsid w:val="00F05F40"/>
    <w:rsid w:val="00FD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5B3032A5"/>
  <w15:chartTrackingRefBased/>
  <w15:docId w15:val="{CEB4CEB4-FCE4-4904-99F3-622E37B7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1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021A8"/>
    <w:rPr>
      <w:color w:val="808080"/>
    </w:rPr>
  </w:style>
  <w:style w:type="paragraph" w:styleId="Prrafodelista">
    <w:name w:val="List Paragraph"/>
    <w:basedOn w:val="Normal"/>
    <w:uiPriority w:val="34"/>
    <w:qFormat/>
    <w:rsid w:val="006021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76B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BFA"/>
  </w:style>
  <w:style w:type="paragraph" w:styleId="Piedepgina">
    <w:name w:val="footer"/>
    <w:basedOn w:val="Normal"/>
    <w:link w:val="PiedepginaCar"/>
    <w:uiPriority w:val="99"/>
    <w:unhideWhenUsed/>
    <w:rsid w:val="00D76B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6</cp:revision>
  <dcterms:created xsi:type="dcterms:W3CDTF">2023-01-12T13:37:00Z</dcterms:created>
  <dcterms:modified xsi:type="dcterms:W3CDTF">2025-05-06T11:04:00Z</dcterms:modified>
</cp:coreProperties>
</file>