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0A6A5" w14:textId="77777777" w:rsidR="00CF65E5" w:rsidRDefault="00CF65E5" w:rsidP="00AF3C70">
      <w:pPr>
        <w:autoSpaceDE w:val="0"/>
        <w:autoSpaceDN w:val="0"/>
        <w:adjustRightInd w:val="0"/>
        <w:ind w:left="708" w:hanging="708"/>
        <w:rPr>
          <w:rFonts w:cs="Arial"/>
          <w:b/>
          <w:bCs/>
          <w:sz w:val="22"/>
          <w:szCs w:val="22"/>
        </w:rPr>
      </w:pPr>
    </w:p>
    <w:p w14:paraId="38254F3C" w14:textId="55063AE3" w:rsidR="00134189" w:rsidRDefault="00B842E0" w:rsidP="00134189">
      <w:pPr>
        <w:autoSpaceDE w:val="0"/>
        <w:autoSpaceDN w:val="0"/>
        <w:adjustRightInd w:val="0"/>
        <w:rPr>
          <w:rFonts w:eastAsiaTheme="minorHAnsi" w:cs="Arial"/>
          <w:sz w:val="22"/>
          <w:szCs w:val="22"/>
        </w:rPr>
      </w:pPr>
      <w:r w:rsidRPr="008337F4">
        <w:rPr>
          <w:rFonts w:cs="Arial"/>
          <w:b/>
          <w:bCs/>
          <w:sz w:val="22"/>
          <w:szCs w:val="22"/>
        </w:rPr>
        <w:t xml:space="preserve">Proposta </w:t>
      </w:r>
      <w:r w:rsidR="00DF0DD9" w:rsidRPr="009E142E">
        <w:rPr>
          <w:rFonts w:ascii="Aptos" w:hAnsi="Aptos" w:cs="Arial"/>
          <w:b/>
          <w:bCs/>
          <w:sz w:val="24"/>
        </w:rPr>
        <w:t>de la regidora d’afers interns</w:t>
      </w:r>
      <w:r w:rsidR="00134189">
        <w:rPr>
          <w:rFonts w:cs="Arial"/>
          <w:b/>
          <w:bCs/>
          <w:sz w:val="22"/>
          <w:szCs w:val="22"/>
        </w:rPr>
        <w:t>,</w:t>
      </w:r>
      <w:r w:rsidRPr="008337F4">
        <w:rPr>
          <w:rFonts w:cs="Arial"/>
          <w:b/>
          <w:bCs/>
          <w:sz w:val="22"/>
          <w:szCs w:val="22"/>
        </w:rPr>
        <w:t xml:space="preserve"> </w:t>
      </w:r>
      <w:r>
        <w:rPr>
          <w:rFonts w:eastAsiaTheme="minorHAnsi" w:cs="Arial"/>
          <w:b/>
          <w:bCs/>
          <w:sz w:val="22"/>
          <w:szCs w:val="22"/>
        </w:rPr>
        <w:t>en relació a</w:t>
      </w:r>
      <w:r w:rsidR="001B439C" w:rsidRPr="001B439C">
        <w:rPr>
          <w:rFonts w:cs="Arial"/>
          <w:b/>
          <w:bCs/>
          <w:sz w:val="22"/>
          <w:szCs w:val="22"/>
        </w:rPr>
        <w:t xml:space="preserve"> </w:t>
      </w:r>
      <w:r>
        <w:rPr>
          <w:rFonts w:cs="Arial"/>
          <w:b/>
          <w:bCs/>
          <w:sz w:val="22"/>
          <w:szCs w:val="22"/>
        </w:rPr>
        <w:t>l</w:t>
      </w:r>
      <w:r w:rsidR="001B439C" w:rsidRPr="001B439C">
        <w:rPr>
          <w:rFonts w:cs="Arial"/>
          <w:b/>
          <w:bCs/>
          <w:sz w:val="22"/>
          <w:szCs w:val="22"/>
        </w:rPr>
        <w:t xml:space="preserve">'adjudicació del contracte </w:t>
      </w:r>
      <w:r w:rsidR="00DF0DD9" w:rsidRPr="00FB52FE">
        <w:rPr>
          <w:rFonts w:ascii="Aptos" w:hAnsi="Aptos" w:cs="Arial"/>
          <w:b/>
          <w:bCs/>
          <w:color w:val="000000" w:themeColor="text1"/>
          <w:sz w:val="24"/>
        </w:rPr>
        <w:t>administratiu d’obres del projecte executiu “CRUÏLLA CARRER ESTACIÓ AMB AVINGUDA ESPORTIVA” de Deltebre</w:t>
      </w:r>
      <w:r w:rsidR="00DF0DD9">
        <w:rPr>
          <w:rFonts w:ascii="Aptos" w:hAnsi="Aptos" w:cs="Arial"/>
          <w:b/>
          <w:bCs/>
          <w:color w:val="000000" w:themeColor="text1"/>
          <w:sz w:val="24"/>
        </w:rPr>
        <w:t>.</w:t>
      </w:r>
    </w:p>
    <w:p w14:paraId="5F9F3EE6" w14:textId="77777777" w:rsidR="001B439C" w:rsidRPr="001B439C" w:rsidRDefault="001B439C" w:rsidP="001B439C">
      <w:pPr>
        <w:rPr>
          <w:rFonts w:cs="Arial"/>
          <w:b/>
          <w:bCs/>
          <w:sz w:val="22"/>
          <w:szCs w:val="22"/>
          <w:lang w:eastAsia="es-ES"/>
        </w:rPr>
      </w:pPr>
    </w:p>
    <w:p w14:paraId="7B3CD990" w14:textId="77777777" w:rsidR="001B439C" w:rsidRPr="001B439C" w:rsidRDefault="001B439C" w:rsidP="001B439C">
      <w:pPr>
        <w:rPr>
          <w:rFonts w:cs="Arial"/>
          <w:b/>
          <w:bCs/>
          <w:sz w:val="22"/>
          <w:szCs w:val="22"/>
          <w:lang w:eastAsia="es-ES"/>
        </w:rPr>
      </w:pPr>
      <w:r w:rsidRPr="001B439C">
        <w:rPr>
          <w:rFonts w:cs="Arial"/>
          <w:b/>
          <w:bCs/>
          <w:sz w:val="22"/>
          <w:szCs w:val="22"/>
          <w:lang w:eastAsia="es-ES"/>
        </w:rPr>
        <w:t>ANTECEDENTS</w:t>
      </w:r>
    </w:p>
    <w:p w14:paraId="68736B9C" w14:textId="77777777" w:rsidR="001B439C" w:rsidRPr="001B439C" w:rsidRDefault="001B439C" w:rsidP="001B439C">
      <w:pPr>
        <w:rPr>
          <w:rFonts w:cs="Arial"/>
          <w:sz w:val="22"/>
          <w:szCs w:val="22"/>
        </w:rPr>
      </w:pPr>
    </w:p>
    <w:p w14:paraId="762C5396" w14:textId="77777777" w:rsidR="00DF0DD9" w:rsidRPr="00DF0DD9" w:rsidRDefault="00DF0DD9" w:rsidP="00DF0DD9">
      <w:pPr>
        <w:rPr>
          <w:rFonts w:cs="Arial"/>
          <w:sz w:val="22"/>
          <w:szCs w:val="22"/>
        </w:rPr>
      </w:pPr>
      <w:r w:rsidRPr="00DF0DD9">
        <w:rPr>
          <w:rFonts w:cs="Arial"/>
          <w:sz w:val="22"/>
          <w:szCs w:val="22"/>
        </w:rPr>
        <w:t>1.- Per acord de Junta de Govern Local de data 29 de gener de 2025, es va aprovar l'expedient d’obres del projecte executiu “CRUÏLLA CARRER ESTACIÓ AMB AVINGUDA ESPORTIVA” de Deltebre, per import de 162.947,59 €, IVA inclòs, amb el desglossament següent: 134.667,43 €, pressupost net, i 28.280,16 € en concepte d’Impost sobre el valor afegit (IVA) al tipus del 21%. Es va aprovar el plec de clàusules administratives que ha de regir la contractació.</w:t>
      </w:r>
    </w:p>
    <w:p w14:paraId="1D8F8FF0" w14:textId="77777777" w:rsidR="00DF0DD9" w:rsidRPr="00DF0DD9" w:rsidRDefault="00DF0DD9" w:rsidP="00DF0DD9">
      <w:pPr>
        <w:rPr>
          <w:rFonts w:cs="Arial"/>
          <w:sz w:val="22"/>
          <w:szCs w:val="22"/>
        </w:rPr>
      </w:pPr>
    </w:p>
    <w:p w14:paraId="2791BA23" w14:textId="77777777" w:rsidR="00DF0DD9" w:rsidRPr="00DF0DD9" w:rsidRDefault="00DF0DD9" w:rsidP="00DF0DD9">
      <w:pPr>
        <w:rPr>
          <w:rFonts w:cs="Arial"/>
          <w:sz w:val="22"/>
          <w:szCs w:val="22"/>
        </w:rPr>
      </w:pPr>
      <w:r w:rsidRPr="00DF0DD9">
        <w:rPr>
          <w:rFonts w:cs="Arial"/>
          <w:sz w:val="22"/>
          <w:szCs w:val="22"/>
        </w:rPr>
        <w:t>2.- Es va efectuar la publicació de l’anunci de licitació en el perfil del contractant en data 30 de gener de 2025 perquè en el termini de 26 dies naturals a partir de l’endemà de la publicació es presentessin les proposicions que s'estimessin pertinents.</w:t>
      </w:r>
    </w:p>
    <w:p w14:paraId="1C9EA34A" w14:textId="77777777" w:rsidR="00DF0DD9" w:rsidRPr="00DF0DD9" w:rsidRDefault="00DF0DD9" w:rsidP="00DF0DD9">
      <w:pPr>
        <w:rPr>
          <w:rFonts w:cs="Arial"/>
          <w:sz w:val="22"/>
          <w:szCs w:val="22"/>
        </w:rPr>
      </w:pPr>
    </w:p>
    <w:p w14:paraId="0CEB07CE" w14:textId="77777777" w:rsidR="00DF0DD9" w:rsidRPr="00DF0DD9" w:rsidRDefault="00DF0DD9" w:rsidP="00DF0DD9">
      <w:pPr>
        <w:rPr>
          <w:rFonts w:cs="Arial"/>
          <w:sz w:val="22"/>
          <w:szCs w:val="22"/>
        </w:rPr>
      </w:pPr>
      <w:r w:rsidRPr="00DF0DD9">
        <w:rPr>
          <w:rFonts w:cs="Arial"/>
          <w:sz w:val="22"/>
          <w:szCs w:val="22"/>
        </w:rPr>
        <w:t>3.- En data 28 de febrer de 2025 es va reunir la mesa de contractació per l’obertura del sobre 1 corresponent a la documentació administrativa, i es va establir la relació provisional de candidats admesos, que va ser la següent:</w:t>
      </w:r>
    </w:p>
    <w:p w14:paraId="2F972CF9" w14:textId="77777777" w:rsidR="00DF0DD9" w:rsidRPr="00DF0DD9" w:rsidRDefault="00DF0DD9" w:rsidP="00DF0DD9">
      <w:pPr>
        <w:rPr>
          <w:rFonts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704"/>
        <w:gridCol w:w="1814"/>
        <w:gridCol w:w="5976"/>
      </w:tblGrid>
      <w:tr w:rsidR="00DF0DD9" w:rsidRPr="00DF0DD9" w14:paraId="02CE4122" w14:textId="77777777" w:rsidTr="00CB5D17">
        <w:tc>
          <w:tcPr>
            <w:tcW w:w="414" w:type="pct"/>
            <w:shd w:val="clear" w:color="auto" w:fill="auto"/>
            <w:tcMar>
              <w:top w:w="15" w:type="dxa"/>
              <w:left w:w="75" w:type="dxa"/>
              <w:bottom w:w="15" w:type="dxa"/>
              <w:right w:w="15" w:type="dxa"/>
            </w:tcMar>
            <w:vAlign w:val="bottom"/>
          </w:tcPr>
          <w:p w14:paraId="55A51CB4" w14:textId="77777777" w:rsidR="00DF0DD9" w:rsidRPr="00DF0DD9" w:rsidRDefault="00DF0DD9" w:rsidP="00DF0DD9">
            <w:pPr>
              <w:rPr>
                <w:rFonts w:cs="Arial"/>
                <w:b/>
                <w:sz w:val="22"/>
                <w:szCs w:val="22"/>
              </w:rPr>
            </w:pPr>
            <w:r w:rsidRPr="00DF0DD9">
              <w:rPr>
                <w:rFonts w:cs="Arial"/>
                <w:b/>
                <w:sz w:val="22"/>
                <w:szCs w:val="22"/>
              </w:rPr>
              <w:t>Núm.</w:t>
            </w:r>
          </w:p>
        </w:tc>
        <w:tc>
          <w:tcPr>
            <w:tcW w:w="1068" w:type="pct"/>
            <w:vAlign w:val="bottom"/>
          </w:tcPr>
          <w:p w14:paraId="3A4B13D6" w14:textId="77777777" w:rsidR="00DF0DD9" w:rsidRPr="00DF0DD9" w:rsidRDefault="00DF0DD9" w:rsidP="00DF0DD9">
            <w:pPr>
              <w:rPr>
                <w:rFonts w:cs="Arial"/>
                <w:b/>
                <w:sz w:val="22"/>
                <w:szCs w:val="22"/>
              </w:rPr>
            </w:pPr>
            <w:r w:rsidRPr="00DF0DD9">
              <w:rPr>
                <w:rFonts w:cs="Arial"/>
                <w:b/>
                <w:sz w:val="22"/>
                <w:szCs w:val="22"/>
              </w:rPr>
              <w:t>NIF</w:t>
            </w:r>
          </w:p>
        </w:tc>
        <w:tc>
          <w:tcPr>
            <w:tcW w:w="3518" w:type="pct"/>
          </w:tcPr>
          <w:p w14:paraId="6D44C88A" w14:textId="77777777" w:rsidR="00DF0DD9" w:rsidRPr="00DF0DD9" w:rsidRDefault="00DF0DD9" w:rsidP="00DF0DD9">
            <w:pPr>
              <w:rPr>
                <w:rFonts w:cs="Arial"/>
                <w:b/>
                <w:sz w:val="22"/>
                <w:szCs w:val="22"/>
              </w:rPr>
            </w:pPr>
            <w:r w:rsidRPr="00DF0DD9">
              <w:rPr>
                <w:rFonts w:cs="Arial"/>
                <w:b/>
                <w:sz w:val="22"/>
                <w:szCs w:val="22"/>
              </w:rPr>
              <w:t>Licitadora</w:t>
            </w:r>
          </w:p>
        </w:tc>
      </w:tr>
      <w:tr w:rsidR="00DF0DD9" w:rsidRPr="00DF0DD9" w14:paraId="24E9C7C8" w14:textId="77777777" w:rsidTr="00CB5D17">
        <w:tc>
          <w:tcPr>
            <w:tcW w:w="414" w:type="pct"/>
            <w:shd w:val="clear" w:color="auto" w:fill="auto"/>
            <w:tcMar>
              <w:top w:w="15" w:type="dxa"/>
              <w:left w:w="75" w:type="dxa"/>
              <w:bottom w:w="15" w:type="dxa"/>
              <w:right w:w="15" w:type="dxa"/>
            </w:tcMar>
            <w:vAlign w:val="bottom"/>
          </w:tcPr>
          <w:p w14:paraId="3DA57784" w14:textId="77777777" w:rsidR="00DF0DD9" w:rsidRPr="00DF0DD9" w:rsidRDefault="00DF0DD9" w:rsidP="00DF0DD9">
            <w:pPr>
              <w:rPr>
                <w:rFonts w:cs="Arial"/>
                <w:sz w:val="22"/>
                <w:szCs w:val="22"/>
              </w:rPr>
            </w:pPr>
            <w:r w:rsidRPr="00DF0DD9">
              <w:rPr>
                <w:rFonts w:cs="Arial"/>
                <w:sz w:val="22"/>
                <w:szCs w:val="22"/>
              </w:rPr>
              <w:t>1</w:t>
            </w:r>
          </w:p>
        </w:tc>
        <w:tc>
          <w:tcPr>
            <w:tcW w:w="1068" w:type="pct"/>
            <w:vAlign w:val="bottom"/>
          </w:tcPr>
          <w:p w14:paraId="0FE6C558" w14:textId="77777777" w:rsidR="00DF0DD9" w:rsidRPr="00DF0DD9" w:rsidRDefault="00DF0DD9" w:rsidP="00DF0DD9">
            <w:pPr>
              <w:rPr>
                <w:rFonts w:cs="Arial"/>
                <w:sz w:val="22"/>
                <w:szCs w:val="22"/>
              </w:rPr>
            </w:pPr>
            <w:r w:rsidRPr="00DF0DD9">
              <w:rPr>
                <w:rFonts w:cs="Arial"/>
                <w:sz w:val="22"/>
                <w:szCs w:val="22"/>
              </w:rPr>
              <w:t>B43454933</w:t>
            </w:r>
          </w:p>
        </w:tc>
        <w:tc>
          <w:tcPr>
            <w:tcW w:w="3518" w:type="pct"/>
          </w:tcPr>
          <w:p w14:paraId="232D88E7" w14:textId="77777777" w:rsidR="00DF0DD9" w:rsidRPr="00DF0DD9" w:rsidRDefault="00DF0DD9" w:rsidP="00DF0DD9">
            <w:pPr>
              <w:rPr>
                <w:rFonts w:cs="Arial"/>
                <w:sz w:val="22"/>
                <w:szCs w:val="22"/>
              </w:rPr>
            </w:pPr>
            <w:r w:rsidRPr="00DF0DD9">
              <w:rPr>
                <w:rFonts w:cs="Arial"/>
                <w:sz w:val="22"/>
                <w:szCs w:val="22"/>
              </w:rPr>
              <w:t>REGIMOVI SL</w:t>
            </w:r>
          </w:p>
        </w:tc>
      </w:tr>
      <w:tr w:rsidR="00DF0DD9" w:rsidRPr="00DF0DD9" w14:paraId="1C7DD401" w14:textId="77777777" w:rsidTr="00CB5D17">
        <w:tc>
          <w:tcPr>
            <w:tcW w:w="414" w:type="pct"/>
            <w:shd w:val="clear" w:color="auto" w:fill="auto"/>
            <w:tcMar>
              <w:top w:w="15" w:type="dxa"/>
              <w:left w:w="75" w:type="dxa"/>
              <w:bottom w:w="15" w:type="dxa"/>
              <w:right w:w="15" w:type="dxa"/>
            </w:tcMar>
            <w:vAlign w:val="bottom"/>
          </w:tcPr>
          <w:p w14:paraId="37A21089" w14:textId="77777777" w:rsidR="00DF0DD9" w:rsidRPr="00DF0DD9" w:rsidRDefault="00DF0DD9" w:rsidP="00DF0DD9">
            <w:pPr>
              <w:rPr>
                <w:rFonts w:cs="Arial"/>
                <w:sz w:val="22"/>
                <w:szCs w:val="22"/>
              </w:rPr>
            </w:pPr>
            <w:r w:rsidRPr="00DF0DD9">
              <w:rPr>
                <w:rFonts w:cs="Arial"/>
                <w:sz w:val="22"/>
                <w:szCs w:val="22"/>
              </w:rPr>
              <w:t>2</w:t>
            </w:r>
          </w:p>
        </w:tc>
        <w:tc>
          <w:tcPr>
            <w:tcW w:w="1068" w:type="pct"/>
            <w:vAlign w:val="bottom"/>
          </w:tcPr>
          <w:p w14:paraId="5F61192E" w14:textId="77777777" w:rsidR="00DF0DD9" w:rsidRPr="00DF0DD9" w:rsidRDefault="00DF0DD9" w:rsidP="00DF0DD9">
            <w:pPr>
              <w:rPr>
                <w:rFonts w:cs="Arial"/>
                <w:sz w:val="22"/>
                <w:szCs w:val="22"/>
              </w:rPr>
            </w:pPr>
            <w:r w:rsidRPr="00DF0DD9">
              <w:rPr>
                <w:rFonts w:cs="Arial"/>
                <w:sz w:val="22"/>
                <w:szCs w:val="22"/>
              </w:rPr>
              <w:t>B43069806</w:t>
            </w:r>
          </w:p>
        </w:tc>
        <w:tc>
          <w:tcPr>
            <w:tcW w:w="3518" w:type="pct"/>
          </w:tcPr>
          <w:p w14:paraId="2B0FE981" w14:textId="77777777" w:rsidR="00DF0DD9" w:rsidRPr="00DF0DD9" w:rsidRDefault="00DF0DD9" w:rsidP="00DF0DD9">
            <w:pPr>
              <w:rPr>
                <w:rFonts w:cs="Arial"/>
                <w:sz w:val="22"/>
                <w:szCs w:val="22"/>
              </w:rPr>
            </w:pPr>
            <w:r w:rsidRPr="00DF0DD9">
              <w:rPr>
                <w:rFonts w:cs="Arial"/>
                <w:sz w:val="22"/>
                <w:szCs w:val="22"/>
              </w:rPr>
              <w:t>TRANSMABER, S.L.</w:t>
            </w:r>
          </w:p>
        </w:tc>
      </w:tr>
      <w:tr w:rsidR="00DF0DD9" w:rsidRPr="00DF0DD9" w14:paraId="4E3EEE20" w14:textId="77777777" w:rsidTr="00CB5D17">
        <w:tc>
          <w:tcPr>
            <w:tcW w:w="414" w:type="pct"/>
            <w:shd w:val="clear" w:color="auto" w:fill="auto"/>
            <w:tcMar>
              <w:top w:w="15" w:type="dxa"/>
              <w:left w:w="75" w:type="dxa"/>
              <w:bottom w:w="15" w:type="dxa"/>
              <w:right w:w="15" w:type="dxa"/>
            </w:tcMar>
            <w:vAlign w:val="bottom"/>
          </w:tcPr>
          <w:p w14:paraId="223AF18C" w14:textId="77777777" w:rsidR="00DF0DD9" w:rsidRPr="00DF0DD9" w:rsidRDefault="00DF0DD9" w:rsidP="00DF0DD9">
            <w:pPr>
              <w:rPr>
                <w:rFonts w:cs="Arial"/>
                <w:sz w:val="22"/>
                <w:szCs w:val="22"/>
              </w:rPr>
            </w:pPr>
            <w:r w:rsidRPr="00DF0DD9">
              <w:rPr>
                <w:rFonts w:cs="Arial"/>
                <w:sz w:val="22"/>
                <w:szCs w:val="22"/>
              </w:rPr>
              <w:t>3</w:t>
            </w:r>
          </w:p>
        </w:tc>
        <w:tc>
          <w:tcPr>
            <w:tcW w:w="1068" w:type="pct"/>
            <w:vAlign w:val="bottom"/>
          </w:tcPr>
          <w:p w14:paraId="4A5150C4" w14:textId="77777777" w:rsidR="00DF0DD9" w:rsidRPr="00DF0DD9" w:rsidRDefault="00DF0DD9" w:rsidP="00DF0DD9">
            <w:pPr>
              <w:rPr>
                <w:rFonts w:cs="Arial"/>
                <w:sz w:val="22"/>
                <w:szCs w:val="22"/>
              </w:rPr>
            </w:pPr>
            <w:r w:rsidRPr="00DF0DD9">
              <w:rPr>
                <w:rFonts w:cs="Arial"/>
                <w:sz w:val="22"/>
                <w:szCs w:val="22"/>
              </w:rPr>
              <w:t>B55633168</w:t>
            </w:r>
          </w:p>
        </w:tc>
        <w:tc>
          <w:tcPr>
            <w:tcW w:w="3518" w:type="pct"/>
          </w:tcPr>
          <w:p w14:paraId="2C943EEE" w14:textId="77777777" w:rsidR="00DF0DD9" w:rsidRPr="00DF0DD9" w:rsidRDefault="00DF0DD9" w:rsidP="00DF0DD9">
            <w:pPr>
              <w:rPr>
                <w:rFonts w:cs="Arial"/>
                <w:sz w:val="22"/>
                <w:szCs w:val="22"/>
              </w:rPr>
            </w:pPr>
            <w:r w:rsidRPr="00DF0DD9">
              <w:rPr>
                <w:rFonts w:cs="Arial"/>
                <w:sz w:val="22"/>
                <w:szCs w:val="22"/>
              </w:rPr>
              <w:t>OBRES I SERVEIS CURTO SL</w:t>
            </w:r>
          </w:p>
        </w:tc>
      </w:tr>
      <w:tr w:rsidR="00DF0DD9" w:rsidRPr="00DF0DD9" w14:paraId="4AD45FD2" w14:textId="77777777" w:rsidTr="00CB5D17">
        <w:tc>
          <w:tcPr>
            <w:tcW w:w="414" w:type="pct"/>
            <w:shd w:val="clear" w:color="auto" w:fill="auto"/>
            <w:tcMar>
              <w:top w:w="15" w:type="dxa"/>
              <w:left w:w="75" w:type="dxa"/>
              <w:bottom w:w="15" w:type="dxa"/>
              <w:right w:w="15" w:type="dxa"/>
            </w:tcMar>
            <w:vAlign w:val="bottom"/>
          </w:tcPr>
          <w:p w14:paraId="5F422E45" w14:textId="77777777" w:rsidR="00DF0DD9" w:rsidRPr="00DF0DD9" w:rsidRDefault="00DF0DD9" w:rsidP="00DF0DD9">
            <w:pPr>
              <w:rPr>
                <w:rFonts w:cs="Arial"/>
                <w:sz w:val="22"/>
                <w:szCs w:val="22"/>
              </w:rPr>
            </w:pPr>
            <w:r w:rsidRPr="00DF0DD9">
              <w:rPr>
                <w:rFonts w:cs="Arial"/>
                <w:sz w:val="22"/>
                <w:szCs w:val="22"/>
              </w:rPr>
              <w:t>4</w:t>
            </w:r>
          </w:p>
        </w:tc>
        <w:tc>
          <w:tcPr>
            <w:tcW w:w="1068" w:type="pct"/>
            <w:vAlign w:val="bottom"/>
          </w:tcPr>
          <w:p w14:paraId="08F5F572" w14:textId="77777777" w:rsidR="00DF0DD9" w:rsidRPr="00DF0DD9" w:rsidRDefault="00DF0DD9" w:rsidP="00DF0DD9">
            <w:pPr>
              <w:rPr>
                <w:rFonts w:cs="Arial"/>
                <w:sz w:val="22"/>
                <w:szCs w:val="22"/>
              </w:rPr>
            </w:pPr>
            <w:r w:rsidRPr="00DF0DD9">
              <w:rPr>
                <w:rFonts w:cs="Arial"/>
                <w:sz w:val="22"/>
                <w:szCs w:val="22"/>
              </w:rPr>
              <w:t>B06987143</w:t>
            </w:r>
          </w:p>
        </w:tc>
        <w:tc>
          <w:tcPr>
            <w:tcW w:w="3518" w:type="pct"/>
          </w:tcPr>
          <w:p w14:paraId="5ED5CADD" w14:textId="77777777" w:rsidR="00DF0DD9" w:rsidRPr="00DF0DD9" w:rsidRDefault="00DF0DD9" w:rsidP="00DF0DD9">
            <w:pPr>
              <w:rPr>
                <w:rFonts w:cs="Arial"/>
                <w:sz w:val="22"/>
                <w:szCs w:val="22"/>
              </w:rPr>
            </w:pPr>
            <w:r w:rsidRPr="00DF0DD9">
              <w:rPr>
                <w:rFonts w:cs="Arial"/>
                <w:sz w:val="22"/>
                <w:szCs w:val="22"/>
              </w:rPr>
              <w:t>ENGIBAR SL</w:t>
            </w:r>
          </w:p>
        </w:tc>
      </w:tr>
    </w:tbl>
    <w:p w14:paraId="506CC578" w14:textId="77777777" w:rsidR="00DF0DD9" w:rsidRPr="00DF0DD9" w:rsidRDefault="00DF0DD9" w:rsidP="00DF0DD9">
      <w:pPr>
        <w:rPr>
          <w:rFonts w:cs="Arial"/>
          <w:sz w:val="22"/>
          <w:szCs w:val="22"/>
        </w:rPr>
      </w:pPr>
    </w:p>
    <w:p w14:paraId="77E05FB0" w14:textId="77777777" w:rsidR="00DF0DD9" w:rsidRPr="00DF0DD9" w:rsidRDefault="00DF0DD9" w:rsidP="00DF0DD9">
      <w:pPr>
        <w:rPr>
          <w:rFonts w:cs="Arial"/>
          <w:sz w:val="22"/>
          <w:szCs w:val="22"/>
        </w:rPr>
      </w:pPr>
      <w:r w:rsidRPr="00DF0DD9">
        <w:rPr>
          <w:rFonts w:cs="Arial"/>
          <w:sz w:val="22"/>
          <w:szCs w:val="22"/>
        </w:rPr>
        <w:t>4.- La mesa de contractació es va reunir en data 20 de març de 2025 per l'obertura del sobre 2, corresponent als criteris avaluables de forma automàtica.</w:t>
      </w:r>
    </w:p>
    <w:p w14:paraId="75C3CDA2" w14:textId="77777777" w:rsidR="00DF0DD9" w:rsidRPr="00DF0DD9" w:rsidRDefault="00DF0DD9" w:rsidP="00DF0DD9">
      <w:pPr>
        <w:rPr>
          <w:rFonts w:cs="Arial"/>
          <w:sz w:val="22"/>
          <w:szCs w:val="22"/>
        </w:rPr>
      </w:pPr>
    </w:p>
    <w:p w14:paraId="73B4B2DD" w14:textId="77777777" w:rsidR="00DF0DD9" w:rsidRPr="00DF0DD9" w:rsidRDefault="00DF0DD9" w:rsidP="00DF0DD9">
      <w:pPr>
        <w:rPr>
          <w:rFonts w:cs="Arial"/>
          <w:sz w:val="22"/>
          <w:szCs w:val="22"/>
        </w:rPr>
      </w:pPr>
      <w:r w:rsidRPr="00DF0DD9">
        <w:rPr>
          <w:rFonts w:cs="Arial"/>
          <w:sz w:val="22"/>
          <w:szCs w:val="22"/>
        </w:rPr>
        <w:t xml:space="preserve">5.- En conseqüència, la mesa va sol·licitar informe tècnic per a la valoració de les ofertes en el qual es classifiqués, per ordre decreixent, les proposicions presentades en l’expedient de contractació i es proposés la l’adjudicació a l'òrgan de contractació. </w:t>
      </w:r>
    </w:p>
    <w:p w14:paraId="763EC197" w14:textId="77777777" w:rsidR="00DF0DD9" w:rsidRPr="00DF0DD9" w:rsidRDefault="00DF0DD9" w:rsidP="00DF0DD9">
      <w:pPr>
        <w:rPr>
          <w:rFonts w:cs="Arial"/>
          <w:sz w:val="22"/>
          <w:szCs w:val="22"/>
        </w:rPr>
      </w:pPr>
    </w:p>
    <w:p w14:paraId="6095C10E" w14:textId="77777777" w:rsidR="00DF0DD9" w:rsidRPr="00DF0DD9" w:rsidRDefault="00DF0DD9" w:rsidP="00DF0DD9">
      <w:pPr>
        <w:rPr>
          <w:rFonts w:cs="Arial"/>
          <w:sz w:val="22"/>
          <w:szCs w:val="22"/>
        </w:rPr>
      </w:pPr>
      <w:r w:rsidRPr="00DF0DD9">
        <w:rPr>
          <w:rFonts w:cs="Arial"/>
          <w:sz w:val="22"/>
          <w:szCs w:val="22"/>
        </w:rPr>
        <w:t>L’informe tècnic de valoració de les ofertes conclou el següent:</w:t>
      </w:r>
    </w:p>
    <w:p w14:paraId="6FEA0C4D" w14:textId="77777777" w:rsidR="00DF0DD9" w:rsidRPr="00DF0DD9" w:rsidRDefault="00DF0DD9" w:rsidP="00DF0DD9">
      <w:pPr>
        <w:rPr>
          <w:rFonts w:cs="Arial"/>
          <w:sz w:val="22"/>
          <w:szCs w:val="22"/>
        </w:rPr>
      </w:pPr>
    </w:p>
    <w:tbl>
      <w:tblPr>
        <w:tblW w:w="8000" w:type="dxa"/>
        <w:tblInd w:w="75" w:type="dxa"/>
        <w:tblCellMar>
          <w:left w:w="70" w:type="dxa"/>
          <w:right w:w="70" w:type="dxa"/>
        </w:tblCellMar>
        <w:tblLook w:val="04A0" w:firstRow="1" w:lastRow="0" w:firstColumn="1" w:lastColumn="0" w:noHBand="0" w:noVBand="1"/>
      </w:tblPr>
      <w:tblGrid>
        <w:gridCol w:w="3677"/>
        <w:gridCol w:w="3494"/>
        <w:gridCol w:w="886"/>
      </w:tblGrid>
      <w:tr w:rsidR="00DF0DD9" w:rsidRPr="00DF0DD9" w14:paraId="309B51D3" w14:textId="77777777" w:rsidTr="00CB5D17">
        <w:trPr>
          <w:trHeight w:val="300"/>
        </w:trPr>
        <w:tc>
          <w:tcPr>
            <w:tcW w:w="800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E6C835" w14:textId="77777777" w:rsidR="00DF0DD9" w:rsidRPr="00DF0DD9" w:rsidRDefault="00DF0DD9" w:rsidP="00DF0DD9">
            <w:pPr>
              <w:rPr>
                <w:rFonts w:cs="Arial"/>
                <w:b/>
                <w:bCs/>
                <w:sz w:val="22"/>
                <w:szCs w:val="22"/>
              </w:rPr>
            </w:pPr>
            <w:r w:rsidRPr="00DF0DD9">
              <w:rPr>
                <w:rFonts w:cs="Arial"/>
                <w:b/>
                <w:bCs/>
                <w:sz w:val="22"/>
                <w:szCs w:val="22"/>
              </w:rPr>
              <w:t>PREU (MAX 100P)</w:t>
            </w:r>
          </w:p>
        </w:tc>
      </w:tr>
      <w:tr w:rsidR="00DF0DD9" w:rsidRPr="00DF0DD9" w14:paraId="29D0539C" w14:textId="77777777" w:rsidTr="00CB5D17">
        <w:trPr>
          <w:trHeight w:val="300"/>
        </w:trPr>
        <w:tc>
          <w:tcPr>
            <w:tcW w:w="3677" w:type="dxa"/>
            <w:tcBorders>
              <w:top w:val="nil"/>
              <w:left w:val="single" w:sz="4" w:space="0" w:color="auto"/>
              <w:bottom w:val="single" w:sz="4" w:space="0" w:color="auto"/>
              <w:right w:val="single" w:sz="4" w:space="0" w:color="auto"/>
            </w:tcBorders>
            <w:shd w:val="clear" w:color="auto" w:fill="auto"/>
            <w:noWrap/>
            <w:vAlign w:val="bottom"/>
            <w:hideMark/>
          </w:tcPr>
          <w:p w14:paraId="519EEAD0" w14:textId="77777777" w:rsidR="00DF0DD9" w:rsidRPr="00DF0DD9" w:rsidRDefault="00DF0DD9" w:rsidP="00DF0DD9">
            <w:pPr>
              <w:rPr>
                <w:rFonts w:cs="Arial"/>
                <w:b/>
                <w:bCs/>
                <w:sz w:val="22"/>
                <w:szCs w:val="22"/>
              </w:rPr>
            </w:pPr>
            <w:r w:rsidRPr="00DF0DD9">
              <w:rPr>
                <w:rFonts w:cs="Arial"/>
                <w:b/>
                <w:bCs/>
                <w:sz w:val="22"/>
                <w:szCs w:val="22"/>
              </w:rPr>
              <w:t>OFERTANT</w:t>
            </w:r>
          </w:p>
        </w:tc>
        <w:tc>
          <w:tcPr>
            <w:tcW w:w="3494" w:type="dxa"/>
            <w:tcBorders>
              <w:top w:val="nil"/>
              <w:left w:val="nil"/>
              <w:bottom w:val="single" w:sz="4" w:space="0" w:color="auto"/>
              <w:right w:val="single" w:sz="4" w:space="0" w:color="auto"/>
            </w:tcBorders>
            <w:shd w:val="clear" w:color="auto" w:fill="auto"/>
            <w:noWrap/>
            <w:vAlign w:val="bottom"/>
            <w:hideMark/>
          </w:tcPr>
          <w:p w14:paraId="58A306C3" w14:textId="77777777" w:rsidR="00DF0DD9" w:rsidRPr="00DF0DD9" w:rsidRDefault="00DF0DD9" w:rsidP="00DF0DD9">
            <w:pPr>
              <w:rPr>
                <w:rFonts w:cs="Arial"/>
                <w:b/>
                <w:bCs/>
                <w:sz w:val="22"/>
                <w:szCs w:val="22"/>
              </w:rPr>
            </w:pPr>
            <w:r w:rsidRPr="00DF0DD9">
              <w:rPr>
                <w:rFonts w:cs="Arial"/>
                <w:b/>
                <w:bCs/>
                <w:sz w:val="22"/>
                <w:szCs w:val="22"/>
              </w:rPr>
              <w:t>OFERTA A VALORAR</w:t>
            </w:r>
          </w:p>
        </w:tc>
        <w:tc>
          <w:tcPr>
            <w:tcW w:w="829" w:type="dxa"/>
            <w:tcBorders>
              <w:top w:val="nil"/>
              <w:left w:val="nil"/>
              <w:bottom w:val="single" w:sz="4" w:space="0" w:color="auto"/>
              <w:right w:val="single" w:sz="4" w:space="0" w:color="auto"/>
            </w:tcBorders>
            <w:shd w:val="clear" w:color="auto" w:fill="auto"/>
            <w:noWrap/>
            <w:vAlign w:val="bottom"/>
            <w:hideMark/>
          </w:tcPr>
          <w:p w14:paraId="01475D3B" w14:textId="77777777" w:rsidR="00DF0DD9" w:rsidRPr="00DF0DD9" w:rsidRDefault="00DF0DD9" w:rsidP="00DF0DD9">
            <w:pPr>
              <w:rPr>
                <w:rFonts w:cs="Arial"/>
                <w:b/>
                <w:bCs/>
                <w:sz w:val="22"/>
                <w:szCs w:val="22"/>
              </w:rPr>
            </w:pPr>
            <w:r w:rsidRPr="00DF0DD9">
              <w:rPr>
                <w:rFonts w:cs="Arial"/>
                <w:b/>
                <w:bCs/>
                <w:sz w:val="22"/>
                <w:szCs w:val="22"/>
              </w:rPr>
              <w:t>PUNTS</w:t>
            </w:r>
          </w:p>
        </w:tc>
      </w:tr>
      <w:tr w:rsidR="00DF0DD9" w:rsidRPr="00DF0DD9" w14:paraId="63821F98" w14:textId="77777777" w:rsidTr="00CB5D17">
        <w:trPr>
          <w:trHeight w:val="300"/>
        </w:trPr>
        <w:tc>
          <w:tcPr>
            <w:tcW w:w="3677" w:type="dxa"/>
            <w:tcBorders>
              <w:top w:val="nil"/>
              <w:left w:val="single" w:sz="4" w:space="0" w:color="auto"/>
              <w:bottom w:val="single" w:sz="4" w:space="0" w:color="auto"/>
              <w:right w:val="single" w:sz="4" w:space="0" w:color="auto"/>
            </w:tcBorders>
            <w:shd w:val="clear" w:color="auto" w:fill="auto"/>
            <w:noWrap/>
            <w:vAlign w:val="bottom"/>
            <w:hideMark/>
          </w:tcPr>
          <w:p w14:paraId="382463D6" w14:textId="77777777" w:rsidR="00DF0DD9" w:rsidRPr="00DF0DD9" w:rsidRDefault="00DF0DD9" w:rsidP="00DF0DD9">
            <w:pPr>
              <w:rPr>
                <w:rFonts w:cs="Arial"/>
                <w:sz w:val="22"/>
                <w:szCs w:val="22"/>
              </w:rPr>
            </w:pPr>
            <w:r w:rsidRPr="00DF0DD9">
              <w:rPr>
                <w:rFonts w:cs="Arial"/>
                <w:sz w:val="22"/>
                <w:szCs w:val="22"/>
              </w:rPr>
              <w:t>REGIMOVI SL.</w:t>
            </w:r>
          </w:p>
        </w:tc>
        <w:tc>
          <w:tcPr>
            <w:tcW w:w="3494" w:type="dxa"/>
            <w:tcBorders>
              <w:top w:val="nil"/>
              <w:left w:val="nil"/>
              <w:bottom w:val="single" w:sz="4" w:space="0" w:color="auto"/>
              <w:right w:val="single" w:sz="4" w:space="0" w:color="auto"/>
            </w:tcBorders>
            <w:shd w:val="clear" w:color="auto" w:fill="auto"/>
            <w:noWrap/>
            <w:vAlign w:val="bottom"/>
            <w:hideMark/>
          </w:tcPr>
          <w:p w14:paraId="6716D7C1" w14:textId="77777777" w:rsidR="00DF0DD9" w:rsidRPr="00DF0DD9" w:rsidRDefault="00DF0DD9" w:rsidP="00DF0DD9">
            <w:pPr>
              <w:rPr>
                <w:rFonts w:cs="Arial"/>
                <w:sz w:val="22"/>
                <w:szCs w:val="22"/>
              </w:rPr>
            </w:pPr>
            <w:r w:rsidRPr="00DF0DD9">
              <w:rPr>
                <w:rFonts w:cs="Arial"/>
                <w:sz w:val="22"/>
                <w:szCs w:val="22"/>
              </w:rPr>
              <w:t xml:space="preserve">                               137.819,00 € </w:t>
            </w:r>
          </w:p>
        </w:tc>
        <w:tc>
          <w:tcPr>
            <w:tcW w:w="829" w:type="dxa"/>
            <w:tcBorders>
              <w:top w:val="nil"/>
              <w:left w:val="nil"/>
              <w:bottom w:val="single" w:sz="4" w:space="0" w:color="auto"/>
              <w:right w:val="single" w:sz="4" w:space="0" w:color="auto"/>
            </w:tcBorders>
            <w:shd w:val="clear" w:color="auto" w:fill="auto"/>
            <w:noWrap/>
            <w:vAlign w:val="bottom"/>
            <w:hideMark/>
          </w:tcPr>
          <w:p w14:paraId="725FE286" w14:textId="77777777" w:rsidR="00DF0DD9" w:rsidRPr="00DF0DD9" w:rsidRDefault="00DF0DD9" w:rsidP="00DF0DD9">
            <w:pPr>
              <w:rPr>
                <w:rFonts w:cs="Arial"/>
                <w:sz w:val="22"/>
                <w:szCs w:val="22"/>
              </w:rPr>
            </w:pPr>
            <w:r w:rsidRPr="00DF0DD9">
              <w:rPr>
                <w:rFonts w:cs="Arial"/>
                <w:sz w:val="22"/>
                <w:szCs w:val="22"/>
              </w:rPr>
              <w:t>100,00</w:t>
            </w:r>
          </w:p>
        </w:tc>
      </w:tr>
      <w:tr w:rsidR="00DF0DD9" w:rsidRPr="00DF0DD9" w14:paraId="76DA3421" w14:textId="77777777" w:rsidTr="00CB5D17">
        <w:trPr>
          <w:trHeight w:val="300"/>
        </w:trPr>
        <w:tc>
          <w:tcPr>
            <w:tcW w:w="3677" w:type="dxa"/>
            <w:tcBorders>
              <w:top w:val="nil"/>
              <w:left w:val="single" w:sz="4" w:space="0" w:color="auto"/>
              <w:bottom w:val="single" w:sz="4" w:space="0" w:color="auto"/>
              <w:right w:val="single" w:sz="4" w:space="0" w:color="auto"/>
            </w:tcBorders>
            <w:shd w:val="clear" w:color="auto" w:fill="auto"/>
            <w:noWrap/>
            <w:vAlign w:val="bottom"/>
            <w:hideMark/>
          </w:tcPr>
          <w:p w14:paraId="1203003C" w14:textId="77777777" w:rsidR="00DF0DD9" w:rsidRPr="00DF0DD9" w:rsidRDefault="00DF0DD9" w:rsidP="00DF0DD9">
            <w:pPr>
              <w:rPr>
                <w:rFonts w:cs="Arial"/>
                <w:sz w:val="22"/>
                <w:szCs w:val="22"/>
              </w:rPr>
            </w:pPr>
            <w:r w:rsidRPr="00DF0DD9">
              <w:rPr>
                <w:rFonts w:cs="Arial"/>
                <w:sz w:val="22"/>
                <w:szCs w:val="22"/>
              </w:rPr>
              <w:t>ENGIBAR SL</w:t>
            </w:r>
          </w:p>
        </w:tc>
        <w:tc>
          <w:tcPr>
            <w:tcW w:w="3494" w:type="dxa"/>
            <w:tcBorders>
              <w:top w:val="nil"/>
              <w:left w:val="nil"/>
              <w:bottom w:val="single" w:sz="4" w:space="0" w:color="auto"/>
              <w:right w:val="single" w:sz="4" w:space="0" w:color="auto"/>
            </w:tcBorders>
            <w:shd w:val="clear" w:color="auto" w:fill="auto"/>
            <w:noWrap/>
            <w:vAlign w:val="bottom"/>
            <w:hideMark/>
          </w:tcPr>
          <w:p w14:paraId="182CB47F" w14:textId="77777777" w:rsidR="00DF0DD9" w:rsidRPr="00DF0DD9" w:rsidRDefault="00DF0DD9" w:rsidP="00DF0DD9">
            <w:pPr>
              <w:rPr>
                <w:rFonts w:cs="Arial"/>
                <w:sz w:val="22"/>
                <w:szCs w:val="22"/>
              </w:rPr>
            </w:pPr>
            <w:r w:rsidRPr="00DF0DD9">
              <w:rPr>
                <w:rFonts w:cs="Arial"/>
                <w:sz w:val="22"/>
                <w:szCs w:val="22"/>
              </w:rPr>
              <w:t xml:space="preserve">                               154.093,50 € </w:t>
            </w:r>
          </w:p>
        </w:tc>
        <w:tc>
          <w:tcPr>
            <w:tcW w:w="829" w:type="dxa"/>
            <w:tcBorders>
              <w:top w:val="nil"/>
              <w:left w:val="nil"/>
              <w:bottom w:val="single" w:sz="4" w:space="0" w:color="auto"/>
              <w:right w:val="single" w:sz="4" w:space="0" w:color="auto"/>
            </w:tcBorders>
            <w:shd w:val="clear" w:color="auto" w:fill="auto"/>
            <w:noWrap/>
            <w:vAlign w:val="bottom"/>
            <w:hideMark/>
          </w:tcPr>
          <w:p w14:paraId="0615368B" w14:textId="77777777" w:rsidR="00DF0DD9" w:rsidRPr="00DF0DD9" w:rsidRDefault="00DF0DD9" w:rsidP="00DF0DD9">
            <w:pPr>
              <w:rPr>
                <w:rFonts w:cs="Arial"/>
                <w:sz w:val="22"/>
                <w:szCs w:val="22"/>
              </w:rPr>
            </w:pPr>
            <w:r w:rsidRPr="00DF0DD9">
              <w:rPr>
                <w:rFonts w:cs="Arial"/>
                <w:sz w:val="22"/>
                <w:szCs w:val="22"/>
              </w:rPr>
              <w:t>90,01</w:t>
            </w:r>
          </w:p>
        </w:tc>
      </w:tr>
      <w:tr w:rsidR="00DF0DD9" w:rsidRPr="00DF0DD9" w14:paraId="5459E89D" w14:textId="77777777" w:rsidTr="00CB5D17">
        <w:trPr>
          <w:trHeight w:val="300"/>
        </w:trPr>
        <w:tc>
          <w:tcPr>
            <w:tcW w:w="3677" w:type="dxa"/>
            <w:tcBorders>
              <w:top w:val="nil"/>
              <w:left w:val="single" w:sz="4" w:space="0" w:color="auto"/>
              <w:bottom w:val="single" w:sz="4" w:space="0" w:color="auto"/>
              <w:right w:val="single" w:sz="4" w:space="0" w:color="auto"/>
            </w:tcBorders>
            <w:shd w:val="clear" w:color="auto" w:fill="auto"/>
            <w:noWrap/>
            <w:vAlign w:val="bottom"/>
            <w:hideMark/>
          </w:tcPr>
          <w:p w14:paraId="2C0EDAB0" w14:textId="77777777" w:rsidR="00DF0DD9" w:rsidRPr="00DF0DD9" w:rsidRDefault="00DF0DD9" w:rsidP="00DF0DD9">
            <w:pPr>
              <w:rPr>
                <w:rFonts w:cs="Arial"/>
                <w:sz w:val="22"/>
                <w:szCs w:val="22"/>
              </w:rPr>
            </w:pPr>
            <w:r w:rsidRPr="00DF0DD9">
              <w:rPr>
                <w:rFonts w:cs="Arial"/>
                <w:sz w:val="22"/>
                <w:szCs w:val="22"/>
              </w:rPr>
              <w:t>TRANSMABER, S.L.</w:t>
            </w:r>
          </w:p>
        </w:tc>
        <w:tc>
          <w:tcPr>
            <w:tcW w:w="3494" w:type="dxa"/>
            <w:tcBorders>
              <w:top w:val="nil"/>
              <w:left w:val="nil"/>
              <w:bottom w:val="single" w:sz="4" w:space="0" w:color="auto"/>
              <w:right w:val="single" w:sz="4" w:space="0" w:color="auto"/>
            </w:tcBorders>
            <w:shd w:val="clear" w:color="auto" w:fill="auto"/>
            <w:noWrap/>
            <w:vAlign w:val="bottom"/>
            <w:hideMark/>
          </w:tcPr>
          <w:p w14:paraId="50E85FCA" w14:textId="77777777" w:rsidR="00DF0DD9" w:rsidRPr="00DF0DD9" w:rsidRDefault="00DF0DD9" w:rsidP="00DF0DD9">
            <w:pPr>
              <w:rPr>
                <w:rFonts w:cs="Arial"/>
                <w:sz w:val="22"/>
                <w:szCs w:val="22"/>
              </w:rPr>
            </w:pPr>
            <w:r w:rsidRPr="00DF0DD9">
              <w:rPr>
                <w:rFonts w:cs="Arial"/>
                <w:sz w:val="22"/>
                <w:szCs w:val="22"/>
              </w:rPr>
              <w:t xml:space="preserve">                               144.860,93 € </w:t>
            </w:r>
          </w:p>
        </w:tc>
        <w:tc>
          <w:tcPr>
            <w:tcW w:w="829" w:type="dxa"/>
            <w:tcBorders>
              <w:top w:val="nil"/>
              <w:left w:val="nil"/>
              <w:bottom w:val="single" w:sz="4" w:space="0" w:color="auto"/>
              <w:right w:val="single" w:sz="4" w:space="0" w:color="auto"/>
            </w:tcBorders>
            <w:shd w:val="clear" w:color="auto" w:fill="auto"/>
            <w:noWrap/>
            <w:vAlign w:val="bottom"/>
            <w:hideMark/>
          </w:tcPr>
          <w:p w14:paraId="7DAF97A7" w14:textId="77777777" w:rsidR="00DF0DD9" w:rsidRPr="00DF0DD9" w:rsidRDefault="00DF0DD9" w:rsidP="00DF0DD9">
            <w:pPr>
              <w:rPr>
                <w:rFonts w:cs="Arial"/>
                <w:sz w:val="22"/>
                <w:szCs w:val="22"/>
              </w:rPr>
            </w:pPr>
            <w:r w:rsidRPr="00DF0DD9">
              <w:rPr>
                <w:rFonts w:cs="Arial"/>
                <w:sz w:val="22"/>
                <w:szCs w:val="22"/>
              </w:rPr>
              <w:t>95,68</w:t>
            </w:r>
          </w:p>
        </w:tc>
      </w:tr>
      <w:tr w:rsidR="00DF0DD9" w:rsidRPr="00DF0DD9" w14:paraId="12CE762C" w14:textId="77777777" w:rsidTr="00CB5D17">
        <w:trPr>
          <w:trHeight w:val="285"/>
        </w:trPr>
        <w:tc>
          <w:tcPr>
            <w:tcW w:w="3677" w:type="dxa"/>
            <w:tcBorders>
              <w:top w:val="nil"/>
              <w:left w:val="single" w:sz="4" w:space="0" w:color="auto"/>
              <w:bottom w:val="single" w:sz="4" w:space="0" w:color="auto"/>
              <w:right w:val="single" w:sz="4" w:space="0" w:color="auto"/>
            </w:tcBorders>
            <w:shd w:val="clear" w:color="auto" w:fill="auto"/>
            <w:vAlign w:val="bottom"/>
            <w:hideMark/>
          </w:tcPr>
          <w:p w14:paraId="183DAE1F" w14:textId="77777777" w:rsidR="00DF0DD9" w:rsidRPr="00DF0DD9" w:rsidRDefault="00DF0DD9" w:rsidP="00DF0DD9">
            <w:pPr>
              <w:rPr>
                <w:rFonts w:cs="Arial"/>
                <w:sz w:val="22"/>
                <w:szCs w:val="22"/>
              </w:rPr>
            </w:pPr>
            <w:r w:rsidRPr="00DF0DD9">
              <w:rPr>
                <w:rFonts w:cs="Arial"/>
                <w:sz w:val="22"/>
                <w:szCs w:val="22"/>
              </w:rPr>
              <w:t>OBRES I SERVEIS CURTO SL</w:t>
            </w:r>
          </w:p>
        </w:tc>
        <w:tc>
          <w:tcPr>
            <w:tcW w:w="3494" w:type="dxa"/>
            <w:tcBorders>
              <w:top w:val="nil"/>
              <w:left w:val="nil"/>
              <w:bottom w:val="single" w:sz="4" w:space="0" w:color="auto"/>
              <w:right w:val="single" w:sz="4" w:space="0" w:color="auto"/>
            </w:tcBorders>
            <w:shd w:val="clear" w:color="auto" w:fill="auto"/>
            <w:noWrap/>
            <w:vAlign w:val="bottom"/>
            <w:hideMark/>
          </w:tcPr>
          <w:p w14:paraId="114DA1FF" w14:textId="77777777" w:rsidR="00DF0DD9" w:rsidRPr="00DF0DD9" w:rsidRDefault="00DF0DD9" w:rsidP="00DF0DD9">
            <w:pPr>
              <w:rPr>
                <w:rFonts w:cs="Arial"/>
                <w:sz w:val="22"/>
                <w:szCs w:val="22"/>
              </w:rPr>
            </w:pPr>
            <w:r w:rsidRPr="00DF0DD9">
              <w:rPr>
                <w:rFonts w:cs="Arial"/>
                <w:sz w:val="22"/>
                <w:szCs w:val="22"/>
              </w:rPr>
              <w:t xml:space="preserve">                               149.226,54 € </w:t>
            </w:r>
          </w:p>
        </w:tc>
        <w:tc>
          <w:tcPr>
            <w:tcW w:w="829" w:type="dxa"/>
            <w:tcBorders>
              <w:top w:val="nil"/>
              <w:left w:val="nil"/>
              <w:bottom w:val="single" w:sz="4" w:space="0" w:color="auto"/>
              <w:right w:val="single" w:sz="4" w:space="0" w:color="auto"/>
            </w:tcBorders>
            <w:shd w:val="clear" w:color="auto" w:fill="auto"/>
            <w:noWrap/>
            <w:vAlign w:val="bottom"/>
            <w:hideMark/>
          </w:tcPr>
          <w:p w14:paraId="6A4C7918" w14:textId="77777777" w:rsidR="00DF0DD9" w:rsidRPr="00DF0DD9" w:rsidRDefault="00DF0DD9" w:rsidP="00DF0DD9">
            <w:pPr>
              <w:rPr>
                <w:rFonts w:cs="Arial"/>
                <w:sz w:val="22"/>
                <w:szCs w:val="22"/>
              </w:rPr>
            </w:pPr>
            <w:r w:rsidRPr="00DF0DD9">
              <w:rPr>
                <w:rFonts w:cs="Arial"/>
                <w:sz w:val="22"/>
                <w:szCs w:val="22"/>
              </w:rPr>
              <w:t>93,00</w:t>
            </w:r>
          </w:p>
        </w:tc>
      </w:tr>
    </w:tbl>
    <w:p w14:paraId="15983168" w14:textId="77777777" w:rsidR="00DF0DD9" w:rsidRPr="00DF0DD9" w:rsidRDefault="00DF0DD9" w:rsidP="00DF0DD9">
      <w:pPr>
        <w:rPr>
          <w:rFonts w:cs="Arial"/>
          <w:sz w:val="22"/>
          <w:szCs w:val="22"/>
        </w:rPr>
      </w:pPr>
    </w:p>
    <w:p w14:paraId="0AAC17D6" w14:textId="77777777" w:rsidR="00DF0DD9" w:rsidRPr="00DF0DD9" w:rsidRDefault="00DF0DD9" w:rsidP="00DF0DD9">
      <w:pPr>
        <w:rPr>
          <w:rFonts w:cs="Arial"/>
          <w:sz w:val="22"/>
          <w:szCs w:val="22"/>
        </w:rPr>
      </w:pPr>
      <w:r w:rsidRPr="00DF0DD9">
        <w:rPr>
          <w:rFonts w:cs="Arial"/>
          <w:sz w:val="22"/>
          <w:szCs w:val="22"/>
        </w:rPr>
        <w:t>La puntuació total, tenint en compte els criteris objectius definits, obté la major puntuació i per tant es proposa com adjudicatària</w:t>
      </w:r>
      <w:r w:rsidRPr="00DF0DD9">
        <w:rPr>
          <w:rFonts w:cs="Arial"/>
          <w:sz w:val="22"/>
          <w:szCs w:val="22"/>
          <w:u w:val="single"/>
        </w:rPr>
        <w:t xml:space="preserve"> REGIMOVI SL.</w:t>
      </w:r>
    </w:p>
    <w:p w14:paraId="4160E5D6" w14:textId="77777777" w:rsidR="00BA6872" w:rsidRDefault="00BA6872" w:rsidP="001B439C">
      <w:pPr>
        <w:rPr>
          <w:rFonts w:cs="Arial"/>
          <w:sz w:val="22"/>
          <w:szCs w:val="22"/>
        </w:rPr>
      </w:pPr>
    </w:p>
    <w:p w14:paraId="18FF8AB4" w14:textId="30B7A884" w:rsidR="001B439C" w:rsidRDefault="00BA6872" w:rsidP="001B439C">
      <w:pPr>
        <w:rPr>
          <w:rFonts w:cs="Arial"/>
          <w:sz w:val="22"/>
          <w:szCs w:val="22"/>
        </w:rPr>
      </w:pPr>
      <w:r>
        <w:rPr>
          <w:rFonts w:cs="Arial"/>
          <w:sz w:val="22"/>
          <w:szCs w:val="22"/>
        </w:rPr>
        <w:t>6</w:t>
      </w:r>
      <w:r w:rsidR="009B57B5">
        <w:rPr>
          <w:rFonts w:cs="Arial"/>
          <w:sz w:val="22"/>
          <w:szCs w:val="22"/>
        </w:rPr>
        <w:t xml:space="preserve">.- Per Acord de Junta de Govern Local </w:t>
      </w:r>
      <w:r w:rsidRPr="006F0C5F">
        <w:rPr>
          <w:rFonts w:cs="Arial"/>
          <w:sz w:val="22"/>
          <w:szCs w:val="22"/>
        </w:rPr>
        <w:t xml:space="preserve">de </w:t>
      </w:r>
      <w:r w:rsidRPr="00BA6872">
        <w:rPr>
          <w:rFonts w:cs="Arial"/>
          <w:sz w:val="22"/>
          <w:szCs w:val="22"/>
        </w:rPr>
        <w:t xml:space="preserve">data </w:t>
      </w:r>
      <w:r w:rsidR="00DF0DD9">
        <w:rPr>
          <w:rFonts w:cs="Arial"/>
          <w:sz w:val="22"/>
          <w:szCs w:val="22"/>
        </w:rPr>
        <w:t>10 d’abril</w:t>
      </w:r>
      <w:r w:rsidRPr="006F0C5F">
        <w:rPr>
          <w:rFonts w:cs="Arial"/>
          <w:sz w:val="22"/>
          <w:szCs w:val="22"/>
        </w:rPr>
        <w:t xml:space="preserve"> de 2025 </w:t>
      </w:r>
      <w:r w:rsidR="009B57B5">
        <w:rPr>
          <w:rFonts w:cs="Arial"/>
          <w:sz w:val="22"/>
          <w:szCs w:val="22"/>
        </w:rPr>
        <w:t xml:space="preserve">es va aprovar la relació classificada de les ofertes presentades i es va requerir la documentació </w:t>
      </w:r>
      <w:r w:rsidR="00DF0DD9">
        <w:rPr>
          <w:rFonts w:cs="Arial"/>
          <w:sz w:val="22"/>
          <w:szCs w:val="22"/>
        </w:rPr>
        <w:t xml:space="preserve">i garantia </w:t>
      </w:r>
      <w:r w:rsidR="009B57B5">
        <w:rPr>
          <w:rFonts w:cs="Arial"/>
          <w:sz w:val="22"/>
          <w:szCs w:val="22"/>
        </w:rPr>
        <w:t>a la licitadora primera classificada</w:t>
      </w:r>
      <w:r w:rsidR="00DF0DD9">
        <w:rPr>
          <w:rFonts w:cs="Arial"/>
          <w:sz w:val="22"/>
          <w:szCs w:val="22"/>
        </w:rPr>
        <w:t>.</w:t>
      </w:r>
    </w:p>
    <w:p w14:paraId="1E78CD12" w14:textId="77777777" w:rsidR="009B57B5" w:rsidRDefault="009B57B5" w:rsidP="001B439C">
      <w:pPr>
        <w:rPr>
          <w:rFonts w:cs="Arial"/>
          <w:sz w:val="22"/>
          <w:szCs w:val="22"/>
        </w:rPr>
      </w:pPr>
    </w:p>
    <w:p w14:paraId="1B5FEF6D" w14:textId="3B940354" w:rsidR="009B57B5" w:rsidRDefault="00F61AA1" w:rsidP="001B439C">
      <w:pPr>
        <w:rPr>
          <w:rFonts w:cs="Arial"/>
          <w:sz w:val="22"/>
          <w:szCs w:val="22"/>
        </w:rPr>
      </w:pPr>
      <w:r>
        <w:rPr>
          <w:rFonts w:cs="Arial"/>
          <w:sz w:val="22"/>
          <w:szCs w:val="22"/>
        </w:rPr>
        <w:t>7</w:t>
      </w:r>
      <w:r w:rsidR="009B57B5">
        <w:rPr>
          <w:rFonts w:cs="Arial"/>
          <w:sz w:val="22"/>
          <w:szCs w:val="22"/>
        </w:rPr>
        <w:t xml:space="preserve">.- Per </w:t>
      </w:r>
      <w:r w:rsidR="00BA6872">
        <w:rPr>
          <w:rFonts w:cs="Arial"/>
          <w:sz w:val="22"/>
          <w:szCs w:val="22"/>
        </w:rPr>
        <w:t xml:space="preserve">part de la licitadora requerida </w:t>
      </w:r>
      <w:r w:rsidR="009B57B5">
        <w:rPr>
          <w:rFonts w:cs="Arial"/>
          <w:sz w:val="22"/>
          <w:szCs w:val="22"/>
        </w:rPr>
        <w:t>es va presentar en temps i forma la documentació.</w:t>
      </w:r>
    </w:p>
    <w:p w14:paraId="4A70F1CD" w14:textId="77777777" w:rsidR="009B57B5" w:rsidRDefault="009B57B5" w:rsidP="001B439C">
      <w:pPr>
        <w:rPr>
          <w:rFonts w:cs="Arial"/>
          <w:sz w:val="22"/>
          <w:szCs w:val="22"/>
        </w:rPr>
      </w:pPr>
    </w:p>
    <w:p w14:paraId="69F93111" w14:textId="06064CFB" w:rsidR="009B57B5" w:rsidRPr="006B38F4" w:rsidRDefault="00F61AA1" w:rsidP="001B439C">
      <w:pPr>
        <w:rPr>
          <w:rFonts w:cs="Arial"/>
          <w:color w:val="000000" w:themeColor="text1"/>
          <w:sz w:val="22"/>
          <w:szCs w:val="22"/>
        </w:rPr>
      </w:pPr>
      <w:r>
        <w:rPr>
          <w:rFonts w:cs="Arial"/>
          <w:color w:val="000000" w:themeColor="text1"/>
          <w:sz w:val="22"/>
          <w:szCs w:val="22"/>
        </w:rPr>
        <w:t>8</w:t>
      </w:r>
      <w:r w:rsidR="009B57B5" w:rsidRPr="006B38F4">
        <w:rPr>
          <w:rFonts w:cs="Arial"/>
          <w:color w:val="000000" w:themeColor="text1"/>
          <w:sz w:val="22"/>
          <w:szCs w:val="22"/>
        </w:rPr>
        <w:t>.- Per part de la Intervenció s’ha procedit a la fiscalització prèvia de l’acord.</w:t>
      </w:r>
    </w:p>
    <w:p w14:paraId="17DC5316" w14:textId="77777777" w:rsidR="009B57B5" w:rsidRDefault="009B57B5" w:rsidP="001B439C">
      <w:pPr>
        <w:rPr>
          <w:rFonts w:cs="Arial"/>
          <w:sz w:val="22"/>
          <w:szCs w:val="22"/>
        </w:rPr>
      </w:pPr>
    </w:p>
    <w:p w14:paraId="53B0A20B" w14:textId="77777777" w:rsidR="006B38F4" w:rsidRDefault="006B38F4" w:rsidP="001B439C">
      <w:pPr>
        <w:rPr>
          <w:rFonts w:cs="Arial"/>
          <w:b/>
          <w:bCs/>
          <w:sz w:val="22"/>
          <w:szCs w:val="22"/>
        </w:rPr>
      </w:pPr>
    </w:p>
    <w:p w14:paraId="7A6C3AC5" w14:textId="04C34EBF" w:rsidR="001B439C" w:rsidRPr="001B439C" w:rsidRDefault="001B439C" w:rsidP="001B439C">
      <w:pPr>
        <w:rPr>
          <w:rFonts w:cs="Arial"/>
          <w:b/>
          <w:bCs/>
          <w:sz w:val="22"/>
          <w:szCs w:val="22"/>
        </w:rPr>
      </w:pPr>
      <w:r w:rsidRPr="001B439C">
        <w:rPr>
          <w:rFonts w:cs="Arial"/>
          <w:b/>
          <w:bCs/>
          <w:sz w:val="22"/>
          <w:szCs w:val="22"/>
        </w:rPr>
        <w:t>FONAMENTS DE DRET</w:t>
      </w:r>
    </w:p>
    <w:p w14:paraId="25179838" w14:textId="77777777" w:rsidR="001B439C" w:rsidRPr="001B439C" w:rsidRDefault="001B439C" w:rsidP="001B439C">
      <w:pPr>
        <w:rPr>
          <w:rFonts w:cs="Arial"/>
          <w:sz w:val="22"/>
          <w:szCs w:val="22"/>
          <w:u w:val="single"/>
        </w:rPr>
      </w:pPr>
    </w:p>
    <w:p w14:paraId="1537718A" w14:textId="77777777" w:rsidR="001D12DF" w:rsidRDefault="001D12DF" w:rsidP="006B38F4">
      <w:pPr>
        <w:numPr>
          <w:ilvl w:val="0"/>
          <w:numId w:val="7"/>
        </w:numPr>
        <w:rPr>
          <w:rFonts w:cs="Arial"/>
          <w:sz w:val="22"/>
          <w:szCs w:val="22"/>
        </w:rPr>
      </w:pPr>
      <w:r>
        <w:rPr>
          <w:rFonts w:cs="Arial"/>
          <w:sz w:val="22"/>
          <w:szCs w:val="22"/>
        </w:rPr>
        <w:t>Plec de clàusules administratives particulars i el plec de prescripcions tècniques (PCAP i PPT).</w:t>
      </w:r>
    </w:p>
    <w:p w14:paraId="0B0B82C5" w14:textId="77777777" w:rsidR="001D12DF" w:rsidRDefault="001D12DF" w:rsidP="006B38F4">
      <w:pPr>
        <w:numPr>
          <w:ilvl w:val="0"/>
          <w:numId w:val="7"/>
        </w:numPr>
        <w:rPr>
          <w:rFonts w:cs="Arial"/>
          <w:sz w:val="22"/>
          <w:szCs w:val="22"/>
        </w:rPr>
      </w:pPr>
      <w:r>
        <w:rPr>
          <w:rFonts w:cs="Arial"/>
          <w:sz w:val="22"/>
          <w:szCs w:val="22"/>
        </w:rPr>
        <w:t>Llei 9/2017, de 8 de novembre, de contractes del sector públic per la que es transposen a l'ordenament jurídic espanyol les Directives del Parlament Europeu i del Consell 2014/23/UE i 2014/24/UE, de 26 de febrer de 2014 (LCSP)</w:t>
      </w:r>
    </w:p>
    <w:p w14:paraId="53A4658E" w14:textId="77777777" w:rsidR="001D12DF" w:rsidRDefault="001D12DF" w:rsidP="006B38F4">
      <w:pPr>
        <w:numPr>
          <w:ilvl w:val="0"/>
          <w:numId w:val="7"/>
        </w:numPr>
        <w:rPr>
          <w:rFonts w:cs="Arial"/>
          <w:sz w:val="22"/>
          <w:szCs w:val="22"/>
        </w:rPr>
      </w:pPr>
      <w:r>
        <w:rPr>
          <w:rFonts w:cs="Arial"/>
          <w:sz w:val="22"/>
          <w:szCs w:val="22"/>
        </w:rPr>
        <w:t>Reial decret 817/2009, de 8 de maig, pel qual es desenvolupa parcialment la Llei 30/2007, de 30 d’octubre, de Contractes del sector públic (en endavant RD 817/2009).</w:t>
      </w:r>
    </w:p>
    <w:p w14:paraId="64D8D5F2" w14:textId="77777777" w:rsidR="001D12DF" w:rsidRDefault="001D12DF" w:rsidP="006B38F4">
      <w:pPr>
        <w:numPr>
          <w:ilvl w:val="0"/>
          <w:numId w:val="7"/>
        </w:numPr>
        <w:rPr>
          <w:rFonts w:cs="Arial"/>
          <w:sz w:val="22"/>
          <w:szCs w:val="22"/>
        </w:rPr>
      </w:pPr>
      <w:r>
        <w:rPr>
          <w:rFonts w:cs="Arial"/>
          <w:sz w:val="22"/>
          <w:szCs w:val="22"/>
        </w:rPr>
        <w:t>Reial decret 1098/2001, de 12 d’octubre, pel qual s’aprova el Reglament general de la Llei de contractes de les administracions públiques, en tot allò que no s’oposi, contradigui o resulti incompatible amb la LCSP (d’ara endavant, RGLCAP).</w:t>
      </w:r>
    </w:p>
    <w:p w14:paraId="6D948B30" w14:textId="77777777" w:rsidR="001D12DF" w:rsidRDefault="001D12DF" w:rsidP="006B38F4">
      <w:pPr>
        <w:numPr>
          <w:ilvl w:val="0"/>
          <w:numId w:val="7"/>
        </w:numPr>
        <w:rPr>
          <w:rFonts w:cs="Arial"/>
          <w:sz w:val="22"/>
          <w:szCs w:val="22"/>
        </w:rPr>
      </w:pPr>
      <w:r>
        <w:rPr>
          <w:rFonts w:cs="Arial"/>
          <w:sz w:val="22"/>
          <w:szCs w:val="22"/>
        </w:rPr>
        <w:t xml:space="preserve">Decret llei 3/2016, de 31 de maig, de mesures urgents en matèria de contractació pública. </w:t>
      </w:r>
    </w:p>
    <w:p w14:paraId="76ACAE50" w14:textId="3A4D625B" w:rsidR="001D12DF" w:rsidRDefault="001D12DF" w:rsidP="006B38F4">
      <w:pPr>
        <w:numPr>
          <w:ilvl w:val="0"/>
          <w:numId w:val="7"/>
        </w:numPr>
        <w:rPr>
          <w:rFonts w:cs="Arial"/>
          <w:sz w:val="22"/>
          <w:szCs w:val="22"/>
        </w:rPr>
      </w:pPr>
      <w:r w:rsidRPr="001D12DF">
        <w:rPr>
          <w:rFonts w:cs="Arial"/>
          <w:sz w:val="22"/>
          <w:szCs w:val="22"/>
        </w:rPr>
        <w:t>Reglament (UE) 2016/679 del Parlament Europeu i del Consell, de 27 d’abril de 2016 relatiu a la protecció de les persones físiques pel que fa al tractament de dades personals i a la lliure circulació d’aquestes dades i pel que es deroga la Directiva 95/46/CE (Reglament general de protecció de dades)</w:t>
      </w:r>
      <w:r>
        <w:rPr>
          <w:rFonts w:cs="Arial"/>
          <w:sz w:val="22"/>
          <w:szCs w:val="22"/>
        </w:rPr>
        <w:t> </w:t>
      </w:r>
    </w:p>
    <w:p w14:paraId="59A83942" w14:textId="4B5A4531" w:rsidR="001D12DF" w:rsidRDefault="001D12DF" w:rsidP="006B38F4">
      <w:pPr>
        <w:numPr>
          <w:ilvl w:val="0"/>
          <w:numId w:val="7"/>
        </w:numPr>
        <w:rPr>
          <w:rFonts w:cs="Arial"/>
          <w:sz w:val="22"/>
          <w:szCs w:val="22"/>
        </w:rPr>
      </w:pPr>
      <w:r w:rsidRPr="001D12DF">
        <w:rPr>
          <w:rFonts w:cs="Arial"/>
          <w:sz w:val="22"/>
          <w:szCs w:val="22"/>
        </w:rPr>
        <w:t>Directiva 2002/58/CE del Parlament Europeu i del Consell, de 12 de juliol de 2002, relativa al tractament de les dades personals i a la protecció de la intimitat en el sector de les comunicacions electròniques</w:t>
      </w:r>
    </w:p>
    <w:p w14:paraId="25A97F1B" w14:textId="4B8312DD" w:rsidR="001B439C" w:rsidRDefault="001D12DF" w:rsidP="006B38F4">
      <w:pPr>
        <w:numPr>
          <w:ilvl w:val="0"/>
          <w:numId w:val="7"/>
        </w:numPr>
        <w:rPr>
          <w:rFonts w:cs="Arial"/>
          <w:sz w:val="22"/>
          <w:szCs w:val="22"/>
        </w:rPr>
      </w:pPr>
      <w:r w:rsidRPr="001D12DF">
        <w:rPr>
          <w:rFonts w:cs="Arial"/>
          <w:sz w:val="22"/>
          <w:szCs w:val="22"/>
        </w:rPr>
        <w:t>Llei orgànica 3/2018, de 5 de desembre, de protecció de dades personals i garantia dels drets digitals</w:t>
      </w:r>
      <w:r w:rsidR="004C5E70">
        <w:rPr>
          <w:rFonts w:cs="Arial"/>
          <w:sz w:val="22"/>
          <w:szCs w:val="22"/>
        </w:rPr>
        <w:t>.</w:t>
      </w:r>
    </w:p>
    <w:p w14:paraId="727DF863" w14:textId="77777777" w:rsidR="001D12DF" w:rsidRDefault="001D12DF" w:rsidP="001D12DF">
      <w:pPr>
        <w:rPr>
          <w:rFonts w:cs="Arial"/>
          <w:sz w:val="22"/>
          <w:szCs w:val="22"/>
        </w:rPr>
      </w:pPr>
    </w:p>
    <w:p w14:paraId="2689FAB7" w14:textId="607AA267" w:rsidR="001D12DF" w:rsidRPr="001D12DF" w:rsidRDefault="001D12DF" w:rsidP="001D12DF">
      <w:pPr>
        <w:rPr>
          <w:rFonts w:cs="Arial"/>
          <w:b/>
          <w:sz w:val="22"/>
          <w:szCs w:val="22"/>
        </w:rPr>
      </w:pPr>
      <w:r w:rsidRPr="001D12DF">
        <w:rPr>
          <w:rFonts w:cs="Arial"/>
          <w:b/>
          <w:sz w:val="22"/>
          <w:szCs w:val="22"/>
        </w:rPr>
        <w:t>PROPOSTA</w:t>
      </w:r>
    </w:p>
    <w:p w14:paraId="1664030B" w14:textId="77777777" w:rsidR="001D12DF" w:rsidRPr="001B439C" w:rsidRDefault="001D12DF" w:rsidP="001D12DF">
      <w:pPr>
        <w:pStyle w:val="Textoindependiente21"/>
        <w:rPr>
          <w:sz w:val="22"/>
          <w:szCs w:val="22"/>
        </w:rPr>
      </w:pPr>
    </w:p>
    <w:p w14:paraId="6E741240" w14:textId="0A7AAFB3" w:rsidR="006B38F4" w:rsidRPr="006B38F4" w:rsidRDefault="006B38F4" w:rsidP="006B38F4">
      <w:pPr>
        <w:rPr>
          <w:rFonts w:cs="Arial"/>
          <w:sz w:val="22"/>
        </w:rPr>
      </w:pPr>
      <w:r w:rsidRPr="006B38F4">
        <w:rPr>
          <w:rFonts w:cs="Arial"/>
          <w:b/>
          <w:bCs/>
          <w:sz w:val="22"/>
        </w:rPr>
        <w:t>Primer.</w:t>
      </w:r>
      <w:r w:rsidRPr="006B38F4">
        <w:rPr>
          <w:rFonts w:cs="Arial"/>
          <w:sz w:val="22"/>
        </w:rPr>
        <w:t xml:space="preserve"> Adjudicar el contracte </w:t>
      </w:r>
      <w:r w:rsidR="00DF0DD9" w:rsidRPr="00DF0DD9">
        <w:rPr>
          <w:rFonts w:cs="Arial"/>
          <w:sz w:val="22"/>
        </w:rPr>
        <w:t>d’obres del projecte executiu “CRUÏLLA CARRER ESTACIÓ AMB AVINGUDA ESPORTIVA” de Deltebre</w:t>
      </w:r>
      <w:r w:rsidRPr="006B38F4">
        <w:rPr>
          <w:rFonts w:cs="Arial"/>
          <w:sz w:val="22"/>
        </w:rPr>
        <w:t xml:space="preserve">, a </w:t>
      </w:r>
      <w:r w:rsidR="00DF0DD9" w:rsidRPr="00DF0DD9">
        <w:rPr>
          <w:rFonts w:cs="Arial"/>
          <w:sz w:val="22"/>
        </w:rPr>
        <w:t>REGIMOVI SL.</w:t>
      </w:r>
      <w:r w:rsidRPr="006B38F4">
        <w:rPr>
          <w:rFonts w:cs="Arial"/>
          <w:sz w:val="22"/>
        </w:rPr>
        <w:t xml:space="preserve">, amb NIF </w:t>
      </w:r>
      <w:r w:rsidR="00DF0DD9" w:rsidRPr="00DF0DD9">
        <w:rPr>
          <w:rFonts w:cs="Arial"/>
          <w:sz w:val="22"/>
        </w:rPr>
        <w:t>B43454933</w:t>
      </w:r>
      <w:r w:rsidR="00DF0DD9">
        <w:rPr>
          <w:rFonts w:cs="Arial"/>
          <w:sz w:val="22"/>
        </w:rPr>
        <w:t xml:space="preserve">, </w:t>
      </w:r>
      <w:r w:rsidRPr="006B38F4">
        <w:rPr>
          <w:rFonts w:cs="Arial"/>
          <w:sz w:val="22"/>
        </w:rPr>
        <w:t>per un preu</w:t>
      </w:r>
      <w:r w:rsidR="00DF0DD9">
        <w:rPr>
          <w:rFonts w:cs="Arial"/>
          <w:sz w:val="22"/>
        </w:rPr>
        <w:t xml:space="preserve"> de </w:t>
      </w:r>
      <w:r w:rsidR="00DF0DD9" w:rsidRPr="00DF0DD9">
        <w:rPr>
          <w:rFonts w:cs="Arial"/>
          <w:b/>
          <w:bCs/>
          <w:sz w:val="22"/>
        </w:rPr>
        <w:t>137.819,00</w:t>
      </w:r>
      <w:r w:rsidRPr="00DF0DD9">
        <w:rPr>
          <w:rFonts w:cs="Arial"/>
          <w:b/>
          <w:bCs/>
          <w:sz w:val="22"/>
        </w:rPr>
        <w:t xml:space="preserve"> €,</w:t>
      </w:r>
      <w:r w:rsidRPr="006B38F4">
        <w:rPr>
          <w:rFonts w:cs="Arial"/>
          <w:sz w:val="22"/>
        </w:rPr>
        <w:t xml:space="preserve"> IVA inclòs, amb el desglossament següent: </w:t>
      </w:r>
      <w:r w:rsidR="00DF0DD9">
        <w:rPr>
          <w:rFonts w:cs="Arial"/>
          <w:sz w:val="22"/>
        </w:rPr>
        <w:t xml:space="preserve">113.900,00 </w:t>
      </w:r>
      <w:r w:rsidRPr="006B38F4">
        <w:rPr>
          <w:rFonts w:cs="Arial"/>
          <w:sz w:val="22"/>
        </w:rPr>
        <w:t xml:space="preserve">€, pressupost net, i </w:t>
      </w:r>
      <w:r w:rsidR="00DF0DD9" w:rsidRPr="00DF0DD9">
        <w:rPr>
          <w:rFonts w:cs="Arial"/>
          <w:sz w:val="22"/>
        </w:rPr>
        <w:t>23.919,00</w:t>
      </w:r>
      <w:r w:rsidR="00DF0DD9">
        <w:rPr>
          <w:rFonts w:cs="Arial"/>
          <w:sz w:val="22"/>
        </w:rPr>
        <w:t xml:space="preserve"> </w:t>
      </w:r>
      <w:r w:rsidRPr="006B38F4">
        <w:rPr>
          <w:rFonts w:cs="Arial"/>
          <w:sz w:val="22"/>
        </w:rPr>
        <w:t>€ en concepte d’Impost sobre el valor (IVA) afegit al tipus del 21%, amb subjecció als plecs de clàusules administratives i tècniques aprovats</w:t>
      </w:r>
      <w:r w:rsidR="00DF0DD9">
        <w:rPr>
          <w:rFonts w:cs="Arial"/>
          <w:sz w:val="22"/>
        </w:rPr>
        <w:t>.</w:t>
      </w:r>
    </w:p>
    <w:p w14:paraId="75ED1CA7" w14:textId="77777777" w:rsidR="006B38F4" w:rsidRDefault="006B38F4" w:rsidP="006B38F4">
      <w:pPr>
        <w:rPr>
          <w:rFonts w:cs="Arial"/>
          <w:color w:val="FF0000"/>
          <w:sz w:val="22"/>
          <w:szCs w:val="19"/>
          <w:highlight w:val="yellow"/>
        </w:rPr>
      </w:pPr>
    </w:p>
    <w:p w14:paraId="17C84E18" w14:textId="3232D7DD" w:rsidR="006B38F4" w:rsidRPr="00875617" w:rsidRDefault="006B38F4" w:rsidP="00DF0DD9">
      <w:pPr>
        <w:pStyle w:val="Textoindependiente31"/>
        <w:rPr>
          <w:rFonts w:cs="Arial"/>
          <w:color w:val="FF0000"/>
          <w:sz w:val="20"/>
          <w:szCs w:val="20"/>
          <w:lang w:eastAsia="ca-ES"/>
        </w:rPr>
      </w:pPr>
      <w:r w:rsidRPr="006B38F4">
        <w:rPr>
          <w:rFonts w:cs="Arial"/>
          <w:b/>
          <w:bCs/>
          <w:color w:val="auto"/>
          <w:sz w:val="22"/>
          <w:szCs w:val="19"/>
        </w:rPr>
        <w:t>Segon.</w:t>
      </w:r>
      <w:r w:rsidRPr="006B38F4">
        <w:rPr>
          <w:rFonts w:cs="Arial"/>
          <w:color w:val="auto"/>
          <w:sz w:val="22"/>
          <w:szCs w:val="19"/>
        </w:rPr>
        <w:t xml:space="preserve">- </w:t>
      </w:r>
      <w:r w:rsidRPr="006B38F4">
        <w:rPr>
          <w:rFonts w:cs="Arial"/>
          <w:color w:val="auto"/>
          <w:sz w:val="22"/>
          <w:szCs w:val="24"/>
          <w:lang w:eastAsia="ca-ES"/>
        </w:rPr>
        <w:t>Disposar la despesa corresponent</w:t>
      </w:r>
      <w:r w:rsidR="00DF0DD9">
        <w:rPr>
          <w:rFonts w:cs="Arial"/>
          <w:color w:val="auto"/>
          <w:sz w:val="22"/>
          <w:szCs w:val="24"/>
          <w:lang w:eastAsia="ca-ES"/>
        </w:rPr>
        <w:t xml:space="preserve"> a l’aplicació pressupostària “</w:t>
      </w:r>
      <w:r w:rsidR="00DF0DD9" w:rsidRPr="00DF0DD9">
        <w:rPr>
          <w:rFonts w:cs="Arial"/>
          <w:color w:val="auto"/>
          <w:sz w:val="22"/>
          <w:szCs w:val="24"/>
          <w:lang w:eastAsia="ca-ES"/>
        </w:rPr>
        <w:t>15320 61900</w:t>
      </w:r>
      <w:r w:rsidR="00DF0DD9">
        <w:rPr>
          <w:rFonts w:cs="Arial"/>
          <w:color w:val="auto"/>
          <w:sz w:val="22"/>
          <w:szCs w:val="24"/>
          <w:lang w:eastAsia="ca-ES"/>
        </w:rPr>
        <w:t xml:space="preserve"> </w:t>
      </w:r>
      <w:r w:rsidR="00DF0DD9" w:rsidRPr="00DF0DD9">
        <w:rPr>
          <w:rFonts w:cs="Arial"/>
          <w:color w:val="auto"/>
          <w:sz w:val="22"/>
          <w:szCs w:val="24"/>
          <w:lang w:eastAsia="ca-ES"/>
        </w:rPr>
        <w:t>MOBILITAT URBANA I IMATGE DE POBLE</w:t>
      </w:r>
      <w:r w:rsidR="00DF0DD9">
        <w:rPr>
          <w:rFonts w:cs="Arial"/>
          <w:color w:val="auto"/>
          <w:sz w:val="22"/>
          <w:szCs w:val="24"/>
          <w:lang w:eastAsia="ca-ES"/>
        </w:rPr>
        <w:t>” del 2025.</w:t>
      </w:r>
    </w:p>
    <w:p w14:paraId="26AADBE6" w14:textId="77777777" w:rsidR="006B38F4" w:rsidRPr="006B38F4" w:rsidRDefault="006B38F4" w:rsidP="006B38F4">
      <w:pPr>
        <w:pStyle w:val="Textoindependiente31"/>
        <w:rPr>
          <w:rFonts w:cs="Arial"/>
          <w:color w:val="auto"/>
          <w:sz w:val="22"/>
          <w:szCs w:val="19"/>
        </w:rPr>
      </w:pPr>
    </w:p>
    <w:p w14:paraId="427A7932" w14:textId="2763AFE4" w:rsidR="006B38F4" w:rsidRPr="00875617" w:rsidRDefault="006B38F4" w:rsidP="00DF0DD9">
      <w:pPr>
        <w:pStyle w:val="Textoindependiente31"/>
        <w:rPr>
          <w:rFonts w:cs="Arial"/>
          <w:color w:val="FF0000"/>
          <w:sz w:val="20"/>
          <w:szCs w:val="20"/>
        </w:rPr>
      </w:pPr>
      <w:r>
        <w:rPr>
          <w:rFonts w:cs="Arial"/>
          <w:b/>
          <w:bCs/>
          <w:sz w:val="22"/>
          <w:szCs w:val="19"/>
        </w:rPr>
        <w:lastRenderedPageBreak/>
        <w:t>Tercer</w:t>
      </w:r>
      <w:r w:rsidRPr="006B38F4">
        <w:rPr>
          <w:rFonts w:cs="Arial"/>
          <w:b/>
          <w:bCs/>
          <w:sz w:val="22"/>
          <w:szCs w:val="19"/>
        </w:rPr>
        <w:t>.</w:t>
      </w:r>
      <w:r w:rsidRPr="006B38F4">
        <w:rPr>
          <w:rFonts w:cs="Arial"/>
          <w:color w:val="auto"/>
          <w:sz w:val="22"/>
          <w:szCs w:val="19"/>
        </w:rPr>
        <w:t xml:space="preserve"> Requerir a </w:t>
      </w:r>
      <w:r w:rsidRPr="00DF0DD9">
        <w:rPr>
          <w:rFonts w:cs="Arial"/>
          <w:color w:val="auto"/>
          <w:sz w:val="22"/>
          <w:szCs w:val="19"/>
        </w:rPr>
        <w:t xml:space="preserve">l'empresa perquè </w:t>
      </w:r>
      <w:r w:rsidRPr="006B38F4">
        <w:rPr>
          <w:rFonts w:cs="Arial"/>
          <w:color w:val="auto"/>
          <w:sz w:val="22"/>
          <w:szCs w:val="19"/>
        </w:rPr>
        <w:t>en el termini de 15 dies hàbils, a comptar des de l’endemà de la notificació de l’adjudicació, procedeixi a formalitzar el corresponent contracte administratiu.</w:t>
      </w:r>
      <w:r w:rsidRPr="00875617">
        <w:rPr>
          <w:rFonts w:cs="Arial"/>
          <w:color w:val="FF0000"/>
          <w:sz w:val="20"/>
          <w:szCs w:val="20"/>
        </w:rPr>
        <w:t xml:space="preserve"> </w:t>
      </w:r>
    </w:p>
    <w:p w14:paraId="613F2CE0" w14:textId="77777777" w:rsidR="006B38F4" w:rsidRPr="00CF65E5" w:rsidRDefault="006B38F4" w:rsidP="006B38F4">
      <w:pPr>
        <w:rPr>
          <w:rFonts w:cs="Arial"/>
          <w:sz w:val="22"/>
          <w:szCs w:val="19"/>
          <w:highlight w:val="yellow"/>
        </w:rPr>
      </w:pPr>
    </w:p>
    <w:p w14:paraId="3993E4C4" w14:textId="32534B41" w:rsidR="00DF0DD9" w:rsidRPr="00DF0DD9" w:rsidRDefault="006B38F4" w:rsidP="00DF0DD9">
      <w:pPr>
        <w:rPr>
          <w:rFonts w:cs="Arial"/>
          <w:sz w:val="22"/>
        </w:rPr>
      </w:pPr>
      <w:r>
        <w:rPr>
          <w:rFonts w:cs="Arial"/>
          <w:b/>
          <w:bCs/>
          <w:sz w:val="22"/>
          <w:szCs w:val="19"/>
        </w:rPr>
        <w:t>Quart</w:t>
      </w:r>
      <w:r w:rsidRPr="006B38F4">
        <w:rPr>
          <w:rFonts w:cs="Arial"/>
          <w:b/>
          <w:bCs/>
          <w:sz w:val="22"/>
          <w:szCs w:val="19"/>
        </w:rPr>
        <w:t>.</w:t>
      </w:r>
      <w:r w:rsidRPr="006B38F4">
        <w:rPr>
          <w:rFonts w:cs="Arial"/>
          <w:sz w:val="22"/>
          <w:szCs w:val="19"/>
        </w:rPr>
        <w:t xml:space="preserve"> </w:t>
      </w:r>
      <w:r w:rsidRPr="006B38F4">
        <w:rPr>
          <w:rFonts w:cs="Arial"/>
          <w:sz w:val="22"/>
        </w:rPr>
        <w:t>Nomenar responsable del contracte el Sr.</w:t>
      </w:r>
      <w:r w:rsidR="00DF0DD9" w:rsidRPr="00DF0DD9">
        <w:rPr>
          <w:rFonts w:ascii="Arial MT" w:eastAsia="Arial MT" w:hAnsi="Arial MT" w:cs="Arial"/>
          <w:sz w:val="22"/>
          <w:szCs w:val="22"/>
          <w:lang w:eastAsia="en-US"/>
        </w:rPr>
        <w:t xml:space="preserve"> </w:t>
      </w:r>
      <w:r w:rsidR="00DF0DD9" w:rsidRPr="00DF0DD9">
        <w:rPr>
          <w:rFonts w:cs="Arial"/>
          <w:sz w:val="22"/>
        </w:rPr>
        <w:t>Josep Miquel Forner</w:t>
      </w:r>
      <w:r w:rsidR="00DF0DD9">
        <w:rPr>
          <w:rFonts w:cs="Arial"/>
          <w:sz w:val="22"/>
        </w:rPr>
        <w:t>, tècnic municipal.</w:t>
      </w:r>
    </w:p>
    <w:p w14:paraId="36449CF7" w14:textId="79BC08FE" w:rsidR="006B38F4" w:rsidRPr="006B38F4" w:rsidRDefault="006B38F4" w:rsidP="006B38F4">
      <w:pPr>
        <w:rPr>
          <w:rFonts w:cs="Arial"/>
          <w:sz w:val="22"/>
          <w:szCs w:val="19"/>
        </w:rPr>
      </w:pPr>
    </w:p>
    <w:p w14:paraId="01467FE8" w14:textId="624F5075" w:rsidR="006B38F4" w:rsidRPr="006F0C5F" w:rsidRDefault="006B38F4" w:rsidP="006B38F4">
      <w:pPr>
        <w:ind w:left="-3"/>
        <w:rPr>
          <w:rFonts w:cs="Arial"/>
          <w:sz w:val="22"/>
          <w:szCs w:val="22"/>
        </w:rPr>
      </w:pPr>
      <w:r w:rsidRPr="006B38F4">
        <w:rPr>
          <w:rFonts w:cs="Arial"/>
          <w:b/>
          <w:bCs/>
          <w:sz w:val="22"/>
          <w:szCs w:val="19"/>
        </w:rPr>
        <w:t>Cinquè.-</w:t>
      </w:r>
      <w:r w:rsidRPr="006B38F4">
        <w:rPr>
          <w:rFonts w:cs="Arial"/>
          <w:sz w:val="22"/>
          <w:szCs w:val="19"/>
        </w:rPr>
        <w:t xml:space="preserve"> Notificar aquesta resolució a l</w:t>
      </w:r>
      <w:r w:rsidR="00DF0DD9">
        <w:rPr>
          <w:rFonts w:cs="Arial"/>
          <w:sz w:val="22"/>
          <w:szCs w:val="19"/>
        </w:rPr>
        <w:t>a</w:t>
      </w:r>
      <w:r w:rsidRPr="006B38F4">
        <w:rPr>
          <w:rFonts w:cs="Arial"/>
          <w:sz w:val="22"/>
          <w:szCs w:val="19"/>
        </w:rPr>
        <w:t xml:space="preserve"> licitador</w:t>
      </w:r>
      <w:r w:rsidR="00DF0DD9">
        <w:rPr>
          <w:rFonts w:cs="Arial"/>
          <w:sz w:val="22"/>
          <w:szCs w:val="19"/>
        </w:rPr>
        <w:t>a</w:t>
      </w:r>
      <w:r w:rsidRPr="006B38F4">
        <w:rPr>
          <w:rFonts w:cs="Arial"/>
          <w:sz w:val="22"/>
          <w:szCs w:val="19"/>
        </w:rPr>
        <w:t xml:space="preserve">, a la unitat gestora i a la persona responsable del contracte. </w:t>
      </w:r>
      <w:r w:rsidRPr="006B38F4">
        <w:rPr>
          <w:rFonts w:cs="Arial"/>
          <w:sz w:val="22"/>
          <w:szCs w:val="22"/>
        </w:rPr>
        <w:t>Així mateix comunicar a l’empresa que en cas d’haver de donar d’alta o modificar les dades bancàries, caldrà que aporti la sol·licitud d’alta o modificació de dades bancaries a tercers degudament complimentada i signada.</w:t>
      </w:r>
    </w:p>
    <w:p w14:paraId="08A5A866" w14:textId="77777777" w:rsidR="006B38F4" w:rsidRDefault="006B38F4" w:rsidP="006B38F4">
      <w:pPr>
        <w:ind w:left="-3"/>
        <w:rPr>
          <w:rFonts w:cs="Arial"/>
          <w:sz w:val="22"/>
          <w:szCs w:val="19"/>
          <w:highlight w:val="yellow"/>
        </w:rPr>
      </w:pPr>
    </w:p>
    <w:p w14:paraId="09E99CCD" w14:textId="77777777" w:rsidR="006B38F4" w:rsidRPr="006B38F4" w:rsidRDefault="006B38F4" w:rsidP="006B38F4">
      <w:pPr>
        <w:rPr>
          <w:rFonts w:cs="Arial"/>
          <w:sz w:val="22"/>
          <w:szCs w:val="19"/>
        </w:rPr>
      </w:pPr>
      <w:r w:rsidRPr="006B38F4">
        <w:rPr>
          <w:rFonts w:cs="Arial"/>
          <w:b/>
          <w:bCs/>
          <w:sz w:val="22"/>
          <w:szCs w:val="19"/>
        </w:rPr>
        <w:t>Sisè</w:t>
      </w:r>
      <w:r w:rsidRPr="006B38F4">
        <w:rPr>
          <w:rFonts w:cs="Arial"/>
          <w:sz w:val="22"/>
          <w:szCs w:val="19"/>
        </w:rPr>
        <w:t xml:space="preserve">.- Publicar l'adjudicació del contracte al perfil de contractant. </w:t>
      </w:r>
    </w:p>
    <w:p w14:paraId="6231127A" w14:textId="77777777" w:rsidR="006B38F4" w:rsidRPr="00CF65E5" w:rsidRDefault="006B38F4" w:rsidP="006B38F4">
      <w:pPr>
        <w:rPr>
          <w:rFonts w:cs="Arial"/>
          <w:sz w:val="22"/>
          <w:szCs w:val="19"/>
          <w:highlight w:val="yellow"/>
        </w:rPr>
      </w:pPr>
    </w:p>
    <w:p w14:paraId="0F9EC065" w14:textId="77777777" w:rsidR="006B38F4" w:rsidRDefault="006B38F4" w:rsidP="006B38F4">
      <w:pPr>
        <w:rPr>
          <w:sz w:val="22"/>
        </w:rPr>
      </w:pPr>
      <w:r w:rsidRPr="006B38F4">
        <w:rPr>
          <w:rFonts w:cs="Arial"/>
          <w:b/>
          <w:sz w:val="22"/>
        </w:rPr>
        <w:t>Setè.</w:t>
      </w:r>
      <w:r w:rsidRPr="006B38F4">
        <w:rPr>
          <w:b/>
          <w:sz w:val="22"/>
        </w:rPr>
        <w:t>-</w:t>
      </w:r>
      <w:r w:rsidRPr="006B38F4">
        <w:rPr>
          <w:rFonts w:cs="Arial"/>
          <w:sz w:val="22"/>
        </w:rPr>
        <w:t xml:space="preserve"> </w:t>
      </w:r>
      <w:r w:rsidRPr="006B38F4">
        <w:rPr>
          <w:sz w:val="22"/>
        </w:rPr>
        <w:t>Comunicar les dades bàsiques del contracte al Registre de Contractes del Sector Públic.</w:t>
      </w:r>
    </w:p>
    <w:p w14:paraId="58478FA6" w14:textId="77777777" w:rsidR="006B38F4" w:rsidRDefault="006B38F4" w:rsidP="006B38F4">
      <w:pPr>
        <w:rPr>
          <w:sz w:val="22"/>
        </w:rPr>
      </w:pPr>
    </w:p>
    <w:p w14:paraId="4C5EAC8B" w14:textId="77777777" w:rsidR="006B38F4" w:rsidRPr="006F0C5F" w:rsidRDefault="006B38F4" w:rsidP="006B38F4">
      <w:pPr>
        <w:rPr>
          <w:rFonts w:cs="Arial"/>
          <w:sz w:val="22"/>
          <w:szCs w:val="22"/>
        </w:rPr>
      </w:pPr>
      <w:r w:rsidRPr="006F0C5F">
        <w:rPr>
          <w:rFonts w:cs="Arial"/>
          <w:b/>
          <w:sz w:val="22"/>
          <w:szCs w:val="22"/>
        </w:rPr>
        <w:t>Vuitè.-</w:t>
      </w:r>
      <w:r w:rsidRPr="006F0C5F">
        <w:rPr>
          <w:rFonts w:cs="Arial"/>
          <w:sz w:val="22"/>
          <w:szCs w:val="22"/>
        </w:rPr>
        <w:t xml:space="preserve"> Traslladar el present acord a l’Àrea </w:t>
      </w:r>
      <w:r w:rsidRPr="006F0C5F">
        <w:rPr>
          <w:rFonts w:cs="Arial"/>
          <w:bCs/>
          <w:sz w:val="22"/>
          <w:szCs w:val="22"/>
        </w:rPr>
        <w:t>#DeltebreEficient,</w:t>
      </w:r>
      <w:r w:rsidRPr="006F0C5F">
        <w:rPr>
          <w:rFonts w:cs="Arial"/>
          <w:b/>
          <w:bCs/>
          <w:sz w:val="22"/>
          <w:szCs w:val="22"/>
        </w:rPr>
        <w:t xml:space="preserve"> </w:t>
      </w:r>
      <w:r w:rsidRPr="006F0C5F">
        <w:rPr>
          <w:rFonts w:cs="Arial"/>
          <w:sz w:val="22"/>
          <w:szCs w:val="22"/>
        </w:rPr>
        <w:t>subàrees d’afers interns i a l’Àrea promotora de la contractació per al seu coneixement i efectes oportuns.</w:t>
      </w:r>
    </w:p>
    <w:sectPr w:rsidR="006B38F4" w:rsidRPr="006F0C5F" w:rsidSect="00AC4F2E">
      <w:headerReference w:type="even" r:id="rId7"/>
      <w:headerReference w:type="default" r:id="rId8"/>
      <w:footerReference w:type="even" r:id="rId9"/>
      <w:footerReference w:type="default" r:id="rId10"/>
      <w:headerReference w:type="first" r:id="rId11"/>
      <w:footerReference w:type="first" r:id="rId12"/>
      <w:pgSz w:w="11906" w:h="16838"/>
      <w:pgMar w:top="2696"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62A1F0" w14:textId="77777777" w:rsidR="00A26166" w:rsidRDefault="00A26166">
      <w:r>
        <w:separator/>
      </w:r>
    </w:p>
  </w:endnote>
  <w:endnote w:type="continuationSeparator" w:id="0">
    <w:p w14:paraId="5D2245EA" w14:textId="77777777" w:rsidR="00A26166" w:rsidRDefault="00A26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rial MT">
    <w:altName w:val="Arial"/>
    <w:charset w:val="01"/>
    <w:family w:val="swiss"/>
    <w:pitch w:val="variable"/>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BAC84" w14:textId="77777777" w:rsidR="00A26166" w:rsidRDefault="00A2616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F1650" w14:textId="77777777" w:rsidR="00A26166" w:rsidRDefault="00A26166">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9D721" w14:textId="77777777" w:rsidR="00A26166" w:rsidRDefault="00A2616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5E4048" w14:textId="77777777" w:rsidR="00A26166" w:rsidRDefault="00A26166">
      <w:r>
        <w:separator/>
      </w:r>
    </w:p>
  </w:footnote>
  <w:footnote w:type="continuationSeparator" w:id="0">
    <w:p w14:paraId="1CB12E80" w14:textId="77777777" w:rsidR="00A26166" w:rsidRDefault="00A261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86255" w14:textId="77777777" w:rsidR="00A26166" w:rsidRDefault="00A2616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3E5FD" w14:textId="77777777" w:rsidR="00EC1216" w:rsidRDefault="00EC1216" w:rsidP="00EC1216">
    <w:pPr>
      <w:pStyle w:val="Encabezado"/>
      <w:ind w:left="-142" w:hanging="425"/>
      <w:rPr>
        <w:rFonts w:ascii="Helvetica" w:hAnsi="Helvetica"/>
        <w:szCs w:val="22"/>
      </w:rPr>
    </w:pPr>
    <w:r>
      <w:rPr>
        <w:rFonts w:ascii="Helvetica" w:hAnsi="Helvetica"/>
        <w:noProof/>
        <w:szCs w:val="22"/>
      </w:rPr>
      <w:drawing>
        <wp:anchor distT="0" distB="0" distL="114300" distR="114300" simplePos="0" relativeHeight="251658240" behindDoc="1" locked="0" layoutInCell="1" allowOverlap="1" wp14:anchorId="6A776989" wp14:editId="0218941A">
          <wp:simplePos x="0" y="0"/>
          <wp:positionH relativeFrom="column">
            <wp:posOffset>-532765</wp:posOffset>
          </wp:positionH>
          <wp:positionV relativeFrom="paragraph">
            <wp:posOffset>-358775</wp:posOffset>
          </wp:positionV>
          <wp:extent cx="1752600" cy="1105535"/>
          <wp:effectExtent l="0" t="0" r="0" b="0"/>
          <wp:wrapTight wrapText="bothSides">
            <wp:wrapPolygon edited="0">
              <wp:start x="15496" y="3350"/>
              <wp:lineTo x="9626" y="9677"/>
              <wp:lineTo x="3287" y="13399"/>
              <wp:lineTo x="2817" y="16005"/>
              <wp:lineTo x="2817" y="21215"/>
              <wp:lineTo x="18313" y="21215"/>
              <wp:lineTo x="18783" y="20843"/>
              <wp:lineTo x="18078" y="6700"/>
              <wp:lineTo x="16670" y="3350"/>
              <wp:lineTo x="15496" y="3350"/>
            </wp:wrapPolygon>
          </wp:wrapTight>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a:extLst>
                      <a:ext uri="{28A0092B-C50C-407E-A947-70E740481C1C}">
                        <a14:useLocalDpi xmlns:a14="http://schemas.microsoft.com/office/drawing/2010/main" val="0"/>
                      </a:ext>
                    </a:extLst>
                  </a:blip>
                  <a:srcRect b="18013"/>
                  <a:stretch>
                    <a:fillRect/>
                  </a:stretch>
                </pic:blipFill>
                <pic:spPr bwMode="auto">
                  <a:xfrm>
                    <a:off x="0" y="0"/>
                    <a:ext cx="1752600" cy="1105535"/>
                  </a:xfrm>
                  <a:prstGeom prst="rect">
                    <a:avLst/>
                  </a:prstGeom>
                  <a:noFill/>
                </pic:spPr>
              </pic:pic>
            </a:graphicData>
          </a:graphic>
          <wp14:sizeRelH relativeFrom="page">
            <wp14:pctWidth>0</wp14:pctWidth>
          </wp14:sizeRelH>
          <wp14:sizeRelV relativeFrom="page">
            <wp14:pctHeight>0</wp14:pctHeight>
          </wp14:sizeRelV>
        </wp:anchor>
      </w:drawing>
    </w:r>
  </w:p>
  <w:p w14:paraId="0DDB253B" w14:textId="77777777" w:rsidR="00EC1216" w:rsidRDefault="00EC1216" w:rsidP="00EC1216">
    <w:pPr>
      <w:pStyle w:val="Encabezado"/>
      <w:ind w:left="567" w:hanging="993"/>
      <w:rPr>
        <w:b/>
      </w:rPr>
    </w:pPr>
  </w:p>
  <w:p w14:paraId="2B3007E6" w14:textId="77777777" w:rsidR="00EC1216" w:rsidRDefault="00EC1216" w:rsidP="00EC1216">
    <w:pPr>
      <w:pStyle w:val="Encabezado"/>
      <w:ind w:left="567" w:hanging="993"/>
      <w:rPr>
        <w:b/>
      </w:rPr>
    </w:pPr>
  </w:p>
  <w:p w14:paraId="6CABD69F" w14:textId="77777777" w:rsidR="00EC1216" w:rsidRDefault="00EC1216" w:rsidP="00EC1216">
    <w:pPr>
      <w:pStyle w:val="Encabezado"/>
      <w:tabs>
        <w:tab w:val="left" w:pos="1064"/>
      </w:tabs>
      <w:ind w:left="567" w:hanging="993"/>
      <w:rPr>
        <w:b/>
      </w:rPr>
    </w:pPr>
    <w:r>
      <w:rPr>
        <w:b/>
      </w:rPr>
      <w:tab/>
    </w:r>
  </w:p>
  <w:p w14:paraId="17558A53" w14:textId="77777777" w:rsidR="00EC1216" w:rsidRDefault="00EC1216" w:rsidP="00EC1216">
    <w:pPr>
      <w:pStyle w:val="Encabezado"/>
      <w:tabs>
        <w:tab w:val="left" w:pos="1064"/>
      </w:tabs>
      <w:ind w:left="567" w:hanging="993"/>
      <w:rPr>
        <w:b/>
      </w:rPr>
    </w:pPr>
  </w:p>
  <w:p w14:paraId="47A84FAB" w14:textId="77777777" w:rsidR="00EC1216" w:rsidRDefault="00EC1216" w:rsidP="00EC1216">
    <w:pPr>
      <w:pStyle w:val="Encabezado"/>
      <w:tabs>
        <w:tab w:val="left" w:pos="1064"/>
      </w:tabs>
      <w:ind w:left="567" w:hanging="993"/>
      <w:rPr>
        <w:b/>
      </w:rPr>
    </w:pPr>
    <w:r>
      <w:rPr>
        <w:b/>
        <w:sz w:val="24"/>
      </w:rPr>
      <w:t>Àrea #DeltebreEficient</w:t>
    </w:r>
  </w:p>
  <w:p w14:paraId="1F0531D5" w14:textId="77777777" w:rsidR="00EC1216" w:rsidRDefault="00C95DDE" w:rsidP="00EC1216">
    <w:pPr>
      <w:pStyle w:val="Encabezado"/>
      <w:ind w:left="567" w:hanging="993"/>
      <w:rPr>
        <w:sz w:val="24"/>
      </w:rPr>
    </w:pPr>
    <w:r>
      <w:rPr>
        <w:sz w:val="24"/>
      </w:rPr>
      <w:t>Secretaria</w:t>
    </w:r>
  </w:p>
  <w:p w14:paraId="255582A3" w14:textId="77777777" w:rsidR="00EC1216" w:rsidRDefault="00EC1216" w:rsidP="00EC1216">
    <w:pPr>
      <w:pStyle w:val="Encabezado"/>
      <w:ind w:hanging="426"/>
      <w:rPr>
        <w:sz w:val="22"/>
      </w:rPr>
    </w:pPr>
  </w:p>
  <w:p w14:paraId="5C815AEA" w14:textId="77777777" w:rsidR="00A26166" w:rsidRPr="00EC1216" w:rsidRDefault="00A26166" w:rsidP="00EC1216">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7F3FE" w14:textId="77777777" w:rsidR="00A26166" w:rsidRDefault="00A2616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B66BA"/>
    <w:multiLevelType w:val="hybridMultilevel"/>
    <w:tmpl w:val="F2EE20CC"/>
    <w:lvl w:ilvl="0" w:tplc="BF58312C">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1573072F"/>
    <w:multiLevelType w:val="hybridMultilevel"/>
    <w:tmpl w:val="6FD837B2"/>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15:restartNumberingAfterBreak="0">
    <w:nsid w:val="506627F4"/>
    <w:multiLevelType w:val="hybridMultilevel"/>
    <w:tmpl w:val="2AD80388"/>
    <w:lvl w:ilvl="0" w:tplc="1818B856">
      <w:start w:val="1"/>
      <w:numFmt w:val="lowerLetter"/>
      <w:lvlText w:val="%1."/>
      <w:lvlJc w:val="left"/>
      <w:pPr>
        <w:tabs>
          <w:tab w:val="num" w:pos="1080"/>
        </w:tabs>
        <w:ind w:left="1080" w:hanging="360"/>
      </w:pPr>
    </w:lvl>
    <w:lvl w:ilvl="1" w:tplc="0C0A0019">
      <w:start w:val="1"/>
      <w:numFmt w:val="lowerLetter"/>
      <w:lvlText w:val="%2."/>
      <w:lvlJc w:val="left"/>
      <w:pPr>
        <w:tabs>
          <w:tab w:val="num" w:pos="1800"/>
        </w:tabs>
        <w:ind w:left="1800" w:hanging="360"/>
      </w:pPr>
    </w:lvl>
    <w:lvl w:ilvl="2" w:tplc="0C0A001B">
      <w:start w:val="1"/>
      <w:numFmt w:val="lowerRoman"/>
      <w:lvlText w:val="%3."/>
      <w:lvlJc w:val="right"/>
      <w:pPr>
        <w:tabs>
          <w:tab w:val="num" w:pos="2520"/>
        </w:tabs>
        <w:ind w:left="2520" w:hanging="180"/>
      </w:pPr>
    </w:lvl>
    <w:lvl w:ilvl="3" w:tplc="0C0A000F">
      <w:start w:val="1"/>
      <w:numFmt w:val="decimal"/>
      <w:lvlText w:val="%4."/>
      <w:lvlJc w:val="left"/>
      <w:pPr>
        <w:tabs>
          <w:tab w:val="num" w:pos="3240"/>
        </w:tabs>
        <w:ind w:left="3240" w:hanging="360"/>
      </w:pPr>
    </w:lvl>
    <w:lvl w:ilvl="4" w:tplc="0C0A0019">
      <w:start w:val="1"/>
      <w:numFmt w:val="lowerLetter"/>
      <w:lvlText w:val="%5."/>
      <w:lvlJc w:val="left"/>
      <w:pPr>
        <w:tabs>
          <w:tab w:val="num" w:pos="3960"/>
        </w:tabs>
        <w:ind w:left="3960" w:hanging="360"/>
      </w:pPr>
    </w:lvl>
    <w:lvl w:ilvl="5" w:tplc="0C0A001B">
      <w:start w:val="1"/>
      <w:numFmt w:val="lowerRoman"/>
      <w:lvlText w:val="%6."/>
      <w:lvlJc w:val="right"/>
      <w:pPr>
        <w:tabs>
          <w:tab w:val="num" w:pos="4680"/>
        </w:tabs>
        <w:ind w:left="4680" w:hanging="180"/>
      </w:pPr>
    </w:lvl>
    <w:lvl w:ilvl="6" w:tplc="0C0A000F">
      <w:start w:val="1"/>
      <w:numFmt w:val="decimal"/>
      <w:lvlText w:val="%7."/>
      <w:lvlJc w:val="left"/>
      <w:pPr>
        <w:tabs>
          <w:tab w:val="num" w:pos="5400"/>
        </w:tabs>
        <w:ind w:left="5400" w:hanging="360"/>
      </w:pPr>
    </w:lvl>
    <w:lvl w:ilvl="7" w:tplc="0C0A0019">
      <w:start w:val="1"/>
      <w:numFmt w:val="lowerLetter"/>
      <w:lvlText w:val="%8."/>
      <w:lvlJc w:val="left"/>
      <w:pPr>
        <w:tabs>
          <w:tab w:val="num" w:pos="6120"/>
        </w:tabs>
        <w:ind w:left="6120" w:hanging="360"/>
      </w:pPr>
    </w:lvl>
    <w:lvl w:ilvl="8" w:tplc="0C0A001B">
      <w:start w:val="1"/>
      <w:numFmt w:val="lowerRoman"/>
      <w:lvlText w:val="%9."/>
      <w:lvlJc w:val="right"/>
      <w:pPr>
        <w:tabs>
          <w:tab w:val="num" w:pos="6840"/>
        </w:tabs>
        <w:ind w:left="6840" w:hanging="180"/>
      </w:pPr>
    </w:lvl>
  </w:abstractNum>
  <w:abstractNum w:abstractNumId="3" w15:restartNumberingAfterBreak="0">
    <w:nsid w:val="51F0251A"/>
    <w:multiLevelType w:val="hybridMultilevel"/>
    <w:tmpl w:val="D0BC53AE"/>
    <w:lvl w:ilvl="0" w:tplc="1C623E5A">
      <w:start w:val="1"/>
      <w:numFmt w:val="bullet"/>
      <w:lvlText w:val="-"/>
      <w:lvlJc w:val="left"/>
      <w:pPr>
        <w:tabs>
          <w:tab w:val="num" w:pos="720"/>
        </w:tabs>
        <w:ind w:left="720" w:hanging="360"/>
      </w:pPr>
      <w:rPr>
        <w:rFonts w:ascii="Arial" w:eastAsia="Calibri" w:hAnsi="Arial" w:cs="Arial" w:hint="default"/>
      </w:rPr>
    </w:lvl>
    <w:lvl w:ilvl="1" w:tplc="ACB88130">
      <w:start w:val="2"/>
      <w:numFmt w:val="decimal"/>
      <w:lvlText w:val="%2."/>
      <w:lvlJc w:val="left"/>
      <w:pPr>
        <w:tabs>
          <w:tab w:val="num" w:pos="1440"/>
        </w:tabs>
        <w:ind w:left="1440" w:hanging="360"/>
      </w:pPr>
      <w:rPr>
        <w:rFont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8E9135B"/>
    <w:multiLevelType w:val="hybridMultilevel"/>
    <w:tmpl w:val="4A029704"/>
    <w:lvl w:ilvl="0" w:tplc="04030001">
      <w:start w:val="1"/>
      <w:numFmt w:val="bullet"/>
      <w:lvlText w:val=""/>
      <w:lvlJc w:val="left"/>
      <w:pPr>
        <w:tabs>
          <w:tab w:val="num" w:pos="1080"/>
        </w:tabs>
        <w:ind w:left="1080" w:hanging="360"/>
      </w:pPr>
      <w:rPr>
        <w:rFonts w:ascii="Symbol" w:hAnsi="Symbol" w:hint="default"/>
      </w:rPr>
    </w:lvl>
    <w:lvl w:ilvl="1" w:tplc="FFFFFFFF">
      <w:start w:val="1"/>
      <w:numFmt w:val="lowerLetter"/>
      <w:lvlText w:val="%2."/>
      <w:lvlJc w:val="left"/>
      <w:pPr>
        <w:tabs>
          <w:tab w:val="num" w:pos="1800"/>
        </w:tabs>
        <w:ind w:left="1800" w:hanging="360"/>
      </w:p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abstractNum w:abstractNumId="5" w15:restartNumberingAfterBreak="0">
    <w:nsid w:val="6DAC3DDC"/>
    <w:multiLevelType w:val="hybridMultilevel"/>
    <w:tmpl w:val="77E29922"/>
    <w:lvl w:ilvl="0" w:tplc="828489E2">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16cid:durableId="1260681227">
    <w:abstractNumId w:val="3"/>
  </w:num>
  <w:num w:numId="2" w16cid:durableId="1500075393">
    <w:abstractNumId w:val="5"/>
  </w:num>
  <w:num w:numId="3" w16cid:durableId="1601372262">
    <w:abstractNumId w:val="0"/>
  </w:num>
  <w:num w:numId="4" w16cid:durableId="157393084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71909788">
    <w:abstractNumId w:val="1"/>
  </w:num>
  <w:num w:numId="6" w16cid:durableId="968243786">
    <w:abstractNumId w:val="2"/>
  </w:num>
  <w:num w:numId="7" w16cid:durableId="9826611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B78"/>
    <w:rsid w:val="00040B78"/>
    <w:rsid w:val="00057C3F"/>
    <w:rsid w:val="000D2616"/>
    <w:rsid w:val="00105E04"/>
    <w:rsid w:val="00134189"/>
    <w:rsid w:val="00136F37"/>
    <w:rsid w:val="00140E39"/>
    <w:rsid w:val="00166353"/>
    <w:rsid w:val="001B439C"/>
    <w:rsid w:val="001D12DF"/>
    <w:rsid w:val="001E4609"/>
    <w:rsid w:val="00204A93"/>
    <w:rsid w:val="0023738D"/>
    <w:rsid w:val="00251CE3"/>
    <w:rsid w:val="00252C02"/>
    <w:rsid w:val="00285C65"/>
    <w:rsid w:val="002B693B"/>
    <w:rsid w:val="0031534F"/>
    <w:rsid w:val="00321380"/>
    <w:rsid w:val="003237E0"/>
    <w:rsid w:val="00332977"/>
    <w:rsid w:val="003603B6"/>
    <w:rsid w:val="003C4DD8"/>
    <w:rsid w:val="00426C93"/>
    <w:rsid w:val="004B1B58"/>
    <w:rsid w:val="004C0014"/>
    <w:rsid w:val="004C5E70"/>
    <w:rsid w:val="0057220C"/>
    <w:rsid w:val="005A09F1"/>
    <w:rsid w:val="005C6005"/>
    <w:rsid w:val="005F78DC"/>
    <w:rsid w:val="006136EF"/>
    <w:rsid w:val="00640272"/>
    <w:rsid w:val="00675C01"/>
    <w:rsid w:val="006928C4"/>
    <w:rsid w:val="006B38F4"/>
    <w:rsid w:val="006C169C"/>
    <w:rsid w:val="006C4A5F"/>
    <w:rsid w:val="006C6EA3"/>
    <w:rsid w:val="006D31E8"/>
    <w:rsid w:val="006E3C4F"/>
    <w:rsid w:val="00731A25"/>
    <w:rsid w:val="00746F68"/>
    <w:rsid w:val="007D0F5D"/>
    <w:rsid w:val="007F7F1A"/>
    <w:rsid w:val="0085638D"/>
    <w:rsid w:val="00875617"/>
    <w:rsid w:val="00962E3D"/>
    <w:rsid w:val="009A43CA"/>
    <w:rsid w:val="009B57B5"/>
    <w:rsid w:val="00A26166"/>
    <w:rsid w:val="00A4124F"/>
    <w:rsid w:val="00A50CDC"/>
    <w:rsid w:val="00A754FD"/>
    <w:rsid w:val="00AA4AF9"/>
    <w:rsid w:val="00AC4F2E"/>
    <w:rsid w:val="00AE32A7"/>
    <w:rsid w:val="00AF3C70"/>
    <w:rsid w:val="00B12437"/>
    <w:rsid w:val="00B82A59"/>
    <w:rsid w:val="00B842E0"/>
    <w:rsid w:val="00BA2F23"/>
    <w:rsid w:val="00BA6872"/>
    <w:rsid w:val="00BC78D5"/>
    <w:rsid w:val="00BD4C7F"/>
    <w:rsid w:val="00BE32D0"/>
    <w:rsid w:val="00C475B1"/>
    <w:rsid w:val="00C95A4D"/>
    <w:rsid w:val="00C95DDE"/>
    <w:rsid w:val="00CB2204"/>
    <w:rsid w:val="00CC0368"/>
    <w:rsid w:val="00CD06A6"/>
    <w:rsid w:val="00CF65E5"/>
    <w:rsid w:val="00D15F7D"/>
    <w:rsid w:val="00D208C9"/>
    <w:rsid w:val="00D23226"/>
    <w:rsid w:val="00DB003E"/>
    <w:rsid w:val="00DB2808"/>
    <w:rsid w:val="00DD155D"/>
    <w:rsid w:val="00DF0DD9"/>
    <w:rsid w:val="00E13BEF"/>
    <w:rsid w:val="00E243D1"/>
    <w:rsid w:val="00E52C23"/>
    <w:rsid w:val="00E7699F"/>
    <w:rsid w:val="00E84097"/>
    <w:rsid w:val="00E94476"/>
    <w:rsid w:val="00EC1216"/>
    <w:rsid w:val="00ED6D56"/>
    <w:rsid w:val="00F208D9"/>
    <w:rsid w:val="00F34400"/>
    <w:rsid w:val="00F5491E"/>
    <w:rsid w:val="00F61AA1"/>
    <w:rsid w:val="00F93BD9"/>
    <w:rsid w:val="00FD7686"/>
    <w:rsid w:val="00FE211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9873"/>
    <o:shapelayout v:ext="edit">
      <o:idmap v:ext="edit" data="1"/>
    </o:shapelayout>
  </w:shapeDefaults>
  <w:decimalSymbol w:val=","/>
  <w:listSeparator w:val=";"/>
  <w14:docId w14:val="0AFAA7C0"/>
  <w15:docId w15:val="{7D3D610B-DC6B-41AC-BEC4-CEF1BD171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5491E"/>
    <w:pPr>
      <w:jc w:val="both"/>
    </w:pPr>
    <w:rPr>
      <w:rFonts w:ascii="Arial" w:hAnsi="Arial"/>
      <w:szCs w:val="24"/>
      <w:lang w:val="ca-ES" w:eastAsia="ca-ES"/>
    </w:rPr>
  </w:style>
  <w:style w:type="paragraph" w:styleId="Ttulo1">
    <w:name w:val="heading 1"/>
    <w:basedOn w:val="Normal"/>
    <w:next w:val="Normal"/>
    <w:qFormat/>
    <w:rsid w:val="00CB2204"/>
    <w:pPr>
      <w:keepNext/>
      <w:spacing w:before="240" w:after="60"/>
      <w:outlineLvl w:val="0"/>
    </w:pPr>
    <w:rPr>
      <w:rFonts w:cs="Arial"/>
      <w:b/>
      <w:bCs/>
      <w:kern w:val="32"/>
      <w:sz w:val="32"/>
      <w:szCs w:val="32"/>
    </w:rPr>
  </w:style>
  <w:style w:type="paragraph" w:styleId="Ttulo2">
    <w:name w:val="heading 2"/>
    <w:basedOn w:val="Normal"/>
    <w:next w:val="Normal"/>
    <w:link w:val="Ttulo2Car"/>
    <w:semiHidden/>
    <w:unhideWhenUsed/>
    <w:qFormat/>
    <w:rsid w:val="00CF65E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semiHidden/>
    <w:unhideWhenUsed/>
    <w:qFormat/>
    <w:rsid w:val="005C6005"/>
    <w:pPr>
      <w:keepNext/>
      <w:keepLines/>
      <w:spacing w:before="20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9A43CA"/>
    <w:pPr>
      <w:tabs>
        <w:tab w:val="center" w:pos="4252"/>
        <w:tab w:val="right" w:pos="8504"/>
      </w:tabs>
    </w:pPr>
  </w:style>
  <w:style w:type="paragraph" w:styleId="Piedepgina">
    <w:name w:val="footer"/>
    <w:basedOn w:val="Normal"/>
    <w:rsid w:val="009A43CA"/>
    <w:pPr>
      <w:tabs>
        <w:tab w:val="center" w:pos="4252"/>
        <w:tab w:val="right" w:pos="8504"/>
      </w:tabs>
    </w:pPr>
  </w:style>
  <w:style w:type="character" w:styleId="Hipervnculo">
    <w:name w:val="Hyperlink"/>
    <w:basedOn w:val="Fuentedeprrafopredeter"/>
    <w:rsid w:val="00746F68"/>
    <w:rPr>
      <w:color w:val="0000FF"/>
      <w:u w:val="single"/>
    </w:rPr>
  </w:style>
  <w:style w:type="character" w:customStyle="1" w:styleId="EncabezadoCar">
    <w:name w:val="Encabezado Car"/>
    <w:basedOn w:val="Fuentedeprrafopredeter"/>
    <w:link w:val="Encabezado"/>
    <w:uiPriority w:val="99"/>
    <w:rsid w:val="00E52C23"/>
    <w:rPr>
      <w:rFonts w:ascii="Arial" w:hAnsi="Arial"/>
      <w:szCs w:val="24"/>
      <w:lang w:val="ca-ES" w:eastAsia="ca-ES"/>
    </w:rPr>
  </w:style>
  <w:style w:type="paragraph" w:styleId="Textodeglobo">
    <w:name w:val="Balloon Text"/>
    <w:basedOn w:val="Normal"/>
    <w:link w:val="TextodegloboCar"/>
    <w:rsid w:val="00E52C23"/>
    <w:rPr>
      <w:rFonts w:ascii="Tahoma" w:hAnsi="Tahoma" w:cs="Tahoma"/>
      <w:sz w:val="16"/>
      <w:szCs w:val="16"/>
    </w:rPr>
  </w:style>
  <w:style w:type="character" w:customStyle="1" w:styleId="TextodegloboCar">
    <w:name w:val="Texto de globo Car"/>
    <w:basedOn w:val="Fuentedeprrafopredeter"/>
    <w:link w:val="Textodeglobo"/>
    <w:rsid w:val="00E52C23"/>
    <w:rPr>
      <w:rFonts w:ascii="Tahoma" w:hAnsi="Tahoma" w:cs="Tahoma"/>
      <w:sz w:val="16"/>
      <w:szCs w:val="16"/>
      <w:lang w:val="ca-ES" w:eastAsia="ca-ES"/>
    </w:rPr>
  </w:style>
  <w:style w:type="character" w:styleId="Refdenotaalpie">
    <w:name w:val="footnote reference"/>
    <w:semiHidden/>
    <w:rsid w:val="001B439C"/>
    <w:rPr>
      <w:vertAlign w:val="superscript"/>
    </w:rPr>
  </w:style>
  <w:style w:type="paragraph" w:customStyle="1" w:styleId="Textoindependiente31">
    <w:name w:val="Texto independiente 31"/>
    <w:basedOn w:val="Normal"/>
    <w:rsid w:val="001B439C"/>
    <w:pPr>
      <w:suppressAutoHyphens/>
    </w:pPr>
    <w:rPr>
      <w:color w:val="000000"/>
      <w:sz w:val="24"/>
      <w:szCs w:val="22"/>
      <w:lang w:eastAsia="ar-SA"/>
    </w:rPr>
  </w:style>
  <w:style w:type="paragraph" w:customStyle="1" w:styleId="Textoindependiente21">
    <w:name w:val="Texto independiente 21"/>
    <w:basedOn w:val="Normal"/>
    <w:rsid w:val="001B439C"/>
    <w:pPr>
      <w:suppressAutoHyphens/>
    </w:pPr>
    <w:rPr>
      <w:rFonts w:cs="Arial"/>
      <w:sz w:val="24"/>
      <w:lang w:eastAsia="ar-SA"/>
    </w:rPr>
  </w:style>
  <w:style w:type="paragraph" w:styleId="Sangradetextonormal">
    <w:name w:val="Body Text Indent"/>
    <w:aliases w:val=" Car4,Car4"/>
    <w:basedOn w:val="Normal"/>
    <w:link w:val="SangradetextonormalCar"/>
    <w:semiHidden/>
    <w:rsid w:val="001B439C"/>
    <w:pPr>
      <w:suppressAutoHyphens/>
      <w:spacing w:line="360" w:lineRule="auto"/>
      <w:ind w:firstLine="720"/>
    </w:pPr>
    <w:rPr>
      <w:rFonts w:ascii="Verdana" w:hAnsi="Verdana"/>
      <w:lang w:val="es-ES" w:eastAsia="ar-SA"/>
    </w:rPr>
  </w:style>
  <w:style w:type="character" w:customStyle="1" w:styleId="SangradetextonormalCar">
    <w:name w:val="Sangría de texto normal Car"/>
    <w:aliases w:val=" Car4 Car,Car4 Car"/>
    <w:basedOn w:val="Fuentedeprrafopredeter"/>
    <w:link w:val="Sangradetextonormal"/>
    <w:semiHidden/>
    <w:rsid w:val="001B439C"/>
    <w:rPr>
      <w:rFonts w:ascii="Verdana" w:hAnsi="Verdana"/>
      <w:szCs w:val="24"/>
      <w:lang w:eastAsia="ar-SA"/>
    </w:rPr>
  </w:style>
  <w:style w:type="paragraph" w:styleId="Textonotapie">
    <w:name w:val="footnote text"/>
    <w:aliases w:val=" Car,Car"/>
    <w:basedOn w:val="Normal"/>
    <w:link w:val="TextonotapieCar"/>
    <w:semiHidden/>
    <w:rsid w:val="001B439C"/>
    <w:pPr>
      <w:suppressLineNumbers/>
      <w:suppressAutoHyphens/>
      <w:ind w:left="283" w:hanging="283"/>
      <w:jc w:val="left"/>
    </w:pPr>
    <w:rPr>
      <w:color w:val="000000"/>
      <w:szCs w:val="20"/>
      <w:lang w:eastAsia="ar-SA"/>
    </w:rPr>
  </w:style>
  <w:style w:type="character" w:customStyle="1" w:styleId="TextonotapieCar">
    <w:name w:val="Texto nota pie Car"/>
    <w:aliases w:val=" Car Car,Car Car"/>
    <w:basedOn w:val="Fuentedeprrafopredeter"/>
    <w:link w:val="Textonotapie"/>
    <w:semiHidden/>
    <w:rsid w:val="001B439C"/>
    <w:rPr>
      <w:rFonts w:ascii="Arial" w:hAnsi="Arial"/>
      <w:color w:val="000000"/>
      <w:lang w:val="ca-ES" w:eastAsia="ar-SA"/>
    </w:rPr>
  </w:style>
  <w:style w:type="character" w:styleId="nfasis">
    <w:name w:val="Emphasis"/>
    <w:qFormat/>
    <w:rsid w:val="001B439C"/>
    <w:rPr>
      <w:rFonts w:ascii="Arial" w:eastAsia="Times New Roman" w:hAnsi="Arial" w:cs="Times New Roman"/>
      <w:i/>
      <w:iCs/>
      <w:sz w:val="20"/>
      <w:szCs w:val="24"/>
      <w:lang w:val="ca-ES" w:eastAsia="ca-ES"/>
    </w:rPr>
  </w:style>
  <w:style w:type="character" w:customStyle="1" w:styleId="Ttulo2Car">
    <w:name w:val="Título 2 Car"/>
    <w:basedOn w:val="Fuentedeprrafopredeter"/>
    <w:link w:val="Ttulo2"/>
    <w:semiHidden/>
    <w:rsid w:val="00CF65E5"/>
    <w:rPr>
      <w:rFonts w:asciiTheme="majorHAnsi" w:eastAsiaTheme="majorEastAsia" w:hAnsiTheme="majorHAnsi" w:cstheme="majorBidi"/>
      <w:color w:val="365F91" w:themeColor="accent1" w:themeShade="BF"/>
      <w:sz w:val="26"/>
      <w:szCs w:val="26"/>
      <w:lang w:val="ca-ES" w:eastAsia="ca-ES"/>
    </w:rPr>
  </w:style>
  <w:style w:type="paragraph" w:customStyle="1" w:styleId="ndex">
    <w:name w:val="Índex"/>
    <w:basedOn w:val="Normal"/>
    <w:rsid w:val="00CF65E5"/>
    <w:pPr>
      <w:suppressLineNumbers/>
      <w:suppressAutoHyphens/>
      <w:jc w:val="left"/>
    </w:pPr>
    <w:rPr>
      <w:rFonts w:cs="Tahoma"/>
      <w:color w:val="000000"/>
      <w:sz w:val="24"/>
      <w:szCs w:val="22"/>
      <w:lang w:eastAsia="ar-SA"/>
    </w:rPr>
  </w:style>
  <w:style w:type="character" w:customStyle="1" w:styleId="Ttulo3Car">
    <w:name w:val="Título 3 Car"/>
    <w:basedOn w:val="Fuentedeprrafopredeter"/>
    <w:link w:val="Ttulo3"/>
    <w:semiHidden/>
    <w:rsid w:val="005C6005"/>
    <w:rPr>
      <w:rFonts w:asciiTheme="majorHAnsi" w:eastAsiaTheme="majorEastAsia" w:hAnsiTheme="majorHAnsi" w:cstheme="majorBidi"/>
      <w:b/>
      <w:bCs/>
      <w:color w:val="4F81BD" w:themeColor="accent1"/>
      <w:szCs w:val="24"/>
      <w:lang w:val="ca-ES" w:eastAsia="ca-ES"/>
    </w:rPr>
  </w:style>
  <w:style w:type="paragraph" w:styleId="Prrafodelista">
    <w:name w:val="List Paragraph"/>
    <w:basedOn w:val="Normal"/>
    <w:uiPriority w:val="34"/>
    <w:qFormat/>
    <w:rsid w:val="006B38F4"/>
    <w:pPr>
      <w:ind w:left="720"/>
      <w:contextualSpacing/>
    </w:pPr>
  </w:style>
  <w:style w:type="paragraph" w:customStyle="1" w:styleId="toa">
    <w:name w:val="toa"/>
    <w:basedOn w:val="Normal"/>
    <w:rsid w:val="006B38F4"/>
    <w:pPr>
      <w:tabs>
        <w:tab w:val="left" w:pos="9000"/>
        <w:tab w:val="right" w:pos="9360"/>
      </w:tabs>
      <w:suppressAutoHyphens/>
    </w:pPr>
    <w:rPr>
      <w:rFonts w:cs="Arial"/>
      <w:sz w:val="24"/>
      <w:szCs w:val="20"/>
      <w:lang w:val="en-US" w:eastAsia="zh-CN"/>
    </w:rPr>
  </w:style>
  <w:style w:type="paragraph" w:styleId="Textoindependiente">
    <w:name w:val="Body Text"/>
    <w:basedOn w:val="Normal"/>
    <w:link w:val="TextoindependienteCar"/>
    <w:semiHidden/>
    <w:unhideWhenUsed/>
    <w:rsid w:val="00DF0DD9"/>
    <w:pPr>
      <w:spacing w:after="120"/>
    </w:pPr>
  </w:style>
  <w:style w:type="character" w:customStyle="1" w:styleId="TextoindependienteCar">
    <w:name w:val="Texto independiente Car"/>
    <w:basedOn w:val="Fuentedeprrafopredeter"/>
    <w:link w:val="Textoindependiente"/>
    <w:semiHidden/>
    <w:rsid w:val="00DF0DD9"/>
    <w:rPr>
      <w:rFonts w:ascii="Arial" w:hAnsi="Arial"/>
      <w:szCs w:val="24"/>
      <w:lang w:val="ca-ES" w:eastAsia="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219430">
      <w:bodyDiv w:val="1"/>
      <w:marLeft w:val="0"/>
      <w:marRight w:val="0"/>
      <w:marTop w:val="0"/>
      <w:marBottom w:val="0"/>
      <w:divBdr>
        <w:top w:val="none" w:sz="0" w:space="0" w:color="auto"/>
        <w:left w:val="none" w:sz="0" w:space="0" w:color="auto"/>
        <w:bottom w:val="none" w:sz="0" w:space="0" w:color="auto"/>
        <w:right w:val="none" w:sz="0" w:space="0" w:color="auto"/>
      </w:divBdr>
    </w:div>
    <w:div w:id="812212946">
      <w:bodyDiv w:val="1"/>
      <w:marLeft w:val="0"/>
      <w:marRight w:val="0"/>
      <w:marTop w:val="0"/>
      <w:marBottom w:val="0"/>
      <w:divBdr>
        <w:top w:val="none" w:sz="0" w:space="0" w:color="auto"/>
        <w:left w:val="none" w:sz="0" w:space="0" w:color="auto"/>
        <w:bottom w:val="none" w:sz="0" w:space="0" w:color="auto"/>
        <w:right w:val="none" w:sz="0" w:space="0" w:color="auto"/>
      </w:divBdr>
    </w:div>
    <w:div w:id="1197355655">
      <w:bodyDiv w:val="1"/>
      <w:marLeft w:val="0"/>
      <w:marRight w:val="0"/>
      <w:marTop w:val="0"/>
      <w:marBottom w:val="0"/>
      <w:divBdr>
        <w:top w:val="none" w:sz="0" w:space="0" w:color="auto"/>
        <w:left w:val="none" w:sz="0" w:space="0" w:color="auto"/>
        <w:bottom w:val="none" w:sz="0" w:space="0" w:color="auto"/>
        <w:right w:val="none" w:sz="0" w:space="0" w:color="auto"/>
      </w:divBdr>
    </w:div>
    <w:div w:id="1285237001">
      <w:bodyDiv w:val="1"/>
      <w:marLeft w:val="0"/>
      <w:marRight w:val="0"/>
      <w:marTop w:val="0"/>
      <w:marBottom w:val="0"/>
      <w:divBdr>
        <w:top w:val="none" w:sz="0" w:space="0" w:color="auto"/>
        <w:left w:val="none" w:sz="0" w:space="0" w:color="auto"/>
        <w:bottom w:val="none" w:sz="0" w:space="0" w:color="auto"/>
        <w:right w:val="none" w:sz="0" w:space="0" w:color="auto"/>
      </w:divBdr>
    </w:div>
    <w:div w:id="1499807913">
      <w:bodyDiv w:val="1"/>
      <w:marLeft w:val="0"/>
      <w:marRight w:val="0"/>
      <w:marTop w:val="0"/>
      <w:marBottom w:val="0"/>
      <w:divBdr>
        <w:top w:val="none" w:sz="0" w:space="0" w:color="auto"/>
        <w:left w:val="none" w:sz="0" w:space="0" w:color="auto"/>
        <w:bottom w:val="none" w:sz="0" w:space="0" w:color="auto"/>
        <w:right w:val="none" w:sz="0" w:space="0" w:color="auto"/>
      </w:divBdr>
    </w:div>
    <w:div w:id="1640721833">
      <w:bodyDiv w:val="1"/>
      <w:marLeft w:val="0"/>
      <w:marRight w:val="0"/>
      <w:marTop w:val="0"/>
      <w:marBottom w:val="0"/>
      <w:divBdr>
        <w:top w:val="none" w:sz="0" w:space="0" w:color="auto"/>
        <w:left w:val="none" w:sz="0" w:space="0" w:color="auto"/>
        <w:bottom w:val="none" w:sz="0" w:space="0" w:color="auto"/>
        <w:right w:val="none" w:sz="0" w:space="0" w:color="auto"/>
      </w:divBdr>
    </w:div>
    <w:div w:id="2077893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3</Pages>
  <Words>865</Words>
  <Characters>4739</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Ajuntament Deltebre</Company>
  <LinksUpToDate>false</LinksUpToDate>
  <CharactersWithSpaces>5593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 Angel</dc:creator>
  <cp:lastModifiedBy>General · Eficient</cp:lastModifiedBy>
  <cp:revision>8</cp:revision>
  <cp:lastPrinted>2009-08-06T11:18:00Z</cp:lastPrinted>
  <dcterms:created xsi:type="dcterms:W3CDTF">2024-01-15T13:14:00Z</dcterms:created>
  <dcterms:modified xsi:type="dcterms:W3CDTF">2025-05-07T05:48:00Z</dcterms:modified>
</cp:coreProperties>
</file>