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895E9" w14:textId="77777777" w:rsidR="007C78A5" w:rsidRPr="00EB3D94" w:rsidRDefault="007C78A5" w:rsidP="00BC4866">
      <w:pPr>
        <w:pStyle w:val="Default"/>
        <w:spacing w:line="323" w:lineRule="atLeast"/>
        <w:ind w:left="4248" w:firstLine="708"/>
        <w:rPr>
          <w:rFonts w:cs="Times New Roman"/>
          <w:b/>
          <w:bCs/>
          <w:color w:val="auto"/>
          <w:sz w:val="22"/>
          <w:szCs w:val="22"/>
          <w:lang w:val="es-ES"/>
        </w:rPr>
      </w:pPr>
      <w:r w:rsidRPr="00EB3D94">
        <w:rPr>
          <w:rFonts w:cs="Times New Roman"/>
          <w:b/>
          <w:bCs/>
          <w:color w:val="auto"/>
          <w:sz w:val="22"/>
          <w:szCs w:val="22"/>
          <w:u w:val="single"/>
          <w:lang w:val="es-ES"/>
        </w:rPr>
        <w:t>NÚMERO DE EXPEDIENTE</w:t>
      </w:r>
      <w:r w:rsidRPr="00EB3D94">
        <w:rPr>
          <w:rFonts w:cs="Times New Roman"/>
          <w:b/>
          <w:bCs/>
          <w:color w:val="auto"/>
          <w:sz w:val="22"/>
          <w:szCs w:val="22"/>
          <w:lang w:val="es-ES"/>
        </w:rPr>
        <w:t xml:space="preserve">:  </w:t>
      </w:r>
      <w:r w:rsidR="00A46202" w:rsidRPr="00EB3D94">
        <w:rPr>
          <w:rFonts w:cs="Times New Roman"/>
          <w:b/>
          <w:bCs/>
          <w:color w:val="auto"/>
          <w:sz w:val="22"/>
          <w:szCs w:val="22"/>
          <w:lang w:val="es-ES"/>
        </w:rPr>
        <w:t>ECO 06/2</w:t>
      </w:r>
      <w:r w:rsidR="00D941EB" w:rsidRPr="00EB3D94">
        <w:rPr>
          <w:rFonts w:cs="Times New Roman"/>
          <w:b/>
          <w:bCs/>
          <w:color w:val="auto"/>
          <w:sz w:val="22"/>
          <w:szCs w:val="22"/>
          <w:lang w:val="es-ES"/>
        </w:rPr>
        <w:t>5</w:t>
      </w:r>
    </w:p>
    <w:p w14:paraId="162C0661" w14:textId="77777777" w:rsidR="007C78A5" w:rsidRPr="00EB3D94" w:rsidRDefault="007C78A5" w:rsidP="00BC4866">
      <w:pPr>
        <w:pStyle w:val="Default"/>
        <w:spacing w:line="323" w:lineRule="atLeast"/>
        <w:jc w:val="center"/>
        <w:rPr>
          <w:rFonts w:cs="Times New Roman"/>
          <w:b/>
          <w:bCs/>
          <w:color w:val="auto"/>
          <w:sz w:val="22"/>
          <w:szCs w:val="22"/>
          <w:lang w:val="es-ES"/>
        </w:rPr>
      </w:pPr>
    </w:p>
    <w:p w14:paraId="31FD7EF2" w14:textId="77777777" w:rsidR="007C78A5" w:rsidRPr="00EB3D94" w:rsidRDefault="002F7087" w:rsidP="00BC4866">
      <w:pPr>
        <w:pStyle w:val="Default"/>
        <w:spacing w:line="323" w:lineRule="atLeast"/>
        <w:jc w:val="center"/>
        <w:rPr>
          <w:rFonts w:cs="Times New Roman"/>
          <w:b/>
          <w:bCs/>
          <w:color w:val="auto"/>
          <w:sz w:val="22"/>
          <w:szCs w:val="22"/>
          <w:lang w:val="es-ES"/>
        </w:rPr>
      </w:pPr>
      <w:r w:rsidRPr="00EB3D94">
        <w:rPr>
          <w:rFonts w:cs="Times New Roman"/>
          <w:b/>
          <w:bCs/>
          <w:color w:val="auto"/>
          <w:sz w:val="22"/>
          <w:szCs w:val="22"/>
          <w:lang w:val="es-ES"/>
        </w:rPr>
        <w:t>PLIEGO D</w:t>
      </w:r>
      <w:r w:rsidR="007C78A5" w:rsidRPr="00EB3D94">
        <w:rPr>
          <w:rFonts w:cs="Times New Roman"/>
          <w:b/>
          <w:bCs/>
          <w:color w:val="auto"/>
          <w:sz w:val="22"/>
          <w:szCs w:val="22"/>
          <w:lang w:val="es-ES"/>
        </w:rPr>
        <w:t>E CLÁUSULAS ADMINISTRATIVAS PARTICULARES</w:t>
      </w:r>
    </w:p>
    <w:p w14:paraId="64FBDD3B" w14:textId="77777777" w:rsidR="007C78A5" w:rsidRPr="00EB3D94" w:rsidRDefault="007C78A5" w:rsidP="00BC4866">
      <w:pPr>
        <w:pStyle w:val="Default"/>
        <w:spacing w:line="323" w:lineRule="atLeast"/>
        <w:jc w:val="center"/>
        <w:rPr>
          <w:rFonts w:cs="Times New Roman"/>
          <w:b/>
          <w:bCs/>
          <w:color w:val="auto"/>
          <w:sz w:val="22"/>
          <w:szCs w:val="22"/>
          <w:lang w:val="es-ES"/>
        </w:rPr>
      </w:pPr>
    </w:p>
    <w:p w14:paraId="2D63200A" w14:textId="77777777" w:rsidR="004F1FC6" w:rsidRPr="00EB3D94" w:rsidRDefault="007C78A5" w:rsidP="00BC4866">
      <w:pPr>
        <w:pStyle w:val="CM25"/>
        <w:numPr>
          <w:ilvl w:val="0"/>
          <w:numId w:val="1"/>
        </w:numPr>
        <w:spacing w:line="276" w:lineRule="atLeast"/>
        <w:jc w:val="both"/>
        <w:rPr>
          <w:rFonts w:cs="Arial"/>
          <w:b/>
          <w:bCs/>
          <w:sz w:val="22"/>
          <w:szCs w:val="22"/>
          <w:lang w:val="es-ES"/>
        </w:rPr>
      </w:pPr>
      <w:r w:rsidRPr="00EB3D94">
        <w:rPr>
          <w:rFonts w:cs="Arial"/>
          <w:b/>
          <w:bCs/>
          <w:sz w:val="22"/>
          <w:szCs w:val="22"/>
          <w:lang w:val="es-ES"/>
        </w:rPr>
        <w:t xml:space="preserve">DISPOSICIONES GENERALES </w:t>
      </w:r>
    </w:p>
    <w:p w14:paraId="4ED0DFEC" w14:textId="77777777" w:rsidR="007C78A5" w:rsidRPr="00EB3D94" w:rsidRDefault="00302037" w:rsidP="00BC4866">
      <w:pPr>
        <w:tabs>
          <w:tab w:val="left" w:pos="0"/>
        </w:tabs>
        <w:suppressAutoHyphens/>
        <w:spacing w:after="120"/>
        <w:jc w:val="both"/>
        <w:rPr>
          <w:rFonts w:cs="Arial"/>
          <w:szCs w:val="22"/>
          <w:lang w:val="es-ES"/>
        </w:rPr>
      </w:pPr>
      <w:r w:rsidRPr="00EB3D94">
        <w:rPr>
          <w:rFonts w:cs="Arial"/>
          <w:b/>
          <w:szCs w:val="22"/>
          <w:lang w:val="es-ES"/>
        </w:rPr>
        <w:t>Primera</w:t>
      </w:r>
      <w:r w:rsidR="00B41354" w:rsidRPr="00EB3D94">
        <w:rPr>
          <w:rFonts w:cs="Arial"/>
          <w:szCs w:val="22"/>
          <w:lang w:val="es-ES"/>
        </w:rPr>
        <w:t xml:space="preserve">: </w:t>
      </w:r>
      <w:r w:rsidR="00B41354" w:rsidRPr="00EB3D94">
        <w:rPr>
          <w:rFonts w:cs="Arial"/>
          <w:b/>
          <w:szCs w:val="22"/>
          <w:u w:val="single"/>
          <w:lang w:val="es-ES"/>
        </w:rPr>
        <w:t>Tipología y</w:t>
      </w:r>
      <w:r w:rsidR="007C78A5" w:rsidRPr="00EB3D94">
        <w:rPr>
          <w:rFonts w:cs="Arial"/>
          <w:b/>
          <w:bCs/>
          <w:szCs w:val="22"/>
          <w:u w:val="single"/>
          <w:lang w:val="es-ES"/>
        </w:rPr>
        <w:t xml:space="preserve"> </w:t>
      </w:r>
      <w:r w:rsidR="007C78A5" w:rsidRPr="00EB3D94">
        <w:rPr>
          <w:rFonts w:cs="Arial"/>
          <w:b/>
          <w:szCs w:val="22"/>
          <w:u w:val="single"/>
          <w:lang w:val="es-ES"/>
        </w:rPr>
        <w:t>Objeto del contrato</w:t>
      </w:r>
    </w:p>
    <w:p w14:paraId="3E2B34BB" w14:textId="77777777" w:rsidR="007C78A5" w:rsidRPr="00EB3D94" w:rsidRDefault="007C78A5" w:rsidP="00BC4866">
      <w:pPr>
        <w:rPr>
          <w:rFonts w:cs="Arial"/>
          <w:szCs w:val="22"/>
          <w:lang w:val="es-ES"/>
        </w:rPr>
      </w:pPr>
    </w:p>
    <w:p w14:paraId="1A92B52A" w14:textId="77777777" w:rsidR="00B41354" w:rsidRPr="00EB3D94" w:rsidRDefault="00B41354" w:rsidP="00BC4866">
      <w:pPr>
        <w:jc w:val="both"/>
        <w:rPr>
          <w:rFonts w:cs="Arial"/>
          <w:szCs w:val="22"/>
          <w:lang w:val="es-ES"/>
        </w:rPr>
      </w:pPr>
      <w:r w:rsidRPr="00EB3D94">
        <w:rPr>
          <w:rFonts w:cs="Arial"/>
          <w:szCs w:val="22"/>
          <w:lang w:val="es-ES"/>
        </w:rPr>
        <w:t>El co</w:t>
      </w:r>
      <w:r w:rsidR="00710539" w:rsidRPr="00EB3D94">
        <w:rPr>
          <w:rFonts w:cs="Arial"/>
          <w:szCs w:val="22"/>
          <w:lang w:val="es-ES"/>
        </w:rPr>
        <w:t xml:space="preserve">ntrato se tipifica como privado, de acuerdo con el establecido </w:t>
      </w:r>
      <w:r w:rsidR="00924648" w:rsidRPr="00EB3D94">
        <w:rPr>
          <w:rFonts w:cs="Arial"/>
          <w:szCs w:val="22"/>
          <w:lang w:val="es-ES"/>
        </w:rPr>
        <w:t xml:space="preserve">en el artículo 25.1.a) </w:t>
      </w:r>
      <w:r w:rsidR="006A6CBF" w:rsidRPr="00EB3D94">
        <w:rPr>
          <w:rFonts w:cs="Arial"/>
          <w:szCs w:val="22"/>
          <w:lang w:val="es-ES"/>
        </w:rPr>
        <w:t xml:space="preserve">1.º. </w:t>
      </w:r>
      <w:r w:rsidR="00924648" w:rsidRPr="00EB3D94">
        <w:rPr>
          <w:rFonts w:cs="Arial"/>
          <w:szCs w:val="22"/>
          <w:lang w:val="es-ES"/>
        </w:rPr>
        <w:t>de la Ley 9/2017, de 8 de noviembre, de contratos del sector público (LCSP), el objeto del contrato está incluido dentro de la categoría de servicios financieros</w:t>
      </w:r>
      <w:r w:rsidR="00D05FA4" w:rsidRPr="00EB3D94">
        <w:rPr>
          <w:rFonts w:cs="Arial"/>
          <w:szCs w:val="22"/>
          <w:lang w:val="es-ES"/>
        </w:rPr>
        <w:t xml:space="preserve"> quedando so</w:t>
      </w:r>
      <w:r w:rsidR="00924648" w:rsidRPr="00EB3D94">
        <w:rPr>
          <w:rFonts w:cs="Arial"/>
          <w:szCs w:val="22"/>
          <w:lang w:val="es-ES"/>
        </w:rPr>
        <w:t>metido, tal como se recoge en el artículo 26.2 LCSP con respecto a la preparación y adjudicación a esta norma.</w:t>
      </w:r>
    </w:p>
    <w:p w14:paraId="093CCDD3" w14:textId="77777777" w:rsidR="00924648" w:rsidRPr="00EB3D94" w:rsidRDefault="00924648" w:rsidP="00BC4866">
      <w:pPr>
        <w:jc w:val="both"/>
        <w:rPr>
          <w:rFonts w:cs="Arial"/>
          <w:szCs w:val="22"/>
          <w:lang w:val="es-ES"/>
        </w:rPr>
      </w:pPr>
    </w:p>
    <w:p w14:paraId="7CB0C8A7" w14:textId="77777777" w:rsidR="005D0042" w:rsidRPr="00EB3D94" w:rsidRDefault="00B41354" w:rsidP="00BC4866">
      <w:pPr>
        <w:jc w:val="both"/>
        <w:rPr>
          <w:rFonts w:cs="Arial"/>
          <w:szCs w:val="22"/>
          <w:lang w:val="es-ES"/>
        </w:rPr>
      </w:pPr>
      <w:r w:rsidRPr="00EB3D94">
        <w:rPr>
          <w:rFonts w:cs="Arial"/>
          <w:szCs w:val="22"/>
          <w:lang w:val="es-ES"/>
        </w:rPr>
        <w:t xml:space="preserve">El objeto del contrato es la </w:t>
      </w:r>
      <w:r w:rsidR="005D0042" w:rsidRPr="00EB3D94">
        <w:rPr>
          <w:rFonts w:cs="Arial"/>
          <w:szCs w:val="22"/>
          <w:lang w:val="es-ES"/>
        </w:rPr>
        <w:t xml:space="preserve">prestación de los servicios </w:t>
      </w:r>
      <w:r w:rsidR="00BC549C" w:rsidRPr="00EB3D94">
        <w:rPr>
          <w:rFonts w:cs="Arial"/>
          <w:szCs w:val="22"/>
          <w:lang w:val="es-ES"/>
        </w:rPr>
        <w:t xml:space="preserve">bancarios </w:t>
      </w:r>
      <w:r w:rsidR="005D0042" w:rsidRPr="00EB3D94">
        <w:rPr>
          <w:rFonts w:cs="Arial"/>
          <w:szCs w:val="22"/>
          <w:lang w:val="es-ES"/>
        </w:rPr>
        <w:t>que requieren la Tesorería Corporativa y las tesorerías de las Entidades Públicas de la Generalitat de Catalunya para operar de manera conjunta de acuerdo con un modelo de gestión de Cash-</w:t>
      </w:r>
      <w:proofErr w:type="spellStart"/>
      <w:r w:rsidR="005D0042" w:rsidRPr="00EB3D94">
        <w:rPr>
          <w:rFonts w:cs="Arial"/>
          <w:szCs w:val="22"/>
          <w:lang w:val="es-ES"/>
        </w:rPr>
        <w:t>pooling</w:t>
      </w:r>
      <w:proofErr w:type="spellEnd"/>
      <w:r w:rsidR="005D0042" w:rsidRPr="00EB3D94">
        <w:rPr>
          <w:rFonts w:cs="Arial"/>
          <w:szCs w:val="22"/>
          <w:lang w:val="es-ES"/>
        </w:rPr>
        <w:t>. De estos servicios se excluye la recaudación de ingresos y el confirming de la Tesorería Corporativa.</w:t>
      </w:r>
    </w:p>
    <w:p w14:paraId="250EA6EE" w14:textId="77777777" w:rsidR="005F42B3" w:rsidRPr="00EB3D94" w:rsidRDefault="005F42B3" w:rsidP="00BC4866">
      <w:pPr>
        <w:jc w:val="both"/>
        <w:rPr>
          <w:rFonts w:cs="Arial"/>
          <w:szCs w:val="22"/>
          <w:lang w:val="es-ES"/>
        </w:rPr>
      </w:pPr>
    </w:p>
    <w:p w14:paraId="3E26C078" w14:textId="37DCD3BC" w:rsidR="005D0042" w:rsidRPr="00EB3D94" w:rsidRDefault="005D0042" w:rsidP="00BC4866">
      <w:pPr>
        <w:jc w:val="both"/>
        <w:rPr>
          <w:rFonts w:cs="Arial"/>
          <w:szCs w:val="22"/>
          <w:lang w:val="es-ES"/>
        </w:rPr>
      </w:pPr>
      <w:r w:rsidRPr="00EB3D94">
        <w:rPr>
          <w:rFonts w:cs="Arial"/>
          <w:szCs w:val="22"/>
          <w:lang w:val="es-ES"/>
        </w:rPr>
        <w:t xml:space="preserve">Estos servicios </w:t>
      </w:r>
      <w:r w:rsidR="00A25938" w:rsidRPr="00EB3D94">
        <w:rPr>
          <w:rFonts w:cs="Arial"/>
          <w:szCs w:val="22"/>
          <w:lang w:val="es-ES"/>
        </w:rPr>
        <w:t xml:space="preserve">deben </w:t>
      </w:r>
      <w:r w:rsidRPr="00EB3D94">
        <w:rPr>
          <w:rFonts w:cs="Arial"/>
          <w:szCs w:val="22"/>
          <w:lang w:val="es-ES"/>
        </w:rPr>
        <w:t>incluir:</w:t>
      </w:r>
    </w:p>
    <w:p w14:paraId="6FB2846C" w14:textId="77777777" w:rsidR="0081107C" w:rsidRPr="00EB3D94" w:rsidRDefault="0081107C" w:rsidP="00BC4866">
      <w:pPr>
        <w:jc w:val="both"/>
        <w:rPr>
          <w:rFonts w:cs="Arial"/>
          <w:szCs w:val="22"/>
          <w:lang w:val="es-ES"/>
        </w:rPr>
      </w:pPr>
    </w:p>
    <w:p w14:paraId="2E8F125B" w14:textId="77777777" w:rsidR="005D0042" w:rsidRPr="00EB3D94" w:rsidRDefault="005D0042" w:rsidP="00BC4866">
      <w:pPr>
        <w:numPr>
          <w:ilvl w:val="0"/>
          <w:numId w:val="10"/>
        </w:numPr>
        <w:tabs>
          <w:tab w:val="clear" w:pos="2914"/>
          <w:tab w:val="num" w:pos="720"/>
        </w:tabs>
        <w:ind w:left="720"/>
        <w:jc w:val="both"/>
        <w:rPr>
          <w:rFonts w:cs="Arial"/>
          <w:szCs w:val="22"/>
          <w:lang w:val="es-ES"/>
        </w:rPr>
      </w:pPr>
      <w:r w:rsidRPr="00EB3D94">
        <w:rPr>
          <w:rFonts w:cs="Arial"/>
          <w:szCs w:val="22"/>
          <w:lang w:val="es-ES"/>
        </w:rPr>
        <w:t>Prestación del servicio de Cash-</w:t>
      </w:r>
      <w:proofErr w:type="spellStart"/>
      <w:r w:rsidRPr="00EB3D94">
        <w:rPr>
          <w:rFonts w:cs="Arial"/>
          <w:szCs w:val="22"/>
          <w:lang w:val="es-ES"/>
        </w:rPr>
        <w:t>pooling</w:t>
      </w:r>
      <w:proofErr w:type="spellEnd"/>
      <w:r w:rsidRPr="00EB3D94">
        <w:rPr>
          <w:rFonts w:cs="Arial"/>
          <w:szCs w:val="22"/>
          <w:lang w:val="es-ES"/>
        </w:rPr>
        <w:t xml:space="preserve"> entre la Tesorería Corporativa de la Generalitat de Catalunya y sus Entidades Públicas.</w:t>
      </w:r>
    </w:p>
    <w:p w14:paraId="41BFEEEC" w14:textId="77777777" w:rsidR="005D0042" w:rsidRPr="00EB3D94" w:rsidRDefault="005D0042" w:rsidP="00BC4866">
      <w:pPr>
        <w:jc w:val="both"/>
        <w:rPr>
          <w:rFonts w:cs="Arial"/>
          <w:szCs w:val="22"/>
          <w:lang w:val="es-ES"/>
        </w:rPr>
      </w:pPr>
    </w:p>
    <w:p w14:paraId="7B3DA09C" w14:textId="77777777" w:rsidR="003E1ACC" w:rsidRPr="00EB3D94" w:rsidRDefault="005D0042" w:rsidP="00BC4866">
      <w:pPr>
        <w:numPr>
          <w:ilvl w:val="0"/>
          <w:numId w:val="10"/>
        </w:numPr>
        <w:tabs>
          <w:tab w:val="clear" w:pos="2914"/>
          <w:tab w:val="num" w:pos="720"/>
        </w:tabs>
        <w:ind w:left="720"/>
        <w:jc w:val="both"/>
        <w:rPr>
          <w:rFonts w:cs="Arial"/>
          <w:szCs w:val="22"/>
          <w:lang w:val="es-ES"/>
        </w:rPr>
      </w:pPr>
      <w:r w:rsidRPr="00EB3D94">
        <w:rPr>
          <w:rFonts w:cs="Arial"/>
          <w:szCs w:val="22"/>
          <w:lang w:val="es-ES"/>
        </w:rPr>
        <w:t>Prestación de servicios financieros: servicios financieros y sus condiciones económicas tanto para la Tesorería Corporativa, como para las Entidades Públicas.</w:t>
      </w:r>
    </w:p>
    <w:p w14:paraId="06476874" w14:textId="77777777" w:rsidR="00A970B7" w:rsidRPr="00EB3D94" w:rsidRDefault="00A970B7" w:rsidP="00BC4866">
      <w:pPr>
        <w:pStyle w:val="Capalera"/>
        <w:tabs>
          <w:tab w:val="clear" w:pos="4252"/>
          <w:tab w:val="clear" w:pos="8504"/>
        </w:tabs>
        <w:jc w:val="both"/>
        <w:rPr>
          <w:rFonts w:cs="Arial"/>
          <w:szCs w:val="22"/>
          <w:lang w:val="es-ES"/>
        </w:rPr>
      </w:pPr>
    </w:p>
    <w:p w14:paraId="7C7ECD47" w14:textId="77777777" w:rsidR="0081107C" w:rsidRPr="00EB3D94" w:rsidRDefault="0081107C" w:rsidP="00BC4866">
      <w:pPr>
        <w:jc w:val="both"/>
        <w:rPr>
          <w:rFonts w:cs="Arial"/>
          <w:szCs w:val="22"/>
          <w:lang w:val="es-ES"/>
        </w:rPr>
      </w:pPr>
      <w:r w:rsidRPr="00EB3D94">
        <w:rPr>
          <w:rFonts w:cs="Arial"/>
          <w:szCs w:val="22"/>
          <w:lang w:val="es-ES"/>
        </w:rPr>
        <w:t>Los servicios objeto del contrato son los de la Tesorería Corporativa de la Generalitat de Catalunya y los de las Entidades Públicas de su Sector Público. Los tipos de ente pueden ser: Generalitat (ámbito departamental), Servicio Catalán de la Salud (SCS), Entidades autónomas administrativas, Entidades autónomas comerciales y financieras, Entidades de derecho público (incluido el Instituto Catalán de la Salud-ICS), Sociedades mercantiles vinculadas a la Generalitat, Consorcios, Fundaciones y Universidades.</w:t>
      </w:r>
    </w:p>
    <w:p w14:paraId="27962444" w14:textId="77777777" w:rsidR="00BC549C" w:rsidRPr="00EB3D94" w:rsidRDefault="00BC549C" w:rsidP="00BC4866">
      <w:pPr>
        <w:jc w:val="both"/>
        <w:rPr>
          <w:rFonts w:cs="Arial"/>
          <w:szCs w:val="22"/>
          <w:lang w:val="es-ES"/>
        </w:rPr>
      </w:pPr>
    </w:p>
    <w:p w14:paraId="45FA07C4" w14:textId="7B0F8BB9" w:rsidR="00BC549C" w:rsidRPr="00EB3D94" w:rsidRDefault="00BC549C" w:rsidP="00BC4866">
      <w:pPr>
        <w:pStyle w:val="Default"/>
        <w:jc w:val="both"/>
        <w:rPr>
          <w:color w:val="auto"/>
          <w:sz w:val="22"/>
          <w:szCs w:val="22"/>
          <w:lang w:val="es-ES" w:eastAsia="es-ES"/>
        </w:rPr>
      </w:pPr>
      <w:r w:rsidRPr="00EB3D94">
        <w:rPr>
          <w:color w:val="auto"/>
          <w:sz w:val="22"/>
          <w:szCs w:val="22"/>
          <w:lang w:val="es-ES" w:eastAsia="es-ES"/>
        </w:rPr>
        <w:t xml:space="preserve">En el modelo actualmente vigente la </w:t>
      </w:r>
      <w:r w:rsidR="00E16151" w:rsidRPr="00EB3D94">
        <w:rPr>
          <w:color w:val="auto"/>
          <w:sz w:val="22"/>
          <w:szCs w:val="22"/>
          <w:lang w:val="es-ES" w:eastAsia="es-ES"/>
        </w:rPr>
        <w:t xml:space="preserve">Subdirección </w:t>
      </w:r>
      <w:r w:rsidRPr="00EB3D94">
        <w:rPr>
          <w:color w:val="auto"/>
          <w:sz w:val="22"/>
          <w:szCs w:val="22"/>
          <w:lang w:val="es-ES" w:eastAsia="es-ES"/>
        </w:rPr>
        <w:t xml:space="preserve">General de Tesorería gestiona directamente, mediante la Tesorería Corporativa, tanto las </w:t>
      </w:r>
      <w:r w:rsidR="00192A34" w:rsidRPr="00EB3D94">
        <w:rPr>
          <w:color w:val="auto"/>
          <w:sz w:val="22"/>
          <w:szCs w:val="22"/>
          <w:lang w:val="es-ES" w:eastAsia="es-ES"/>
        </w:rPr>
        <w:t>cuentas tesoreras</w:t>
      </w:r>
      <w:r w:rsidRPr="00EB3D94">
        <w:rPr>
          <w:color w:val="auto"/>
          <w:sz w:val="22"/>
          <w:szCs w:val="22"/>
          <w:lang w:val="es-ES" w:eastAsia="es-ES"/>
        </w:rPr>
        <w:t xml:space="preserve"> como las cuentas operativas correspondientes a la operativa de los Departamentos y la del SCS y del ICS. </w:t>
      </w:r>
    </w:p>
    <w:p w14:paraId="2408B37C" w14:textId="77777777" w:rsidR="00BC549C" w:rsidRPr="00EB3D94" w:rsidRDefault="00BC549C" w:rsidP="00BC4866">
      <w:pPr>
        <w:pStyle w:val="Default"/>
        <w:jc w:val="both"/>
        <w:rPr>
          <w:color w:val="auto"/>
          <w:sz w:val="22"/>
          <w:szCs w:val="22"/>
          <w:lang w:val="es-ES" w:eastAsia="es-ES"/>
        </w:rPr>
      </w:pPr>
    </w:p>
    <w:p w14:paraId="7CDA683F" w14:textId="77777777" w:rsidR="00BC549C" w:rsidRPr="00EB3D94" w:rsidRDefault="00BC549C" w:rsidP="00BC4866">
      <w:pPr>
        <w:pStyle w:val="Default"/>
        <w:jc w:val="both"/>
        <w:rPr>
          <w:color w:val="auto"/>
          <w:sz w:val="22"/>
          <w:szCs w:val="22"/>
          <w:lang w:val="es-ES" w:eastAsia="es-ES"/>
        </w:rPr>
      </w:pPr>
      <w:r w:rsidRPr="00EB3D94">
        <w:rPr>
          <w:color w:val="auto"/>
          <w:sz w:val="22"/>
          <w:szCs w:val="22"/>
          <w:lang w:val="es-ES" w:eastAsia="es-ES"/>
        </w:rPr>
        <w:t xml:space="preserve">El resto de </w:t>
      </w:r>
      <w:proofErr w:type="gramStart"/>
      <w:r w:rsidRPr="00EB3D94">
        <w:rPr>
          <w:color w:val="auto"/>
          <w:sz w:val="22"/>
          <w:szCs w:val="22"/>
          <w:lang w:val="es-ES" w:eastAsia="es-ES"/>
        </w:rPr>
        <w:t>entidades</w:t>
      </w:r>
      <w:proofErr w:type="gramEnd"/>
      <w:r w:rsidRPr="00EB3D94">
        <w:rPr>
          <w:color w:val="auto"/>
          <w:sz w:val="22"/>
          <w:szCs w:val="22"/>
          <w:lang w:val="es-ES" w:eastAsia="es-ES"/>
        </w:rPr>
        <w:t xml:space="preserve"> se agrupan bajo el epígrafe de Entidades Públicas que pueden ser entidades SECO (entidades clasificadas dentro del sector administraciones públicas según el Sistema Europeo de Cuentas) y entidades NO SECO. </w:t>
      </w:r>
    </w:p>
    <w:p w14:paraId="61DE2EAC" w14:textId="77777777" w:rsidR="00BC549C" w:rsidRPr="00EB3D94" w:rsidRDefault="00BC549C" w:rsidP="00BC4866">
      <w:pPr>
        <w:pStyle w:val="Default"/>
        <w:jc w:val="both"/>
        <w:rPr>
          <w:color w:val="auto"/>
          <w:sz w:val="22"/>
          <w:szCs w:val="22"/>
          <w:lang w:val="es-ES" w:eastAsia="es-ES"/>
        </w:rPr>
      </w:pPr>
    </w:p>
    <w:p w14:paraId="23B16B01" w14:textId="77777777" w:rsidR="00BC549C" w:rsidRPr="00EB3D94" w:rsidRDefault="00BC549C" w:rsidP="00BC4866">
      <w:pPr>
        <w:jc w:val="both"/>
        <w:rPr>
          <w:rFonts w:cs="Arial"/>
          <w:szCs w:val="22"/>
          <w:lang w:val="es-ES"/>
        </w:rPr>
      </w:pPr>
      <w:r w:rsidRPr="00EB3D94">
        <w:rPr>
          <w:rFonts w:cs="Arial"/>
          <w:szCs w:val="22"/>
          <w:lang w:val="es-ES"/>
        </w:rPr>
        <w:t>Las Entidades Públicas actualmente adheridas al sistema de cash-</w:t>
      </w:r>
      <w:proofErr w:type="spellStart"/>
      <w:r w:rsidRPr="00EB3D94">
        <w:rPr>
          <w:rFonts w:cs="Arial"/>
          <w:szCs w:val="22"/>
          <w:lang w:val="es-ES"/>
        </w:rPr>
        <w:t>pooling</w:t>
      </w:r>
      <w:proofErr w:type="spellEnd"/>
      <w:r w:rsidRPr="00EB3D94">
        <w:rPr>
          <w:rFonts w:cs="Arial"/>
          <w:szCs w:val="22"/>
          <w:lang w:val="es-ES"/>
        </w:rPr>
        <w:t xml:space="preserve"> y, por lo tanto, incluidas en el objeto del contrato son las que se detallan en el Anexo 1. La </w:t>
      </w:r>
      <w:r w:rsidR="00E16151" w:rsidRPr="00EB3D94">
        <w:rPr>
          <w:rFonts w:cs="Arial"/>
          <w:szCs w:val="22"/>
          <w:lang w:val="es-ES"/>
        </w:rPr>
        <w:t xml:space="preserve">Subdirección </w:t>
      </w:r>
      <w:r w:rsidRPr="00EB3D94">
        <w:rPr>
          <w:rFonts w:cs="Arial"/>
          <w:szCs w:val="22"/>
          <w:lang w:val="es-ES"/>
        </w:rPr>
        <w:t>General de Tesorería determinará las nuevas incorporaciones o las bajas que se pueden producir durante la vigencia del contrato.</w:t>
      </w:r>
    </w:p>
    <w:p w14:paraId="6862DC21" w14:textId="77777777" w:rsidR="00BC549C" w:rsidRPr="00EB3D94" w:rsidRDefault="00BC549C" w:rsidP="00BC4866">
      <w:pPr>
        <w:pStyle w:val="Capalera"/>
        <w:tabs>
          <w:tab w:val="clear" w:pos="4252"/>
          <w:tab w:val="clear" w:pos="8504"/>
        </w:tabs>
        <w:jc w:val="both"/>
        <w:rPr>
          <w:rFonts w:cs="Arial"/>
          <w:szCs w:val="22"/>
          <w:lang w:val="es-ES" w:eastAsia="es-ES"/>
        </w:rPr>
      </w:pPr>
    </w:p>
    <w:p w14:paraId="33A3C4DE" w14:textId="77777777" w:rsidR="0081107C" w:rsidRPr="00EB3D94" w:rsidRDefault="0081107C" w:rsidP="00BC4866">
      <w:pPr>
        <w:rPr>
          <w:lang w:val="es-ES"/>
        </w:rPr>
      </w:pPr>
      <w:r w:rsidRPr="00EB3D94">
        <w:rPr>
          <w:lang w:val="es-ES"/>
        </w:rPr>
        <w:t>Se prevé la división del contrato en 2 lotes:</w:t>
      </w:r>
    </w:p>
    <w:p w14:paraId="2CC43B30" w14:textId="77777777" w:rsidR="0081107C" w:rsidRPr="00EB3D94" w:rsidRDefault="0081107C" w:rsidP="00BC4866">
      <w:pPr>
        <w:rPr>
          <w:lang w:val="es-ES"/>
        </w:rPr>
      </w:pPr>
    </w:p>
    <w:p w14:paraId="7F1F5F4C" w14:textId="74C454DF" w:rsidR="0079142D" w:rsidRPr="00EB3D94" w:rsidRDefault="0081107C" w:rsidP="00BC4866">
      <w:pPr>
        <w:pStyle w:val="Pargrafdellista"/>
        <w:numPr>
          <w:ilvl w:val="0"/>
          <w:numId w:val="34"/>
        </w:numPr>
        <w:contextualSpacing/>
        <w:jc w:val="both"/>
        <w:rPr>
          <w:lang w:val="es-ES"/>
        </w:rPr>
      </w:pPr>
      <w:r w:rsidRPr="00EB3D94">
        <w:rPr>
          <w:u w:val="single"/>
          <w:lang w:val="es-ES"/>
        </w:rPr>
        <w:t>LOTE 1</w:t>
      </w:r>
      <w:r w:rsidRPr="00EB3D94">
        <w:rPr>
          <w:lang w:val="es-ES"/>
        </w:rPr>
        <w:t>: Operativa de las entidades públicas adheridas al cash-</w:t>
      </w:r>
      <w:proofErr w:type="spellStart"/>
      <w:r w:rsidRPr="00EB3D94">
        <w:rPr>
          <w:lang w:val="es-ES"/>
        </w:rPr>
        <w:t>pooling</w:t>
      </w:r>
      <w:proofErr w:type="spellEnd"/>
      <w:r w:rsidRPr="00EB3D94">
        <w:rPr>
          <w:lang w:val="es-ES"/>
        </w:rPr>
        <w:t xml:space="preserve"> y la operativa de la Tesorería Corporativa (Generalitat-ámbito departamental, SCS e ICS) no incluida en el </w:t>
      </w:r>
      <w:r w:rsidR="0089448A" w:rsidRPr="00EB3D94">
        <w:rPr>
          <w:lang w:val="es-ES"/>
        </w:rPr>
        <w:t>L</w:t>
      </w:r>
      <w:r w:rsidRPr="00EB3D94">
        <w:rPr>
          <w:lang w:val="es-ES"/>
        </w:rPr>
        <w:t>ote 2.</w:t>
      </w:r>
    </w:p>
    <w:p w14:paraId="7197F605" w14:textId="77777777" w:rsidR="0079142D" w:rsidRPr="00EB3D94" w:rsidRDefault="0079142D" w:rsidP="00BC4866">
      <w:pPr>
        <w:pStyle w:val="Pargrafdellista"/>
        <w:ind w:left="720"/>
        <w:contextualSpacing/>
        <w:jc w:val="both"/>
        <w:rPr>
          <w:lang w:val="es-ES"/>
        </w:rPr>
      </w:pPr>
    </w:p>
    <w:p w14:paraId="6DC61121" w14:textId="77777777" w:rsidR="0079142D" w:rsidRPr="00EB3D94" w:rsidRDefault="0081107C" w:rsidP="00BC4866">
      <w:pPr>
        <w:pStyle w:val="Pargrafdellista"/>
        <w:numPr>
          <w:ilvl w:val="0"/>
          <w:numId w:val="34"/>
        </w:numPr>
        <w:contextualSpacing/>
        <w:jc w:val="both"/>
        <w:rPr>
          <w:lang w:val="es-ES"/>
        </w:rPr>
      </w:pPr>
      <w:r w:rsidRPr="00EB3D94">
        <w:rPr>
          <w:u w:val="single"/>
          <w:lang w:val="es-ES"/>
        </w:rPr>
        <w:t>LOTE 2</w:t>
      </w:r>
      <w:r w:rsidRPr="00EB3D94">
        <w:rPr>
          <w:lang w:val="es-ES"/>
        </w:rPr>
        <w:t xml:space="preserve">: </w:t>
      </w:r>
      <w:r w:rsidRPr="00EB3D94">
        <w:rPr>
          <w:rFonts w:cs="Arial"/>
          <w:szCs w:val="22"/>
          <w:lang w:val="es-ES"/>
        </w:rPr>
        <w:t xml:space="preserve">Operativa de la Tesorería Corporativa </w:t>
      </w:r>
      <w:r w:rsidRPr="00EB3D94">
        <w:rPr>
          <w:lang w:val="es-ES"/>
        </w:rPr>
        <w:t xml:space="preserve">(Generalitat-ámbito departamental, SCS e ICS) </w:t>
      </w:r>
      <w:r w:rsidR="0079142D" w:rsidRPr="00EB3D94">
        <w:rPr>
          <w:rFonts w:cs="Arial"/>
          <w:szCs w:val="22"/>
          <w:lang w:val="es-ES"/>
        </w:rPr>
        <w:t xml:space="preserve">correspondiente a los impuestos a pagar al AEAT (exceptuando los de los centros educativos concertados) y al pago de las cotizaciones sociales [cuotas de la Seguridad Social a pagar a la Tesorería General de la Seguridad Social (TGSS), las cuotas del resto de Mutualidades (MUFACE, ISFAS, MUJEJU) y derechos pasivos]. </w:t>
      </w:r>
    </w:p>
    <w:p w14:paraId="628C0DCE" w14:textId="77777777" w:rsidR="0081107C" w:rsidRPr="00EB3D94" w:rsidRDefault="0081107C" w:rsidP="00BC4866">
      <w:pPr>
        <w:pStyle w:val="Pargrafdellista"/>
        <w:ind w:left="720"/>
        <w:contextualSpacing/>
        <w:jc w:val="both"/>
        <w:rPr>
          <w:rFonts w:cs="Arial"/>
          <w:szCs w:val="22"/>
          <w:lang w:val="es-ES"/>
        </w:rPr>
      </w:pPr>
    </w:p>
    <w:p w14:paraId="31FA8A8D" w14:textId="77777777" w:rsidR="00E16151" w:rsidRPr="00EB3D94" w:rsidRDefault="00E16151" w:rsidP="00E16151">
      <w:pPr>
        <w:autoSpaceDE w:val="0"/>
        <w:autoSpaceDN w:val="0"/>
        <w:adjustRightInd w:val="0"/>
        <w:jc w:val="both"/>
        <w:rPr>
          <w:rFonts w:cs="Arial"/>
          <w:szCs w:val="22"/>
          <w:lang w:val="es-ES"/>
        </w:rPr>
      </w:pPr>
      <w:r w:rsidRPr="00EB3D94">
        <w:rPr>
          <w:rFonts w:cs="Arial"/>
          <w:szCs w:val="22"/>
          <w:lang w:val="es-ES"/>
        </w:rPr>
        <w:t xml:space="preserve">Las entidades adjudicatarias de alguno </w:t>
      </w:r>
      <w:proofErr w:type="gramStart"/>
      <w:r w:rsidRPr="00EB3D94">
        <w:rPr>
          <w:rFonts w:cs="Arial"/>
          <w:szCs w:val="22"/>
          <w:lang w:val="es-ES"/>
        </w:rPr>
        <w:t>del lotes</w:t>
      </w:r>
      <w:proofErr w:type="gramEnd"/>
      <w:r w:rsidRPr="00EB3D94">
        <w:rPr>
          <w:rFonts w:cs="Arial"/>
          <w:szCs w:val="22"/>
          <w:lang w:val="es-ES"/>
        </w:rPr>
        <w:t xml:space="preserve"> también tendrán adjudicado el pago de las nóminas que tengan domiciliadas y que correspondan a personas adscritas al ámbito departamental de Generalitat, al Servicio Catalán de la Salud (SCS) o al Instituto Català de la </w:t>
      </w:r>
      <w:proofErr w:type="spellStart"/>
      <w:r w:rsidRPr="00EB3D94">
        <w:rPr>
          <w:rFonts w:cs="Arial"/>
          <w:szCs w:val="22"/>
          <w:lang w:val="es-ES"/>
        </w:rPr>
        <w:t>Salut</w:t>
      </w:r>
      <w:proofErr w:type="spellEnd"/>
      <w:r w:rsidRPr="00EB3D94">
        <w:rPr>
          <w:rFonts w:cs="Arial"/>
          <w:szCs w:val="22"/>
          <w:lang w:val="es-ES"/>
        </w:rPr>
        <w:t xml:space="preserve"> (ICS).</w:t>
      </w:r>
    </w:p>
    <w:p w14:paraId="73A22095" w14:textId="77777777" w:rsidR="00E16151" w:rsidRPr="00EB3D94" w:rsidRDefault="00E16151" w:rsidP="00BC4866">
      <w:pPr>
        <w:pStyle w:val="Capalera"/>
        <w:tabs>
          <w:tab w:val="clear" w:pos="4252"/>
          <w:tab w:val="clear" w:pos="8504"/>
        </w:tabs>
        <w:jc w:val="both"/>
        <w:rPr>
          <w:rFonts w:cs="Arial"/>
          <w:szCs w:val="22"/>
          <w:lang w:val="es-ES"/>
        </w:rPr>
      </w:pPr>
    </w:p>
    <w:p w14:paraId="2DC8DA68" w14:textId="5F371E35" w:rsidR="00B41354" w:rsidRPr="00EB3D94" w:rsidRDefault="00B41354" w:rsidP="00BC4866">
      <w:pPr>
        <w:pStyle w:val="Capalera"/>
        <w:tabs>
          <w:tab w:val="clear" w:pos="4252"/>
          <w:tab w:val="clear" w:pos="8504"/>
        </w:tabs>
        <w:jc w:val="both"/>
        <w:rPr>
          <w:rFonts w:cs="Arial"/>
          <w:szCs w:val="22"/>
          <w:lang w:val="es-ES"/>
        </w:rPr>
      </w:pPr>
      <w:r w:rsidRPr="00EB3D94">
        <w:rPr>
          <w:rFonts w:cs="Arial"/>
          <w:szCs w:val="22"/>
          <w:lang w:val="es-ES"/>
        </w:rPr>
        <w:t xml:space="preserve">Las entidades licitadoras </w:t>
      </w:r>
      <w:r w:rsidR="00A25938" w:rsidRPr="00EB3D94">
        <w:rPr>
          <w:rFonts w:cs="Arial"/>
          <w:szCs w:val="22"/>
          <w:lang w:val="es-ES"/>
        </w:rPr>
        <w:t xml:space="preserve">deben </w:t>
      </w:r>
      <w:r w:rsidRPr="00EB3D94">
        <w:rPr>
          <w:rFonts w:cs="Arial"/>
          <w:szCs w:val="22"/>
          <w:lang w:val="es-ES"/>
        </w:rPr>
        <w:t>dar cobertura obligatoriamente a los requerimientos y funcionalidades detallados a continuación:</w:t>
      </w:r>
    </w:p>
    <w:p w14:paraId="0D6F9F60" w14:textId="77777777" w:rsidR="0081107C" w:rsidRPr="00EB3D94" w:rsidRDefault="0081107C" w:rsidP="00BC4866">
      <w:pPr>
        <w:pStyle w:val="Capalera"/>
        <w:tabs>
          <w:tab w:val="clear" w:pos="4252"/>
          <w:tab w:val="clear" w:pos="8504"/>
        </w:tabs>
        <w:jc w:val="both"/>
        <w:rPr>
          <w:rFonts w:cs="Arial"/>
          <w:bCs/>
          <w:szCs w:val="22"/>
          <w:lang w:val="es-ES"/>
        </w:rPr>
      </w:pPr>
    </w:p>
    <w:p w14:paraId="0E41E651" w14:textId="77777777" w:rsidR="00B41354" w:rsidRPr="00EB3D94" w:rsidRDefault="00B41354" w:rsidP="00BC4866">
      <w:pPr>
        <w:jc w:val="both"/>
        <w:rPr>
          <w:rFonts w:cs="Arial"/>
          <w:bCs/>
          <w:szCs w:val="22"/>
          <w:lang w:val="es-ES"/>
        </w:rPr>
      </w:pPr>
      <w:r w:rsidRPr="00EB3D94">
        <w:rPr>
          <w:rFonts w:cs="Arial"/>
          <w:b/>
          <w:bCs/>
          <w:szCs w:val="22"/>
          <w:lang w:val="es-ES"/>
        </w:rPr>
        <w:t xml:space="preserve">A) </w:t>
      </w:r>
      <w:r w:rsidRPr="00EB3D94">
        <w:rPr>
          <w:rFonts w:cs="Arial"/>
          <w:bCs/>
          <w:szCs w:val="22"/>
          <w:lang w:val="es-ES"/>
        </w:rPr>
        <w:t xml:space="preserve">Los requerimientos mínimos </w:t>
      </w:r>
      <w:r w:rsidRPr="00EB3D94">
        <w:rPr>
          <w:rFonts w:cs="Arial"/>
          <w:b/>
          <w:bCs/>
          <w:szCs w:val="22"/>
          <w:lang w:val="es-ES"/>
        </w:rPr>
        <w:t>a dar cobertura desde el inicio de ejecución</w:t>
      </w:r>
      <w:r w:rsidRPr="00EB3D94">
        <w:rPr>
          <w:rFonts w:cs="Arial"/>
          <w:bCs/>
          <w:szCs w:val="22"/>
          <w:lang w:val="es-ES"/>
        </w:rPr>
        <w:t xml:space="preserve"> del contrato son:</w:t>
      </w:r>
    </w:p>
    <w:p w14:paraId="112D6CFF" w14:textId="77777777" w:rsidR="00EE61CD" w:rsidRPr="00EB3D94" w:rsidRDefault="00EE61CD" w:rsidP="00BC4866">
      <w:pPr>
        <w:jc w:val="both"/>
        <w:rPr>
          <w:rFonts w:cs="Arial"/>
          <w:bCs/>
          <w:szCs w:val="22"/>
          <w:lang w:val="es-ES"/>
        </w:rPr>
      </w:pPr>
    </w:p>
    <w:p w14:paraId="16BB35A0" w14:textId="77777777" w:rsidR="005D0042" w:rsidRPr="00EB3D94" w:rsidRDefault="005D0042" w:rsidP="00BC4866">
      <w:pPr>
        <w:outlineLvl w:val="0"/>
        <w:rPr>
          <w:rFonts w:cs="Arial"/>
          <w:szCs w:val="22"/>
          <w:u w:val="single"/>
          <w:lang w:val="es-ES"/>
        </w:rPr>
      </w:pPr>
      <w:r w:rsidRPr="00EB3D94">
        <w:rPr>
          <w:rFonts w:cs="Arial"/>
          <w:i/>
          <w:szCs w:val="22"/>
          <w:lang w:val="es-ES"/>
        </w:rPr>
        <w:t xml:space="preserve">1) </w:t>
      </w:r>
      <w:r w:rsidRPr="00EB3D94">
        <w:rPr>
          <w:rFonts w:cs="Arial"/>
          <w:szCs w:val="22"/>
          <w:u w:val="single"/>
          <w:lang w:val="es-ES"/>
        </w:rPr>
        <w:t>Creación de la estructura de cuentas</w:t>
      </w:r>
    </w:p>
    <w:p w14:paraId="2704FD70" w14:textId="77777777" w:rsidR="005D0042" w:rsidRPr="00EB3D94" w:rsidRDefault="005D0042" w:rsidP="00BC4866">
      <w:pPr>
        <w:jc w:val="both"/>
        <w:outlineLvl w:val="0"/>
        <w:rPr>
          <w:rFonts w:cs="Arial"/>
          <w:szCs w:val="22"/>
          <w:lang w:val="es-ES"/>
        </w:rPr>
      </w:pPr>
    </w:p>
    <w:p w14:paraId="057B8204" w14:textId="71C43EAB" w:rsidR="001F20AC" w:rsidRPr="00EB3D94" w:rsidRDefault="00F336C7" w:rsidP="00BC4866">
      <w:pPr>
        <w:numPr>
          <w:ilvl w:val="0"/>
          <w:numId w:val="35"/>
        </w:numPr>
        <w:jc w:val="both"/>
        <w:outlineLvl w:val="0"/>
        <w:rPr>
          <w:rFonts w:cs="Arial"/>
          <w:szCs w:val="22"/>
          <w:u w:val="single"/>
          <w:lang w:val="es-ES"/>
        </w:rPr>
      </w:pPr>
      <w:r w:rsidRPr="00EB3D94">
        <w:rPr>
          <w:rFonts w:cs="Arial"/>
          <w:szCs w:val="22"/>
          <w:lang w:val="es-ES"/>
        </w:rPr>
        <w:t>Apertura de l</w:t>
      </w:r>
      <w:r w:rsidR="005D0042" w:rsidRPr="00EB3D94">
        <w:rPr>
          <w:rFonts w:cs="Arial"/>
          <w:szCs w:val="22"/>
          <w:lang w:val="es-ES"/>
        </w:rPr>
        <w:t xml:space="preserve">as cuentas operativas y de la </w:t>
      </w:r>
      <w:r w:rsidR="00192A34" w:rsidRPr="00EB3D94">
        <w:rPr>
          <w:rFonts w:cs="Arial"/>
          <w:szCs w:val="22"/>
          <w:lang w:val="es-ES"/>
        </w:rPr>
        <w:t>cuenta tesorera</w:t>
      </w:r>
      <w:r w:rsidR="005D0042" w:rsidRPr="00EB3D94">
        <w:rPr>
          <w:rFonts w:cs="Arial"/>
          <w:szCs w:val="22"/>
          <w:lang w:val="es-ES"/>
        </w:rPr>
        <w:t>.</w:t>
      </w:r>
    </w:p>
    <w:p w14:paraId="6E377C23" w14:textId="284C4C0A" w:rsidR="001F20AC" w:rsidRPr="00EB3D94" w:rsidRDefault="00F336C7" w:rsidP="00BC4866">
      <w:pPr>
        <w:numPr>
          <w:ilvl w:val="0"/>
          <w:numId w:val="35"/>
        </w:numPr>
        <w:jc w:val="both"/>
        <w:outlineLvl w:val="0"/>
        <w:rPr>
          <w:rFonts w:cs="Arial"/>
          <w:szCs w:val="22"/>
          <w:u w:val="single"/>
          <w:lang w:val="es-ES"/>
        </w:rPr>
      </w:pPr>
      <w:r w:rsidRPr="00EB3D94">
        <w:rPr>
          <w:rFonts w:cs="Arial"/>
          <w:szCs w:val="22"/>
          <w:lang w:val="es-ES"/>
        </w:rPr>
        <w:t>Apertura de l</w:t>
      </w:r>
      <w:r w:rsidR="005D0042" w:rsidRPr="00EB3D94">
        <w:rPr>
          <w:rFonts w:cs="Arial"/>
          <w:szCs w:val="22"/>
          <w:lang w:val="es-ES"/>
        </w:rPr>
        <w:t xml:space="preserve">a póliza de crédito de la Tesorería Corporativa asociada a la </w:t>
      </w:r>
      <w:r w:rsidR="00192A34" w:rsidRPr="00EB3D94">
        <w:rPr>
          <w:rFonts w:cs="Arial"/>
          <w:szCs w:val="22"/>
          <w:lang w:val="es-ES"/>
        </w:rPr>
        <w:t>cuenta tesorera</w:t>
      </w:r>
      <w:r w:rsidR="005D0042" w:rsidRPr="00EB3D94">
        <w:rPr>
          <w:rFonts w:cs="Arial"/>
          <w:szCs w:val="22"/>
          <w:lang w:val="es-ES"/>
        </w:rPr>
        <w:t>.</w:t>
      </w:r>
    </w:p>
    <w:p w14:paraId="61A23CC1" w14:textId="77777777" w:rsidR="005D0042" w:rsidRPr="00EB3D94" w:rsidRDefault="005D0042" w:rsidP="00BC4866">
      <w:pPr>
        <w:numPr>
          <w:ilvl w:val="0"/>
          <w:numId w:val="35"/>
        </w:numPr>
        <w:jc w:val="both"/>
        <w:outlineLvl w:val="0"/>
        <w:rPr>
          <w:rFonts w:cs="Arial"/>
          <w:szCs w:val="22"/>
          <w:u w:val="single"/>
          <w:lang w:val="es-ES"/>
        </w:rPr>
      </w:pPr>
      <w:r w:rsidRPr="00EB3D94">
        <w:rPr>
          <w:rFonts w:cs="Arial"/>
          <w:szCs w:val="22"/>
          <w:lang w:val="es-ES"/>
        </w:rPr>
        <w:t>Cobertura a un máximo de tres niveles de Cash-</w:t>
      </w:r>
      <w:proofErr w:type="spellStart"/>
      <w:r w:rsidRPr="00EB3D94">
        <w:rPr>
          <w:rFonts w:cs="Arial"/>
          <w:szCs w:val="22"/>
          <w:lang w:val="es-ES"/>
        </w:rPr>
        <w:t>pooling</w:t>
      </w:r>
      <w:proofErr w:type="spellEnd"/>
      <w:r w:rsidRPr="00EB3D94">
        <w:rPr>
          <w:rFonts w:cs="Arial"/>
          <w:szCs w:val="22"/>
          <w:lang w:val="es-ES"/>
        </w:rPr>
        <w:t>, de acuerdo con las siguientes especificaciones:</w:t>
      </w:r>
    </w:p>
    <w:p w14:paraId="2801A3A3" w14:textId="3A9DAB01" w:rsidR="005D0042" w:rsidRPr="00EB3D94" w:rsidRDefault="005D0042" w:rsidP="00BC4866">
      <w:pPr>
        <w:numPr>
          <w:ilvl w:val="0"/>
          <w:numId w:val="11"/>
        </w:numPr>
        <w:tabs>
          <w:tab w:val="clear" w:pos="1080"/>
          <w:tab w:val="num" w:pos="720"/>
        </w:tabs>
        <w:ind w:left="720"/>
        <w:jc w:val="both"/>
        <w:rPr>
          <w:rFonts w:cs="Arial"/>
          <w:szCs w:val="22"/>
          <w:lang w:val="es-ES"/>
        </w:rPr>
      </w:pPr>
      <w:r w:rsidRPr="00EB3D94">
        <w:rPr>
          <w:rFonts w:cs="Arial"/>
          <w:szCs w:val="22"/>
          <w:lang w:val="es-ES"/>
        </w:rPr>
        <w:t xml:space="preserve">Un primer nivel entre la </w:t>
      </w:r>
      <w:r w:rsidR="00192A34" w:rsidRPr="00EB3D94">
        <w:rPr>
          <w:rFonts w:cs="Arial"/>
          <w:szCs w:val="22"/>
          <w:lang w:val="es-ES"/>
        </w:rPr>
        <w:t>cuenta tesorera</w:t>
      </w:r>
      <w:r w:rsidRPr="00EB3D94">
        <w:rPr>
          <w:rFonts w:cs="Arial"/>
          <w:szCs w:val="22"/>
          <w:lang w:val="es-ES"/>
        </w:rPr>
        <w:t xml:space="preserve"> de la Tesorería Corporativa y las cuentas operativas de cada una de las Entidades Públicas “A” también denominados centralizadores.</w:t>
      </w:r>
    </w:p>
    <w:p w14:paraId="61EF70CA" w14:textId="77777777" w:rsidR="005D0042" w:rsidRPr="00EB3D94" w:rsidRDefault="005D0042" w:rsidP="00BC4866">
      <w:pPr>
        <w:numPr>
          <w:ilvl w:val="0"/>
          <w:numId w:val="12"/>
        </w:numPr>
        <w:tabs>
          <w:tab w:val="clear" w:pos="1080"/>
          <w:tab w:val="num" w:pos="720"/>
        </w:tabs>
        <w:ind w:left="720"/>
        <w:jc w:val="both"/>
        <w:rPr>
          <w:rFonts w:cs="Arial"/>
          <w:szCs w:val="22"/>
          <w:lang w:val="es-ES"/>
        </w:rPr>
      </w:pPr>
      <w:r w:rsidRPr="00EB3D94">
        <w:rPr>
          <w:rFonts w:cs="Arial"/>
          <w:szCs w:val="22"/>
          <w:lang w:val="es-ES"/>
        </w:rPr>
        <w:t>Un segundo nivel que contempla los escenarios siguientes:</w:t>
      </w:r>
    </w:p>
    <w:p w14:paraId="39C6E7A6" w14:textId="77777777" w:rsidR="005D0042" w:rsidRPr="00EB3D94" w:rsidRDefault="005D0042" w:rsidP="00BC4866">
      <w:pPr>
        <w:numPr>
          <w:ilvl w:val="0"/>
          <w:numId w:val="15"/>
        </w:numPr>
        <w:ind w:left="1416"/>
        <w:jc w:val="both"/>
        <w:rPr>
          <w:rFonts w:cs="Arial"/>
          <w:szCs w:val="22"/>
          <w:lang w:val="es-ES"/>
        </w:rPr>
      </w:pPr>
      <w:r w:rsidRPr="00EB3D94">
        <w:rPr>
          <w:rFonts w:cs="Arial"/>
          <w:b/>
          <w:bCs/>
          <w:szCs w:val="22"/>
          <w:lang w:val="es-ES"/>
        </w:rPr>
        <w:t xml:space="preserve">Escenario </w:t>
      </w:r>
      <w:r w:rsidRPr="00EB3D94">
        <w:rPr>
          <w:rFonts w:cs="Arial"/>
          <w:szCs w:val="22"/>
          <w:lang w:val="es-ES"/>
        </w:rPr>
        <w:t>En: interno a las Entidades Públicas “A”, entre la cuenta centralizadora y las cuentas operativas de la propia Entidad Pública “A”.</w:t>
      </w:r>
    </w:p>
    <w:p w14:paraId="1EB1A539" w14:textId="77777777" w:rsidR="005D0042" w:rsidRPr="00EB3D94" w:rsidRDefault="005D0042" w:rsidP="00BC4866">
      <w:pPr>
        <w:numPr>
          <w:ilvl w:val="0"/>
          <w:numId w:val="15"/>
        </w:numPr>
        <w:ind w:left="1416"/>
        <w:jc w:val="both"/>
        <w:rPr>
          <w:rFonts w:cs="Arial"/>
          <w:szCs w:val="22"/>
          <w:lang w:val="es-ES"/>
        </w:rPr>
      </w:pPr>
      <w:r w:rsidRPr="00EB3D94">
        <w:rPr>
          <w:rFonts w:cs="Arial"/>
          <w:b/>
          <w:bCs/>
          <w:szCs w:val="22"/>
          <w:lang w:val="es-ES"/>
        </w:rPr>
        <w:t>Escenario B</w:t>
      </w:r>
      <w:r w:rsidRPr="00EB3D94">
        <w:rPr>
          <w:rFonts w:cs="Arial"/>
          <w:szCs w:val="22"/>
          <w:lang w:val="es-ES"/>
        </w:rPr>
        <w:t>: entre la cuenta centralizadora de la Entidad Pública “A” y las cuentas centralizadoras de las Entidades Públicas “B” que dependen orgánicamente.</w:t>
      </w:r>
    </w:p>
    <w:p w14:paraId="201C2DFC" w14:textId="77777777" w:rsidR="005D0042" w:rsidRPr="00EB3D94" w:rsidRDefault="005D0042" w:rsidP="00BC4866">
      <w:pPr>
        <w:numPr>
          <w:ilvl w:val="0"/>
          <w:numId w:val="12"/>
        </w:numPr>
        <w:tabs>
          <w:tab w:val="clear" w:pos="1080"/>
          <w:tab w:val="num" w:pos="720"/>
        </w:tabs>
        <w:ind w:left="720"/>
        <w:jc w:val="both"/>
        <w:rPr>
          <w:rFonts w:cs="Arial"/>
          <w:szCs w:val="22"/>
          <w:lang w:val="es-ES"/>
        </w:rPr>
      </w:pPr>
      <w:r w:rsidRPr="00EB3D94">
        <w:rPr>
          <w:rFonts w:cs="Arial"/>
          <w:szCs w:val="22"/>
          <w:lang w:val="es-ES"/>
        </w:rPr>
        <w:t>Un tercer nivel de Cash-</w:t>
      </w:r>
      <w:proofErr w:type="spellStart"/>
      <w:r w:rsidRPr="00EB3D94">
        <w:rPr>
          <w:rFonts w:cs="Arial"/>
          <w:szCs w:val="22"/>
          <w:lang w:val="es-ES"/>
        </w:rPr>
        <w:t>pooling</w:t>
      </w:r>
      <w:proofErr w:type="spellEnd"/>
      <w:r w:rsidRPr="00EB3D94">
        <w:rPr>
          <w:rFonts w:cs="Arial"/>
          <w:szCs w:val="22"/>
          <w:lang w:val="es-ES"/>
        </w:rPr>
        <w:t>, que estaría asociado en el Escenario B, entre las cuentas centralizadoras de las Entidades Públicas “B” y sus cuentas operativas o los de las Entidades Públicas “C” que dependan orgánicamente.</w:t>
      </w:r>
    </w:p>
    <w:p w14:paraId="741CF1D0" w14:textId="77777777" w:rsidR="005D0042" w:rsidRPr="00EB3D94" w:rsidRDefault="005D0042" w:rsidP="00BC4866">
      <w:pPr>
        <w:tabs>
          <w:tab w:val="left" w:pos="1080"/>
        </w:tabs>
        <w:ind w:left="1080"/>
        <w:jc w:val="both"/>
        <w:rPr>
          <w:rFonts w:cs="Arial"/>
          <w:szCs w:val="22"/>
          <w:lang w:val="es-ES"/>
        </w:rPr>
      </w:pPr>
    </w:p>
    <w:p w14:paraId="1575AD87" w14:textId="5C625BE2" w:rsidR="004F1FC6" w:rsidRPr="00EB3D94" w:rsidRDefault="004F1FC6" w:rsidP="00BC4866">
      <w:pPr>
        <w:jc w:val="both"/>
        <w:outlineLvl w:val="0"/>
        <w:rPr>
          <w:lang w:val="es-ES"/>
        </w:rPr>
      </w:pPr>
      <w:r w:rsidRPr="00EB3D94">
        <w:rPr>
          <w:lang w:val="es-ES"/>
        </w:rPr>
        <w:t xml:space="preserve">Para las especificaciones que se han detallado en los puntos a), b) y c) anteriores, relativas a </w:t>
      </w:r>
      <w:r w:rsidR="00F336C7" w:rsidRPr="00EB3D94">
        <w:rPr>
          <w:lang w:val="es-ES"/>
        </w:rPr>
        <w:t>la apertura</w:t>
      </w:r>
      <w:r w:rsidRPr="00EB3D94">
        <w:rPr>
          <w:lang w:val="es-ES"/>
        </w:rPr>
        <w:t xml:space="preserve"> de cuentas,</w:t>
      </w:r>
      <w:r w:rsidR="00F336C7" w:rsidRPr="00EB3D94">
        <w:rPr>
          <w:lang w:val="es-ES"/>
        </w:rPr>
        <w:t xml:space="preserve"> apertura de </w:t>
      </w:r>
      <w:r w:rsidRPr="00EB3D94">
        <w:rPr>
          <w:lang w:val="es-ES"/>
        </w:rPr>
        <w:t>póliza y niveles de cash-</w:t>
      </w:r>
      <w:proofErr w:type="spellStart"/>
      <w:r w:rsidRPr="00EB3D94">
        <w:rPr>
          <w:lang w:val="es-ES"/>
        </w:rPr>
        <w:t>pooling</w:t>
      </w:r>
      <w:proofErr w:type="spellEnd"/>
      <w:r w:rsidRPr="00EB3D94">
        <w:rPr>
          <w:lang w:val="es-ES"/>
        </w:rPr>
        <w:t xml:space="preserve">, sólo los puntos a) y b) se refieren tanto </w:t>
      </w:r>
      <w:r w:rsidR="0089448A" w:rsidRPr="00EB3D94">
        <w:rPr>
          <w:lang w:val="es-ES"/>
        </w:rPr>
        <w:t>a</w:t>
      </w:r>
      <w:r w:rsidRPr="00EB3D94">
        <w:rPr>
          <w:lang w:val="es-ES"/>
        </w:rPr>
        <w:t>l LOT</w:t>
      </w:r>
      <w:r w:rsidR="00867C9E" w:rsidRPr="00EB3D94">
        <w:rPr>
          <w:lang w:val="es-ES"/>
        </w:rPr>
        <w:t>E</w:t>
      </w:r>
      <w:r w:rsidRPr="00EB3D94">
        <w:rPr>
          <w:lang w:val="es-ES"/>
        </w:rPr>
        <w:t xml:space="preserve"> 1 como </w:t>
      </w:r>
      <w:r w:rsidR="0089448A" w:rsidRPr="00EB3D94">
        <w:rPr>
          <w:lang w:val="es-ES"/>
        </w:rPr>
        <w:t>a</w:t>
      </w:r>
      <w:r w:rsidRPr="00EB3D94">
        <w:rPr>
          <w:lang w:val="es-ES"/>
        </w:rPr>
        <w:t>l LOT</w:t>
      </w:r>
      <w:r w:rsidR="00867C9E" w:rsidRPr="00EB3D94">
        <w:rPr>
          <w:lang w:val="es-ES"/>
        </w:rPr>
        <w:t>E</w:t>
      </w:r>
      <w:r w:rsidRPr="00EB3D94">
        <w:rPr>
          <w:lang w:val="es-ES"/>
        </w:rPr>
        <w:t xml:space="preserve"> 2. El punto c) se refiere </w:t>
      </w:r>
      <w:r w:rsidR="0089448A" w:rsidRPr="00EB3D94">
        <w:rPr>
          <w:lang w:val="es-ES"/>
        </w:rPr>
        <w:t>a</w:t>
      </w:r>
      <w:r w:rsidRPr="00EB3D94">
        <w:rPr>
          <w:lang w:val="es-ES"/>
        </w:rPr>
        <w:t>l LOT</w:t>
      </w:r>
      <w:r w:rsidR="00867C9E" w:rsidRPr="00EB3D94">
        <w:rPr>
          <w:lang w:val="es-ES"/>
        </w:rPr>
        <w:t>E</w:t>
      </w:r>
      <w:r w:rsidRPr="00EB3D94">
        <w:rPr>
          <w:lang w:val="es-ES"/>
        </w:rPr>
        <w:t xml:space="preserve"> 1. Las entidades adjudicatarias del LOT</w:t>
      </w:r>
      <w:r w:rsidR="00867C9E" w:rsidRPr="00EB3D94">
        <w:rPr>
          <w:lang w:val="es-ES"/>
        </w:rPr>
        <w:t>E</w:t>
      </w:r>
      <w:r w:rsidRPr="00EB3D94">
        <w:rPr>
          <w:lang w:val="es-ES"/>
        </w:rPr>
        <w:t xml:space="preserve"> 2 sólo </w:t>
      </w:r>
      <w:r w:rsidR="00A25938" w:rsidRPr="00EB3D94">
        <w:rPr>
          <w:lang w:val="es-ES"/>
        </w:rPr>
        <w:t xml:space="preserve">deberán </w:t>
      </w:r>
      <w:r w:rsidRPr="00EB3D94">
        <w:rPr>
          <w:lang w:val="es-ES"/>
        </w:rPr>
        <w:t>dar cobertura a un primer nivel de cash-</w:t>
      </w:r>
      <w:proofErr w:type="spellStart"/>
      <w:r w:rsidRPr="00EB3D94">
        <w:rPr>
          <w:lang w:val="es-ES"/>
        </w:rPr>
        <w:t>pooling</w:t>
      </w:r>
      <w:proofErr w:type="spellEnd"/>
      <w:r w:rsidRPr="00EB3D94">
        <w:rPr>
          <w:lang w:val="es-ES"/>
        </w:rPr>
        <w:t xml:space="preserve"> entre la </w:t>
      </w:r>
      <w:r w:rsidR="00192A34" w:rsidRPr="00EB3D94">
        <w:rPr>
          <w:lang w:val="es-ES"/>
        </w:rPr>
        <w:t xml:space="preserve">cuenta </w:t>
      </w:r>
      <w:proofErr w:type="spellStart"/>
      <w:r w:rsidR="00192A34" w:rsidRPr="00EB3D94">
        <w:rPr>
          <w:lang w:val="es-ES"/>
        </w:rPr>
        <w:t>tesorera</w:t>
      </w:r>
      <w:r w:rsidRPr="00EB3D94">
        <w:rPr>
          <w:lang w:val="es-ES"/>
        </w:rPr>
        <w:t>de</w:t>
      </w:r>
      <w:proofErr w:type="spellEnd"/>
      <w:r w:rsidRPr="00EB3D94">
        <w:rPr>
          <w:lang w:val="es-ES"/>
        </w:rPr>
        <w:t xml:space="preserve"> la Tesorería Corporativa y las cuentas operativas de cada una de las tres Entidades que gestiona directamente la propia Tesorería Corporativa y que también operan en el LOT</w:t>
      </w:r>
      <w:r w:rsidR="00867C9E" w:rsidRPr="00EB3D94">
        <w:rPr>
          <w:lang w:val="es-ES"/>
        </w:rPr>
        <w:t>E</w:t>
      </w:r>
      <w:r w:rsidRPr="00EB3D94">
        <w:rPr>
          <w:lang w:val="es-ES"/>
        </w:rPr>
        <w:t xml:space="preserve"> 2. </w:t>
      </w:r>
    </w:p>
    <w:p w14:paraId="5E8EDC59" w14:textId="77777777" w:rsidR="00826311" w:rsidRPr="00EB3D94" w:rsidRDefault="00826311" w:rsidP="00BC4866">
      <w:pPr>
        <w:jc w:val="both"/>
        <w:outlineLvl w:val="0"/>
        <w:rPr>
          <w:lang w:val="es-ES"/>
        </w:rPr>
      </w:pPr>
    </w:p>
    <w:p w14:paraId="29A8270A" w14:textId="78AFDB35" w:rsidR="00826311" w:rsidRPr="00EB3D94" w:rsidRDefault="00826311" w:rsidP="00BC4866">
      <w:pPr>
        <w:jc w:val="both"/>
        <w:outlineLvl w:val="0"/>
        <w:rPr>
          <w:lang w:val="es-ES"/>
        </w:rPr>
      </w:pPr>
      <w:r w:rsidRPr="00EB3D94">
        <w:rPr>
          <w:szCs w:val="22"/>
          <w:lang w:val="es-ES"/>
        </w:rPr>
        <w:t xml:space="preserve">En caso de que una entidad sea adjudicataria de los dos lotes, sólo abrirá una única </w:t>
      </w:r>
      <w:r w:rsidR="00192A34" w:rsidRPr="00EB3D94">
        <w:rPr>
          <w:szCs w:val="22"/>
          <w:lang w:val="es-ES"/>
        </w:rPr>
        <w:t xml:space="preserve">cuenta </w:t>
      </w:r>
      <w:proofErr w:type="spellStart"/>
      <w:r w:rsidR="00192A34" w:rsidRPr="00EB3D94">
        <w:rPr>
          <w:szCs w:val="22"/>
          <w:lang w:val="es-ES"/>
        </w:rPr>
        <w:t>tesorera</w:t>
      </w:r>
      <w:r w:rsidRPr="00EB3D94">
        <w:rPr>
          <w:szCs w:val="22"/>
          <w:lang w:val="es-ES"/>
        </w:rPr>
        <w:t>y</w:t>
      </w:r>
      <w:proofErr w:type="spellEnd"/>
      <w:r w:rsidRPr="00EB3D94">
        <w:rPr>
          <w:szCs w:val="22"/>
          <w:lang w:val="es-ES"/>
        </w:rPr>
        <w:t xml:space="preserve"> una única cuenta para cada una de las entidades que gestiona la Tesorería Corporativa (Generalitat-ámbito departamental, Servicio Catalán de la Salud e Instituto Català de la </w:t>
      </w:r>
      <w:proofErr w:type="spellStart"/>
      <w:r w:rsidRPr="00EB3D94">
        <w:rPr>
          <w:szCs w:val="22"/>
          <w:lang w:val="es-ES"/>
        </w:rPr>
        <w:t>Salut</w:t>
      </w:r>
      <w:proofErr w:type="spellEnd"/>
      <w:r w:rsidRPr="00EB3D94">
        <w:rPr>
          <w:szCs w:val="22"/>
          <w:lang w:val="es-ES"/>
        </w:rPr>
        <w:t>). El coste de mantenimiento para estas cuatro cuentas será el menor de los ofertados en los dos lotes.</w:t>
      </w:r>
    </w:p>
    <w:p w14:paraId="32EE62E8" w14:textId="77777777" w:rsidR="00826311" w:rsidRPr="00EB3D94" w:rsidRDefault="00826311" w:rsidP="00BC4866">
      <w:pPr>
        <w:outlineLvl w:val="0"/>
        <w:rPr>
          <w:rFonts w:cs="Arial"/>
          <w:i/>
          <w:szCs w:val="22"/>
          <w:lang w:val="es-ES"/>
        </w:rPr>
      </w:pPr>
    </w:p>
    <w:p w14:paraId="7E552190" w14:textId="77777777" w:rsidR="00844C2D" w:rsidRPr="00EB3D94" w:rsidRDefault="005D0042" w:rsidP="00BC4866">
      <w:pPr>
        <w:outlineLvl w:val="0"/>
        <w:rPr>
          <w:rFonts w:cs="Arial"/>
          <w:szCs w:val="22"/>
          <w:lang w:val="es-ES"/>
        </w:rPr>
      </w:pPr>
      <w:r w:rsidRPr="00EB3D94">
        <w:rPr>
          <w:rFonts w:cs="Arial"/>
          <w:i/>
          <w:szCs w:val="22"/>
          <w:lang w:val="es-ES"/>
        </w:rPr>
        <w:t xml:space="preserve">2) </w:t>
      </w:r>
      <w:r w:rsidR="00E757F4" w:rsidRPr="00EB3D94">
        <w:rPr>
          <w:rFonts w:cs="Arial"/>
          <w:i/>
          <w:szCs w:val="22"/>
          <w:u w:val="single"/>
          <w:lang w:val="es-ES"/>
        </w:rPr>
        <w:t>Operativa</w:t>
      </w:r>
    </w:p>
    <w:p w14:paraId="22F595DD" w14:textId="77777777" w:rsidR="00844C2D" w:rsidRPr="00EB3D94" w:rsidRDefault="00844C2D" w:rsidP="00BC4866">
      <w:pPr>
        <w:outlineLvl w:val="0"/>
        <w:rPr>
          <w:rFonts w:cs="Arial"/>
          <w:szCs w:val="22"/>
          <w:lang w:val="es-ES"/>
        </w:rPr>
      </w:pPr>
    </w:p>
    <w:p w14:paraId="4282FF33" w14:textId="77777777" w:rsidR="00E757F4" w:rsidRPr="00EB3D94" w:rsidRDefault="00E757F4" w:rsidP="00BC4866">
      <w:pPr>
        <w:jc w:val="both"/>
        <w:rPr>
          <w:lang w:val="es-ES"/>
        </w:rPr>
      </w:pPr>
      <w:r w:rsidRPr="00EB3D94">
        <w:rPr>
          <w:lang w:val="es-ES"/>
        </w:rPr>
        <w:t>La operativa de tesorería de la Tesorería Corporativa y de las Entidades Públicas adheridas al cash-</w:t>
      </w:r>
      <w:proofErr w:type="spellStart"/>
      <w:r w:rsidRPr="00EB3D94">
        <w:rPr>
          <w:lang w:val="es-ES"/>
        </w:rPr>
        <w:t>pooling</w:t>
      </w:r>
      <w:proofErr w:type="spellEnd"/>
      <w:r w:rsidRPr="00EB3D94">
        <w:rPr>
          <w:lang w:val="es-ES"/>
        </w:rPr>
        <w:t xml:space="preserve">, tiene un volumen estimado de transacciones anual de </w:t>
      </w:r>
      <w:r w:rsidR="00826311" w:rsidRPr="00EB3D94">
        <w:rPr>
          <w:lang w:val="es-ES"/>
        </w:rPr>
        <w:t>4</w:t>
      </w:r>
      <w:r w:rsidR="00CA7FC3" w:rsidRPr="00EB3D94">
        <w:rPr>
          <w:lang w:val="es-ES"/>
        </w:rPr>
        <w:t>5</w:t>
      </w:r>
      <w:r w:rsidR="00826311" w:rsidRPr="00EB3D94">
        <w:rPr>
          <w:lang w:val="es-ES"/>
        </w:rPr>
        <w:t>.000</w:t>
      </w:r>
      <w:r w:rsidRPr="00EB3D94">
        <w:rPr>
          <w:lang w:val="es-ES"/>
        </w:rPr>
        <w:t xml:space="preserve"> millones de euros.</w:t>
      </w:r>
    </w:p>
    <w:p w14:paraId="36851F0B" w14:textId="77777777" w:rsidR="00E757F4" w:rsidRPr="00EB3D94" w:rsidRDefault="00E757F4" w:rsidP="00BC4866">
      <w:pPr>
        <w:jc w:val="both"/>
        <w:rPr>
          <w:rFonts w:cs="Arial"/>
          <w:szCs w:val="22"/>
          <w:lang w:val="es-ES"/>
        </w:rPr>
      </w:pPr>
    </w:p>
    <w:p w14:paraId="2C04C8D5" w14:textId="38B6F358" w:rsidR="00844C2D" w:rsidRPr="00EB3D94" w:rsidRDefault="00844C2D" w:rsidP="00BC4866">
      <w:pPr>
        <w:jc w:val="both"/>
        <w:rPr>
          <w:rFonts w:cs="Arial"/>
          <w:szCs w:val="22"/>
          <w:lang w:val="es-ES"/>
        </w:rPr>
      </w:pPr>
      <w:r w:rsidRPr="00EB3D94">
        <w:rPr>
          <w:rFonts w:cs="Arial"/>
          <w:szCs w:val="22"/>
          <w:lang w:val="es-ES"/>
        </w:rPr>
        <w:t xml:space="preserve">Las Entidades Financieras </w:t>
      </w:r>
      <w:r w:rsidR="00A25938" w:rsidRPr="00EB3D94">
        <w:rPr>
          <w:rFonts w:cs="Arial"/>
          <w:szCs w:val="22"/>
          <w:lang w:val="es-ES"/>
        </w:rPr>
        <w:t xml:space="preserve">deberán </w:t>
      </w:r>
      <w:r w:rsidRPr="00EB3D94">
        <w:rPr>
          <w:rFonts w:cs="Arial"/>
          <w:szCs w:val="22"/>
          <w:lang w:val="es-ES"/>
        </w:rPr>
        <w:t xml:space="preserve">poner a disposición de la Tesorería Corporativa y de las Entidades Públicas, para sus cuentas operativas, todas las modalidades de pago y cobro disponibles </w:t>
      </w:r>
      <w:r w:rsidR="00E757F4" w:rsidRPr="00EB3D94">
        <w:rPr>
          <w:rFonts w:cs="Arial"/>
          <w:szCs w:val="22"/>
          <w:lang w:val="es-ES"/>
        </w:rPr>
        <w:t>que a continuación se detallan</w:t>
      </w:r>
      <w:r w:rsidRPr="00EB3D94">
        <w:rPr>
          <w:rFonts w:cs="Arial"/>
          <w:szCs w:val="22"/>
          <w:lang w:val="es-ES"/>
        </w:rPr>
        <w:t>:</w:t>
      </w:r>
    </w:p>
    <w:p w14:paraId="4E995311" w14:textId="77777777" w:rsidR="00844C2D" w:rsidRPr="00EB3D94" w:rsidRDefault="00844C2D" w:rsidP="00BC4866">
      <w:pPr>
        <w:jc w:val="both"/>
        <w:rPr>
          <w:rFonts w:cs="Arial"/>
          <w:szCs w:val="22"/>
          <w:lang w:val="es-ES"/>
        </w:rPr>
      </w:pPr>
    </w:p>
    <w:p w14:paraId="6B149C26" w14:textId="77777777" w:rsidR="00E757F4" w:rsidRPr="00EB3D94" w:rsidRDefault="00E757F4" w:rsidP="00BC4866">
      <w:pPr>
        <w:pStyle w:val="Pargrafdellista"/>
        <w:numPr>
          <w:ilvl w:val="0"/>
          <w:numId w:val="39"/>
        </w:numPr>
        <w:spacing w:after="4" w:line="250" w:lineRule="auto"/>
        <w:ind w:left="360"/>
        <w:contextualSpacing/>
        <w:jc w:val="both"/>
        <w:rPr>
          <w:lang w:val="es-ES"/>
        </w:rPr>
      </w:pPr>
      <w:r w:rsidRPr="00EB3D94">
        <w:rPr>
          <w:i/>
          <w:u w:val="single"/>
          <w:lang w:val="es-ES"/>
        </w:rPr>
        <w:t>Pagos</w:t>
      </w:r>
      <w:r w:rsidRPr="00EB3D94">
        <w:rPr>
          <w:lang w:val="es-ES"/>
        </w:rPr>
        <w:t xml:space="preserve">: Cheques, Cartas-Cheque, Cartas-Pagarés, Transferencias, Pagarés, Cheques bancarios, Tarjetas, </w:t>
      </w:r>
      <w:proofErr w:type="spellStart"/>
      <w:r w:rsidRPr="00EB3D94">
        <w:rPr>
          <w:lang w:val="es-ES"/>
        </w:rPr>
        <w:t>Teletac</w:t>
      </w:r>
      <w:proofErr w:type="spellEnd"/>
      <w:r w:rsidRPr="00EB3D94">
        <w:rPr>
          <w:lang w:val="es-ES"/>
        </w:rPr>
        <w:t>/Vía-T, Pagos nómina, Traspasos, Transferencias vía Banco de España</w:t>
      </w:r>
      <w:r w:rsidR="00F336C7" w:rsidRPr="00EB3D94">
        <w:rPr>
          <w:lang w:val="es-ES"/>
        </w:rPr>
        <w:t xml:space="preserve"> para </w:t>
      </w:r>
      <w:r w:rsidRPr="00EB3D94">
        <w:rPr>
          <w:vanish/>
          <w:lang w:val="es-ES"/>
        </w:rPr>
        <w:t>&lt;A[para|por]&gt;</w:t>
      </w:r>
      <w:r w:rsidRPr="00EB3D94">
        <w:rPr>
          <w:lang w:val="es-ES"/>
        </w:rPr>
        <w:t>OMF o asimilables.</w:t>
      </w:r>
    </w:p>
    <w:p w14:paraId="10B74A01" w14:textId="77777777" w:rsidR="00E757F4" w:rsidRPr="00EB3D94" w:rsidRDefault="00E757F4" w:rsidP="00BC4866">
      <w:pPr>
        <w:pStyle w:val="Pargrafdellista"/>
        <w:numPr>
          <w:ilvl w:val="0"/>
          <w:numId w:val="39"/>
        </w:numPr>
        <w:spacing w:after="4" w:line="250" w:lineRule="auto"/>
        <w:ind w:left="360"/>
        <w:contextualSpacing/>
        <w:jc w:val="both"/>
        <w:rPr>
          <w:lang w:val="es-ES"/>
        </w:rPr>
      </w:pPr>
      <w:r w:rsidRPr="00EB3D94">
        <w:rPr>
          <w:i/>
          <w:u w:val="single"/>
          <w:lang w:val="es-ES"/>
        </w:rPr>
        <w:t>Pagos Internacionales</w:t>
      </w:r>
      <w:r w:rsidRPr="00EB3D94">
        <w:rPr>
          <w:lang w:val="es-ES"/>
        </w:rPr>
        <w:t>: Transferencias, Cheques, Remitidas de importación, Créditos documentarios, Seguros de cambio.</w:t>
      </w:r>
    </w:p>
    <w:p w14:paraId="629EC6ED" w14:textId="77777777" w:rsidR="00E757F4" w:rsidRPr="00EB3D94" w:rsidRDefault="00E757F4" w:rsidP="00BC4866">
      <w:pPr>
        <w:pStyle w:val="Pargrafdellista"/>
        <w:numPr>
          <w:ilvl w:val="0"/>
          <w:numId w:val="39"/>
        </w:numPr>
        <w:spacing w:after="4" w:line="250" w:lineRule="auto"/>
        <w:ind w:left="360"/>
        <w:contextualSpacing/>
        <w:jc w:val="both"/>
        <w:rPr>
          <w:lang w:val="es-ES"/>
        </w:rPr>
      </w:pPr>
      <w:r w:rsidRPr="00EB3D94">
        <w:rPr>
          <w:i/>
          <w:u w:val="single"/>
          <w:lang w:val="es-ES"/>
        </w:rPr>
        <w:t>Cobros</w:t>
      </w:r>
      <w:r w:rsidRPr="00EB3D94">
        <w:rPr>
          <w:lang w:val="es-ES"/>
        </w:rPr>
        <w:t>: Recibos, Tarjetas, Pagarés, Cheques, Domiciliaciones, Domiciliaciones a Entidades Públicas incluidas en el Cash-</w:t>
      </w:r>
      <w:proofErr w:type="spellStart"/>
      <w:r w:rsidRPr="00EB3D94">
        <w:rPr>
          <w:lang w:val="es-ES"/>
        </w:rPr>
        <w:t>pooling</w:t>
      </w:r>
      <w:proofErr w:type="spellEnd"/>
      <w:r w:rsidRPr="00EB3D94">
        <w:rPr>
          <w:lang w:val="es-ES"/>
        </w:rPr>
        <w:t>, ingresos en concepto de recogida de efectivo.</w:t>
      </w:r>
    </w:p>
    <w:p w14:paraId="004265A4" w14:textId="77777777" w:rsidR="00E757F4" w:rsidRPr="00EB3D94" w:rsidRDefault="00E757F4" w:rsidP="00BC4866">
      <w:pPr>
        <w:pStyle w:val="Pargrafdellista"/>
        <w:numPr>
          <w:ilvl w:val="0"/>
          <w:numId w:val="39"/>
        </w:numPr>
        <w:spacing w:after="4" w:line="250" w:lineRule="auto"/>
        <w:ind w:left="360"/>
        <w:contextualSpacing/>
        <w:jc w:val="both"/>
        <w:rPr>
          <w:lang w:val="es-ES"/>
        </w:rPr>
      </w:pPr>
      <w:r w:rsidRPr="00EB3D94">
        <w:rPr>
          <w:i/>
          <w:u w:val="single"/>
          <w:lang w:val="es-ES"/>
        </w:rPr>
        <w:t>Cobros Internacionales</w:t>
      </w:r>
      <w:r w:rsidRPr="00EB3D94">
        <w:rPr>
          <w:lang w:val="es-ES"/>
        </w:rPr>
        <w:t>: Remesas de exportación, Créditos documentarios, Ingreso de Cheques, Transferencias.</w:t>
      </w:r>
    </w:p>
    <w:p w14:paraId="0E41FB81" w14:textId="77777777" w:rsidR="00E757F4" w:rsidRPr="00EB3D94" w:rsidRDefault="00E757F4" w:rsidP="00BC4866">
      <w:pPr>
        <w:pStyle w:val="Pargrafdellista"/>
        <w:numPr>
          <w:ilvl w:val="0"/>
          <w:numId w:val="39"/>
        </w:numPr>
        <w:spacing w:after="4" w:line="250" w:lineRule="auto"/>
        <w:ind w:left="360"/>
        <w:contextualSpacing/>
        <w:jc w:val="both"/>
        <w:rPr>
          <w:lang w:val="es-ES"/>
        </w:rPr>
      </w:pPr>
      <w:r w:rsidRPr="00EB3D94">
        <w:rPr>
          <w:i/>
          <w:u w:val="single"/>
          <w:lang w:val="es-ES"/>
        </w:rPr>
        <w:t>Productos especiales</w:t>
      </w:r>
      <w:r w:rsidRPr="00EB3D94">
        <w:rPr>
          <w:lang w:val="es-ES"/>
        </w:rPr>
        <w:t>: Remuneración de impuestos y seguros sociales, avales definidos a menos de un año.</w:t>
      </w:r>
    </w:p>
    <w:p w14:paraId="145A3CD0" w14:textId="77777777" w:rsidR="00844C2D" w:rsidRPr="00EB3D94" w:rsidRDefault="00844C2D" w:rsidP="00BC4866">
      <w:pPr>
        <w:jc w:val="both"/>
        <w:rPr>
          <w:rFonts w:cs="Arial"/>
          <w:szCs w:val="22"/>
          <w:lang w:val="es-ES"/>
        </w:rPr>
      </w:pPr>
    </w:p>
    <w:p w14:paraId="64DBBB34" w14:textId="77777777" w:rsidR="00DD1E11" w:rsidRPr="00EB3D94" w:rsidRDefault="00DD1E11" w:rsidP="00BC4866">
      <w:pPr>
        <w:jc w:val="both"/>
        <w:rPr>
          <w:lang w:val="es-ES"/>
        </w:rPr>
      </w:pPr>
      <w:r w:rsidRPr="00EB3D94">
        <w:rPr>
          <w:lang w:val="es-ES"/>
        </w:rPr>
        <w:t>Se incluyen dentro del concepto de "</w:t>
      </w:r>
      <w:r w:rsidRPr="00EB3D94">
        <w:rPr>
          <w:b/>
          <w:bCs/>
          <w:lang w:val="es-ES"/>
        </w:rPr>
        <w:t>Oper</w:t>
      </w:r>
      <w:r w:rsidRPr="00EB3D94">
        <w:rPr>
          <w:b/>
          <w:lang w:val="es-ES"/>
        </w:rPr>
        <w:t>ativa transaccional”</w:t>
      </w:r>
      <w:r w:rsidRPr="00EB3D94">
        <w:rPr>
          <w:lang w:val="es-ES"/>
        </w:rPr>
        <w:t xml:space="preserve"> los siguientes: Transferencias SEPA, emisión de cheques bancarios, pagos de nóminas, traspasos, transferencias vía Banc</w:t>
      </w:r>
      <w:r w:rsidR="00F336C7" w:rsidRPr="00EB3D94">
        <w:rPr>
          <w:lang w:val="es-ES"/>
        </w:rPr>
        <w:t>o</w:t>
      </w:r>
      <w:r w:rsidRPr="00EB3D94">
        <w:rPr>
          <w:lang w:val="es-ES"/>
        </w:rPr>
        <w:t xml:space="preserve"> de España</w:t>
      </w:r>
      <w:r w:rsidR="00F336C7" w:rsidRPr="00EB3D94">
        <w:rPr>
          <w:lang w:val="es-ES"/>
        </w:rPr>
        <w:t xml:space="preserve"> para </w:t>
      </w:r>
      <w:r w:rsidRPr="00EB3D94">
        <w:rPr>
          <w:lang w:val="es-ES"/>
        </w:rPr>
        <w:t xml:space="preserve">OMF o asimilables. No se podrá aplicar ningún cargo en las cuentas operativas de las Entidades Públicas excepto los que pueda ocasionar la operativa con el extranjero y los cobros por tarjeta que supongan un cargo adicional para las Entidades Financieras, o los que estén claramente especificados en la oferta de las Entidades Financieras, según la estructura de los </w:t>
      </w:r>
      <w:r w:rsidR="00E3167A" w:rsidRPr="00EB3D94">
        <w:rPr>
          <w:lang w:val="es-ES"/>
        </w:rPr>
        <w:t>anexos 3.1 y 3.2</w:t>
      </w:r>
      <w:r w:rsidRPr="00EB3D94">
        <w:rPr>
          <w:lang w:val="es-ES"/>
        </w:rPr>
        <w:t>. Para todas aquellas operaciones no indicadas en este punto o que no figuren en los mencionados anexos, se negociará en cada caso en función de las especificidades de la entidad pública correspondiente.</w:t>
      </w:r>
    </w:p>
    <w:p w14:paraId="5CA99C67" w14:textId="77777777" w:rsidR="00844C2D" w:rsidRPr="00EB3D94" w:rsidRDefault="00844C2D" w:rsidP="00BC4866">
      <w:pPr>
        <w:jc w:val="both"/>
        <w:rPr>
          <w:rFonts w:cs="Arial"/>
          <w:szCs w:val="22"/>
          <w:lang w:val="es-ES"/>
        </w:rPr>
      </w:pPr>
    </w:p>
    <w:p w14:paraId="71E1F7A7" w14:textId="77777777" w:rsidR="005D0042" w:rsidRPr="00EB3D94" w:rsidRDefault="00844C2D" w:rsidP="00BC4866">
      <w:pPr>
        <w:jc w:val="both"/>
        <w:rPr>
          <w:rFonts w:cs="Arial"/>
          <w:szCs w:val="22"/>
          <w:lang w:val="es-ES"/>
        </w:rPr>
      </w:pPr>
      <w:r w:rsidRPr="00EB3D94">
        <w:rPr>
          <w:rFonts w:cs="Arial"/>
          <w:szCs w:val="22"/>
          <w:lang w:val="es-ES"/>
        </w:rPr>
        <w:t xml:space="preserve">Las transacciones de cualquier tipo dentro de la misma Entidad Financiera o fuera de la misma pero dentro de las entidades adjudicatarias, se valorarán a fecha de ordenación de la operación, tanto en la cuenta emisora como en la cuenta receptora. </w:t>
      </w:r>
    </w:p>
    <w:p w14:paraId="04E6B284" w14:textId="77777777" w:rsidR="00CA7FC3" w:rsidRPr="00EB3D94" w:rsidRDefault="00CA7FC3" w:rsidP="00BC4866">
      <w:pPr>
        <w:jc w:val="both"/>
        <w:rPr>
          <w:rFonts w:cs="Arial"/>
          <w:szCs w:val="22"/>
          <w:lang w:val="es-ES"/>
        </w:rPr>
      </w:pPr>
    </w:p>
    <w:p w14:paraId="215B1459" w14:textId="10D2AC0B" w:rsidR="00CA7FC3" w:rsidRPr="00EB3D94" w:rsidRDefault="00CA7FC3" w:rsidP="00CA7FC3">
      <w:pPr>
        <w:jc w:val="both"/>
        <w:rPr>
          <w:rFonts w:cs="Arial"/>
          <w:szCs w:val="22"/>
          <w:lang w:val="es-ES"/>
        </w:rPr>
      </w:pPr>
      <w:r w:rsidRPr="00EB3D94">
        <w:rPr>
          <w:rFonts w:cs="Arial"/>
          <w:szCs w:val="22"/>
          <w:lang w:val="es-ES"/>
        </w:rPr>
        <w:t xml:space="preserve">En cumplimiento de los artículos 5 ter, 5 </w:t>
      </w:r>
      <w:proofErr w:type="spellStart"/>
      <w:r w:rsidRPr="00EB3D94">
        <w:rPr>
          <w:rFonts w:cs="Arial"/>
          <w:szCs w:val="22"/>
          <w:lang w:val="es-ES"/>
        </w:rPr>
        <w:t>quater</w:t>
      </w:r>
      <w:proofErr w:type="spellEnd"/>
      <w:r w:rsidRPr="00EB3D94">
        <w:rPr>
          <w:rFonts w:cs="Arial"/>
          <w:szCs w:val="22"/>
          <w:lang w:val="es-ES"/>
        </w:rPr>
        <w:t xml:space="preserve"> y concordantes del REGLAMENTO (UE) 2024/886 DEL PARLAMENTO EUROPEO I DEL CONSEJO de 13 de marzo de 2024</w:t>
      </w:r>
      <w:r w:rsidR="00F336C7" w:rsidRPr="00EB3D94">
        <w:rPr>
          <w:rFonts w:cs="Arial"/>
          <w:szCs w:val="22"/>
          <w:lang w:val="es-ES"/>
        </w:rPr>
        <w:t xml:space="preserve"> por el que </w:t>
      </w:r>
      <w:r w:rsidRPr="00EB3D94">
        <w:rPr>
          <w:rFonts w:cs="Arial"/>
          <w:szCs w:val="22"/>
          <w:lang w:val="es-ES"/>
        </w:rPr>
        <w:t xml:space="preserve">se modifican los Reglamentos (UE) </w:t>
      </w:r>
      <w:proofErr w:type="spellStart"/>
      <w:r w:rsidRPr="00EB3D94">
        <w:rPr>
          <w:rFonts w:cs="Arial"/>
          <w:szCs w:val="22"/>
          <w:lang w:val="es-ES"/>
        </w:rPr>
        <w:t>nº</w:t>
      </w:r>
      <w:proofErr w:type="spellEnd"/>
      <w:r w:rsidRPr="00EB3D94">
        <w:rPr>
          <w:rFonts w:cs="Arial"/>
          <w:szCs w:val="22"/>
          <w:lang w:val="es-ES"/>
        </w:rPr>
        <w:t xml:space="preserve"> 260/2012 y (UE) 2021/1230 y las Directivas 98/26/CE y (UE) 2015/2366 con respecto a las transferencias inmediatas en euros, el proveedor de servicios de pago del ordenante (entidad financiera) </w:t>
      </w:r>
      <w:r w:rsidR="00982820" w:rsidRPr="00EB3D94">
        <w:rPr>
          <w:rFonts w:cs="Arial"/>
          <w:szCs w:val="22"/>
          <w:lang w:val="es-ES"/>
        </w:rPr>
        <w:t xml:space="preserve">debe </w:t>
      </w:r>
      <w:r w:rsidRPr="00EB3D94">
        <w:rPr>
          <w:rFonts w:cs="Arial"/>
          <w:szCs w:val="22"/>
          <w:lang w:val="es-ES"/>
        </w:rPr>
        <w:t xml:space="preserve">ofrecer un servicio de garantía de la verificación del beneficiario en el cual el ordenante tenga la intención de enviar una transferencia (servicio de garantía de la verificación). </w:t>
      </w:r>
    </w:p>
    <w:p w14:paraId="3E285C1F" w14:textId="77777777" w:rsidR="00CA7FC3" w:rsidRPr="00EB3D94" w:rsidRDefault="00CA7FC3" w:rsidP="00BC4866">
      <w:pPr>
        <w:jc w:val="both"/>
        <w:rPr>
          <w:rFonts w:cs="Arial"/>
          <w:szCs w:val="22"/>
          <w:lang w:val="es-ES"/>
        </w:rPr>
      </w:pPr>
    </w:p>
    <w:p w14:paraId="2D62D72C" w14:textId="77777777" w:rsidR="00844C2D" w:rsidRPr="00EB3D94" w:rsidRDefault="005D0042" w:rsidP="00BC4866">
      <w:pPr>
        <w:outlineLvl w:val="0"/>
        <w:rPr>
          <w:rFonts w:cs="Arial"/>
          <w:i/>
          <w:szCs w:val="22"/>
          <w:u w:val="single"/>
          <w:lang w:val="es-ES"/>
        </w:rPr>
      </w:pPr>
      <w:r w:rsidRPr="00EB3D94">
        <w:rPr>
          <w:rFonts w:cs="Arial"/>
          <w:i/>
          <w:szCs w:val="22"/>
          <w:lang w:val="es-ES"/>
        </w:rPr>
        <w:t xml:space="preserve">3) </w:t>
      </w:r>
      <w:r w:rsidR="00DD1E11" w:rsidRPr="00EB3D94">
        <w:rPr>
          <w:rFonts w:cs="Arial"/>
          <w:i/>
          <w:szCs w:val="22"/>
          <w:u w:val="single"/>
          <w:lang w:val="es-ES"/>
        </w:rPr>
        <w:t>Operativa de l</w:t>
      </w:r>
      <w:r w:rsidR="00844C2D" w:rsidRPr="00EB3D94">
        <w:rPr>
          <w:rFonts w:cs="Arial"/>
          <w:i/>
          <w:szCs w:val="22"/>
          <w:u w:val="single"/>
          <w:lang w:val="es-ES"/>
        </w:rPr>
        <w:t xml:space="preserve">ímites, </w:t>
      </w:r>
      <w:r w:rsidR="00CA7FC3" w:rsidRPr="00EB3D94">
        <w:rPr>
          <w:rFonts w:cs="Arial"/>
          <w:i/>
          <w:szCs w:val="22"/>
          <w:u w:val="single"/>
          <w:lang w:val="es-ES"/>
        </w:rPr>
        <w:t>línea de crédito y arrastre</w:t>
      </w:r>
      <w:r w:rsidR="00844C2D" w:rsidRPr="00EB3D94">
        <w:rPr>
          <w:rFonts w:cs="Arial"/>
          <w:i/>
          <w:szCs w:val="22"/>
          <w:u w:val="single"/>
          <w:lang w:val="es-ES"/>
        </w:rPr>
        <w:t xml:space="preserve"> </w:t>
      </w:r>
    </w:p>
    <w:p w14:paraId="43E57885" w14:textId="77777777" w:rsidR="00844C2D" w:rsidRPr="00EB3D94" w:rsidRDefault="00844C2D" w:rsidP="00BC4866">
      <w:pPr>
        <w:jc w:val="both"/>
        <w:rPr>
          <w:rFonts w:cs="Arial"/>
          <w:szCs w:val="22"/>
          <w:lang w:val="es-ES"/>
        </w:rPr>
      </w:pPr>
    </w:p>
    <w:p w14:paraId="554D4F5F" w14:textId="77777777" w:rsidR="00DD1E11" w:rsidRPr="00EB3D94" w:rsidRDefault="00DD1E11" w:rsidP="00BC4866">
      <w:pPr>
        <w:jc w:val="both"/>
        <w:rPr>
          <w:rFonts w:cs="Arial"/>
          <w:szCs w:val="22"/>
          <w:lang w:val="es-ES"/>
        </w:rPr>
      </w:pPr>
      <w:r w:rsidRPr="00EB3D94">
        <w:rPr>
          <w:rFonts w:cs="Arial"/>
          <w:szCs w:val="22"/>
          <w:lang w:val="es-ES"/>
        </w:rPr>
        <w:t xml:space="preserve">La operativa de los límites, de la </w:t>
      </w:r>
      <w:r w:rsidR="00CA7FC3" w:rsidRPr="00EB3D94">
        <w:rPr>
          <w:rFonts w:cs="Arial"/>
          <w:szCs w:val="22"/>
          <w:lang w:val="es-ES"/>
        </w:rPr>
        <w:t xml:space="preserve">línea de crédito </w:t>
      </w:r>
      <w:r w:rsidRPr="00EB3D94">
        <w:rPr>
          <w:rFonts w:cs="Arial"/>
          <w:szCs w:val="22"/>
          <w:lang w:val="es-ES"/>
        </w:rPr>
        <w:t>y de los arrastres diarios consiste en:</w:t>
      </w:r>
    </w:p>
    <w:p w14:paraId="11EACD2D" w14:textId="77777777" w:rsidR="00DD1E11" w:rsidRPr="00EB3D94" w:rsidRDefault="00DD1E11" w:rsidP="00BC4866">
      <w:pPr>
        <w:jc w:val="both"/>
        <w:rPr>
          <w:rFonts w:cs="Arial"/>
          <w:szCs w:val="22"/>
          <w:lang w:val="es-ES"/>
        </w:rPr>
      </w:pPr>
    </w:p>
    <w:p w14:paraId="77CDECC5" w14:textId="77777777" w:rsidR="00844C2D" w:rsidRPr="00EB3D94" w:rsidRDefault="00844C2D" w:rsidP="00BC4866">
      <w:pPr>
        <w:numPr>
          <w:ilvl w:val="0"/>
          <w:numId w:val="36"/>
        </w:numPr>
        <w:jc w:val="both"/>
        <w:rPr>
          <w:rFonts w:cs="Arial"/>
          <w:szCs w:val="22"/>
          <w:lang w:val="es-ES"/>
        </w:rPr>
      </w:pPr>
      <w:r w:rsidRPr="00EB3D94">
        <w:rPr>
          <w:rFonts w:cs="Arial"/>
          <w:szCs w:val="22"/>
          <w:lang w:val="es-ES"/>
        </w:rPr>
        <w:t>Carga semanal de los límites operativos diarios para cada cuenta operativa.</w:t>
      </w:r>
    </w:p>
    <w:p w14:paraId="32012EF6" w14:textId="77777777" w:rsidR="00844C2D" w:rsidRPr="00EB3D94" w:rsidRDefault="00844C2D" w:rsidP="00BC4866">
      <w:pPr>
        <w:numPr>
          <w:ilvl w:val="0"/>
          <w:numId w:val="4"/>
        </w:numPr>
        <w:jc w:val="both"/>
        <w:rPr>
          <w:rFonts w:cs="Arial"/>
          <w:szCs w:val="22"/>
          <w:lang w:val="es-ES"/>
        </w:rPr>
      </w:pPr>
      <w:r w:rsidRPr="00EB3D94">
        <w:rPr>
          <w:rFonts w:cs="Arial"/>
          <w:szCs w:val="22"/>
          <w:lang w:val="es-ES"/>
        </w:rPr>
        <w:t>La Tesorería Corporativa calculará semanalmente los límites operativos de la cuenta operativa de cada Entidad Pública. Una vez determinados estos límites, los enviará a las Entidades Financieras de Cash-</w:t>
      </w:r>
      <w:proofErr w:type="spellStart"/>
      <w:r w:rsidRPr="00EB3D94">
        <w:rPr>
          <w:rFonts w:cs="Arial"/>
          <w:szCs w:val="22"/>
          <w:lang w:val="es-ES"/>
        </w:rPr>
        <w:t>pooling</w:t>
      </w:r>
      <w:proofErr w:type="spellEnd"/>
      <w:r w:rsidRPr="00EB3D94">
        <w:rPr>
          <w:rFonts w:cs="Arial"/>
          <w:szCs w:val="22"/>
          <w:lang w:val="es-ES"/>
        </w:rPr>
        <w:t xml:space="preserve"> dentro de los dos últimos días hábiles de la semana.</w:t>
      </w:r>
    </w:p>
    <w:p w14:paraId="727374B2" w14:textId="77777777" w:rsidR="00844C2D" w:rsidRPr="00EB3D94" w:rsidRDefault="00844C2D" w:rsidP="00BC4866">
      <w:pPr>
        <w:jc w:val="both"/>
        <w:rPr>
          <w:rFonts w:cs="Arial"/>
          <w:szCs w:val="22"/>
          <w:lang w:val="es-ES"/>
        </w:rPr>
      </w:pPr>
    </w:p>
    <w:p w14:paraId="5250CEFE" w14:textId="77777777" w:rsidR="00844C2D" w:rsidRPr="00EB3D94" w:rsidRDefault="00844C2D" w:rsidP="00BC4866">
      <w:pPr>
        <w:numPr>
          <w:ilvl w:val="0"/>
          <w:numId w:val="36"/>
        </w:numPr>
        <w:jc w:val="both"/>
        <w:rPr>
          <w:rFonts w:cs="Arial"/>
          <w:szCs w:val="22"/>
          <w:lang w:val="es-ES"/>
        </w:rPr>
      </w:pPr>
      <w:r w:rsidRPr="00EB3D94">
        <w:rPr>
          <w:rFonts w:cs="Arial"/>
          <w:szCs w:val="22"/>
          <w:lang w:val="es-ES"/>
        </w:rPr>
        <w:t xml:space="preserve">Cobertura a la gestión de los límites operativos </w:t>
      </w:r>
      <w:proofErr w:type="gramStart"/>
      <w:r w:rsidRPr="00EB3D94">
        <w:rPr>
          <w:rFonts w:cs="Arial"/>
          <w:szCs w:val="22"/>
          <w:lang w:val="es-ES"/>
        </w:rPr>
        <w:t>diarios</w:t>
      </w:r>
      <w:r w:rsidR="00F336C7" w:rsidRPr="00EB3D94">
        <w:rPr>
          <w:rFonts w:cs="Arial"/>
          <w:szCs w:val="22"/>
          <w:lang w:val="es-ES"/>
        </w:rPr>
        <w:t xml:space="preserve">  para</w:t>
      </w:r>
      <w:proofErr w:type="gramEnd"/>
      <w:r w:rsidR="00F336C7" w:rsidRPr="00EB3D94">
        <w:rPr>
          <w:rFonts w:cs="Arial"/>
          <w:szCs w:val="22"/>
          <w:lang w:val="es-ES"/>
        </w:rPr>
        <w:t xml:space="preserve"> todas</w:t>
      </w:r>
      <w:r w:rsidRPr="00EB3D94">
        <w:rPr>
          <w:rFonts w:cs="Arial"/>
          <w:szCs w:val="22"/>
          <w:lang w:val="es-ES"/>
        </w:rPr>
        <w:t xml:space="preserve"> las cuentas del árbol de Cash-</w:t>
      </w:r>
      <w:proofErr w:type="spellStart"/>
      <w:r w:rsidRPr="00EB3D94">
        <w:rPr>
          <w:rFonts w:cs="Arial"/>
          <w:szCs w:val="22"/>
          <w:lang w:val="es-ES"/>
        </w:rPr>
        <w:t>pooling</w:t>
      </w:r>
      <w:proofErr w:type="spellEnd"/>
      <w:r w:rsidRPr="00EB3D94">
        <w:rPr>
          <w:rFonts w:cs="Arial"/>
          <w:szCs w:val="22"/>
          <w:lang w:val="es-ES"/>
        </w:rPr>
        <w:t xml:space="preserve">, notificadas semanalmente según el punto a) de este mismo apartado, y al </w:t>
      </w:r>
      <w:r w:rsidRPr="00EB3D94">
        <w:rPr>
          <w:rFonts w:cs="Arial"/>
          <w:szCs w:val="22"/>
          <w:lang w:val="es-ES"/>
        </w:rPr>
        <w:lastRenderedPageBreak/>
        <w:t>bloqueo de operaciones en las cuentas operativas de las Entidades Públicas,</w:t>
      </w:r>
      <w:r w:rsidR="00F336C7" w:rsidRPr="00EB3D94">
        <w:rPr>
          <w:rFonts w:cs="Arial"/>
          <w:szCs w:val="22"/>
          <w:lang w:val="es-ES"/>
        </w:rPr>
        <w:t xml:space="preserve"> cuando se </w:t>
      </w:r>
      <w:r w:rsidRPr="00EB3D94">
        <w:rPr>
          <w:rFonts w:cs="Arial"/>
          <w:szCs w:val="22"/>
          <w:lang w:val="es-ES"/>
        </w:rPr>
        <w:t>sobrepase el límite operativo fijado</w:t>
      </w:r>
      <w:r w:rsidR="00F336C7" w:rsidRPr="00EB3D94">
        <w:rPr>
          <w:rFonts w:cs="Arial"/>
          <w:szCs w:val="22"/>
          <w:lang w:val="es-ES"/>
        </w:rPr>
        <w:t xml:space="preserve"> para aquel</w:t>
      </w:r>
      <w:r w:rsidRPr="00EB3D94">
        <w:rPr>
          <w:rFonts w:cs="Arial"/>
          <w:szCs w:val="22"/>
          <w:lang w:val="es-ES"/>
        </w:rPr>
        <w:t xml:space="preserve"> día. </w:t>
      </w:r>
    </w:p>
    <w:p w14:paraId="0121C9B5" w14:textId="77777777" w:rsidR="00844C2D" w:rsidRPr="00EB3D94" w:rsidRDefault="00844C2D" w:rsidP="00BC4866">
      <w:pPr>
        <w:jc w:val="both"/>
        <w:rPr>
          <w:rFonts w:cs="Arial"/>
          <w:szCs w:val="22"/>
          <w:lang w:val="es-ES"/>
        </w:rPr>
      </w:pPr>
    </w:p>
    <w:p w14:paraId="0843D9A8" w14:textId="362B5092" w:rsidR="00EC0FCC" w:rsidRPr="00EB3D94" w:rsidRDefault="00844C2D" w:rsidP="00BC4866">
      <w:pPr>
        <w:numPr>
          <w:ilvl w:val="0"/>
          <w:numId w:val="13"/>
        </w:numPr>
        <w:tabs>
          <w:tab w:val="clear" w:pos="1080"/>
          <w:tab w:val="num" w:pos="720"/>
        </w:tabs>
        <w:ind w:left="720"/>
        <w:jc w:val="both"/>
        <w:rPr>
          <w:rFonts w:cs="Arial"/>
          <w:szCs w:val="22"/>
          <w:lang w:val="es-ES"/>
        </w:rPr>
      </w:pPr>
      <w:r w:rsidRPr="00EB3D94">
        <w:rPr>
          <w:rFonts w:cs="Arial"/>
          <w:szCs w:val="22"/>
          <w:lang w:val="es-ES"/>
        </w:rPr>
        <w:t xml:space="preserve">Las Entidades Financieras </w:t>
      </w:r>
      <w:r w:rsidR="00A25938" w:rsidRPr="00EB3D94">
        <w:rPr>
          <w:rFonts w:cs="Arial"/>
          <w:szCs w:val="22"/>
          <w:lang w:val="es-ES"/>
        </w:rPr>
        <w:t xml:space="preserve">deberán </w:t>
      </w:r>
      <w:r w:rsidRPr="00EB3D94">
        <w:rPr>
          <w:rFonts w:cs="Arial"/>
          <w:szCs w:val="22"/>
          <w:lang w:val="es-ES"/>
        </w:rPr>
        <w:t>asegurar que no se sobrepase el límite diario en las operaciones a realizar durante el día por parte de las Entidades Públicas. Por ejemplo, si una Entidad Pública excede el límite máximo operativo fijado</w:t>
      </w:r>
      <w:r w:rsidR="00A25938" w:rsidRPr="00EB3D94">
        <w:rPr>
          <w:rFonts w:cs="Arial"/>
          <w:szCs w:val="22"/>
          <w:lang w:val="es-ES"/>
        </w:rPr>
        <w:t xml:space="preserve"> para </w:t>
      </w:r>
      <w:r w:rsidRPr="00EB3D94">
        <w:rPr>
          <w:rFonts w:cs="Arial"/>
          <w:szCs w:val="22"/>
          <w:lang w:val="es-ES"/>
        </w:rPr>
        <w:t>la Tesorería Corporativa, las Entidades Financieras bloquearán la operación.</w:t>
      </w:r>
      <w:r w:rsidR="00A25938" w:rsidRPr="00EB3D94">
        <w:rPr>
          <w:rFonts w:cs="Arial"/>
          <w:szCs w:val="22"/>
          <w:lang w:val="es-ES"/>
        </w:rPr>
        <w:t xml:space="preserve"> Para e</w:t>
      </w:r>
      <w:r w:rsidRPr="00EB3D94">
        <w:rPr>
          <w:rFonts w:cs="Arial"/>
          <w:szCs w:val="22"/>
          <w:lang w:val="es-ES"/>
        </w:rPr>
        <w:t>stos casos se establecerá un protocolo de resolución de incidencias (ver el punto siguiente).</w:t>
      </w:r>
    </w:p>
    <w:p w14:paraId="2E01BEA7" w14:textId="7F528F6F" w:rsidR="00844C2D" w:rsidRPr="00EB3D94" w:rsidRDefault="00844C2D" w:rsidP="00BC4866">
      <w:pPr>
        <w:numPr>
          <w:ilvl w:val="0"/>
          <w:numId w:val="14"/>
        </w:numPr>
        <w:tabs>
          <w:tab w:val="clear" w:pos="1080"/>
          <w:tab w:val="num" w:pos="720"/>
        </w:tabs>
        <w:ind w:left="720"/>
        <w:jc w:val="both"/>
        <w:rPr>
          <w:rFonts w:cs="Arial"/>
          <w:szCs w:val="22"/>
          <w:lang w:val="es-ES"/>
        </w:rPr>
      </w:pPr>
      <w:r w:rsidRPr="00EB3D94">
        <w:rPr>
          <w:rFonts w:cs="Arial"/>
          <w:szCs w:val="22"/>
          <w:lang w:val="es-ES"/>
        </w:rPr>
        <w:t xml:space="preserve">Las Entidades Financieras </w:t>
      </w:r>
      <w:r w:rsidR="00A25938" w:rsidRPr="00EB3D94">
        <w:rPr>
          <w:rFonts w:cs="Arial"/>
          <w:szCs w:val="22"/>
          <w:lang w:val="es-ES"/>
        </w:rPr>
        <w:t xml:space="preserve">deberán </w:t>
      </w:r>
      <w:r w:rsidRPr="00EB3D94">
        <w:rPr>
          <w:rFonts w:cs="Arial"/>
          <w:szCs w:val="22"/>
          <w:lang w:val="es-ES"/>
        </w:rPr>
        <w:t>disponer de los mecanismos necesarios para modificar, de acuerdo con las directrices de la Tesorería Corporativa, los límites operativos diarios ya comunicados.</w:t>
      </w:r>
    </w:p>
    <w:p w14:paraId="13FBC9A0" w14:textId="786FE11D" w:rsidR="00844C2D" w:rsidRPr="00EB3D94" w:rsidRDefault="00844C2D" w:rsidP="00BC4866">
      <w:pPr>
        <w:numPr>
          <w:ilvl w:val="0"/>
          <w:numId w:val="14"/>
        </w:numPr>
        <w:tabs>
          <w:tab w:val="clear" w:pos="1080"/>
          <w:tab w:val="num" w:pos="720"/>
        </w:tabs>
        <w:ind w:left="720"/>
        <w:jc w:val="both"/>
        <w:rPr>
          <w:rFonts w:cs="Arial"/>
          <w:szCs w:val="22"/>
          <w:lang w:val="es-ES"/>
        </w:rPr>
      </w:pPr>
      <w:r w:rsidRPr="00EB3D94">
        <w:rPr>
          <w:rFonts w:cs="Arial"/>
          <w:szCs w:val="22"/>
          <w:lang w:val="es-ES"/>
        </w:rPr>
        <w:t xml:space="preserve">Las Entidades Financieras </w:t>
      </w:r>
      <w:r w:rsidR="00A25938" w:rsidRPr="00EB3D94">
        <w:rPr>
          <w:rFonts w:cs="Arial"/>
          <w:szCs w:val="22"/>
          <w:lang w:val="es-ES"/>
        </w:rPr>
        <w:t xml:space="preserve">deberán </w:t>
      </w:r>
      <w:r w:rsidRPr="00EB3D94">
        <w:rPr>
          <w:rFonts w:cs="Arial"/>
          <w:szCs w:val="22"/>
          <w:lang w:val="es-ES"/>
        </w:rPr>
        <w:t>asegurar en la cuenta correspondiente aquellas reservas que vengan determinadas en cumplimiento de disposiciones legales.</w:t>
      </w:r>
    </w:p>
    <w:p w14:paraId="3D72BCC1" w14:textId="0104B9E7" w:rsidR="00844C2D" w:rsidRPr="00EB3D94" w:rsidRDefault="00844C2D" w:rsidP="00BC4866">
      <w:pPr>
        <w:numPr>
          <w:ilvl w:val="0"/>
          <w:numId w:val="14"/>
        </w:numPr>
        <w:tabs>
          <w:tab w:val="clear" w:pos="1080"/>
          <w:tab w:val="num" w:pos="720"/>
        </w:tabs>
        <w:ind w:left="720"/>
        <w:jc w:val="both"/>
        <w:rPr>
          <w:rFonts w:cs="Arial"/>
          <w:szCs w:val="22"/>
          <w:lang w:val="es-ES"/>
        </w:rPr>
      </w:pPr>
      <w:r w:rsidRPr="00EB3D94">
        <w:rPr>
          <w:rFonts w:cs="Arial"/>
          <w:szCs w:val="22"/>
          <w:lang w:val="es-ES"/>
        </w:rPr>
        <w:t xml:space="preserve">Las Entidades Financieras </w:t>
      </w:r>
      <w:r w:rsidR="00A25938" w:rsidRPr="00EB3D94">
        <w:rPr>
          <w:rFonts w:cs="Arial"/>
          <w:szCs w:val="22"/>
          <w:lang w:val="es-ES"/>
        </w:rPr>
        <w:t xml:space="preserve">deberán </w:t>
      </w:r>
      <w:r w:rsidRPr="00EB3D94">
        <w:rPr>
          <w:rFonts w:cs="Arial"/>
          <w:szCs w:val="22"/>
          <w:lang w:val="es-ES"/>
        </w:rPr>
        <w:t>disponer de</w:t>
      </w:r>
      <w:r w:rsidR="00A25938" w:rsidRPr="00EB3D94">
        <w:rPr>
          <w:rFonts w:cs="Arial"/>
          <w:szCs w:val="22"/>
          <w:lang w:val="es-ES"/>
        </w:rPr>
        <w:t xml:space="preserve"> </w:t>
      </w:r>
      <w:r w:rsidRPr="00EB3D94">
        <w:rPr>
          <w:rFonts w:cs="Arial"/>
          <w:szCs w:val="22"/>
          <w:lang w:val="es-ES"/>
        </w:rPr>
        <w:t>l</w:t>
      </w:r>
      <w:r w:rsidR="00A25938" w:rsidRPr="00EB3D94">
        <w:rPr>
          <w:rFonts w:cs="Arial"/>
          <w:szCs w:val="22"/>
          <w:lang w:val="es-ES"/>
        </w:rPr>
        <w:t>os</w:t>
      </w:r>
      <w:r w:rsidRPr="00EB3D94">
        <w:rPr>
          <w:rFonts w:cs="Arial"/>
          <w:szCs w:val="22"/>
          <w:lang w:val="es-ES"/>
        </w:rPr>
        <w:t xml:space="preserve"> mecanismos necesarios para dar</w:t>
      </w:r>
      <w:r w:rsidR="00A25938" w:rsidRPr="00EB3D94">
        <w:rPr>
          <w:rFonts w:cs="Arial"/>
          <w:szCs w:val="22"/>
          <w:lang w:val="es-ES"/>
        </w:rPr>
        <w:t xml:space="preserve"> cumplimiento </w:t>
      </w:r>
      <w:r w:rsidRPr="00EB3D94">
        <w:rPr>
          <w:rFonts w:cs="Arial"/>
          <w:szCs w:val="22"/>
          <w:lang w:val="es-ES"/>
        </w:rPr>
        <w:t>a las especificidades que se determinen en los protocolos que pueden suscribirse entre la Generalitat de Catalunya y las Entidades Públicas que,</w:t>
      </w:r>
      <w:r w:rsidR="00A25938" w:rsidRPr="00EB3D94">
        <w:rPr>
          <w:rFonts w:cs="Arial"/>
          <w:szCs w:val="22"/>
          <w:lang w:val="es-ES"/>
        </w:rPr>
        <w:t xml:space="preserve"> para sus </w:t>
      </w:r>
      <w:r w:rsidRPr="00EB3D94">
        <w:rPr>
          <w:rFonts w:cs="Arial"/>
          <w:szCs w:val="22"/>
          <w:lang w:val="es-ES"/>
        </w:rPr>
        <w:t>necesidades de funcionamiento derivadas de las actividades públicas que desarrollan, se puedan requerir</w:t>
      </w:r>
      <w:r w:rsidR="00A25938" w:rsidRPr="00EB3D94">
        <w:rPr>
          <w:rFonts w:cs="Arial"/>
          <w:szCs w:val="22"/>
          <w:lang w:val="es-ES"/>
        </w:rPr>
        <w:t xml:space="preserve"> para un </w:t>
      </w:r>
      <w:r w:rsidRPr="00EB3D94">
        <w:rPr>
          <w:rFonts w:cs="Arial"/>
          <w:szCs w:val="22"/>
          <w:lang w:val="es-ES"/>
        </w:rPr>
        <w:t>despliegue más eficaz de las competencias que tengan atribuidas.</w:t>
      </w:r>
    </w:p>
    <w:p w14:paraId="75C00E17" w14:textId="77777777" w:rsidR="00AA0582" w:rsidRPr="00EB3D94" w:rsidRDefault="00AA0582" w:rsidP="00BC4866">
      <w:pPr>
        <w:outlineLvl w:val="0"/>
        <w:rPr>
          <w:lang w:val="es-ES"/>
        </w:rPr>
      </w:pPr>
    </w:p>
    <w:p w14:paraId="63E985EF" w14:textId="5315316C" w:rsidR="00AA0582" w:rsidRPr="00EB3D94" w:rsidRDefault="00AA0582" w:rsidP="00BC4866">
      <w:pPr>
        <w:ind w:left="360"/>
        <w:jc w:val="both"/>
        <w:outlineLvl w:val="0"/>
        <w:rPr>
          <w:lang w:val="es-ES"/>
        </w:rPr>
      </w:pPr>
      <w:r w:rsidRPr="00EB3D94">
        <w:rPr>
          <w:lang w:val="es-ES"/>
        </w:rPr>
        <w:t>La diferencia de las estructuras de cuentas entre los dos lotes objeto de licitación, otorgan una mayor complejidad en la estructura de cuentas y la operativa del LOT</w:t>
      </w:r>
      <w:r w:rsidR="00A25938" w:rsidRPr="00EB3D94">
        <w:rPr>
          <w:lang w:val="es-ES"/>
        </w:rPr>
        <w:t>E</w:t>
      </w:r>
      <w:r w:rsidRPr="00EB3D94">
        <w:rPr>
          <w:lang w:val="es-ES"/>
        </w:rPr>
        <w:t xml:space="preserve"> 1 y una mayor simplicidad en la del LOT</w:t>
      </w:r>
      <w:r w:rsidR="00A25938" w:rsidRPr="00EB3D94">
        <w:rPr>
          <w:lang w:val="es-ES"/>
        </w:rPr>
        <w:t>E</w:t>
      </w:r>
      <w:r w:rsidRPr="00EB3D94">
        <w:rPr>
          <w:lang w:val="es-ES"/>
        </w:rPr>
        <w:t xml:space="preserve"> 2.</w:t>
      </w:r>
    </w:p>
    <w:p w14:paraId="10C40C27" w14:textId="77777777" w:rsidR="00AA0582" w:rsidRPr="00EB3D94" w:rsidRDefault="00AA0582" w:rsidP="00BC4866">
      <w:pPr>
        <w:ind w:left="360"/>
        <w:jc w:val="both"/>
        <w:rPr>
          <w:rFonts w:cs="Arial"/>
          <w:szCs w:val="22"/>
          <w:lang w:val="es-ES"/>
        </w:rPr>
      </w:pPr>
    </w:p>
    <w:p w14:paraId="4C12DDFA" w14:textId="07BDCBA3" w:rsidR="00844C2D" w:rsidRPr="00EB3D94" w:rsidRDefault="00844C2D" w:rsidP="00BC4866">
      <w:pPr>
        <w:numPr>
          <w:ilvl w:val="0"/>
          <w:numId w:val="36"/>
        </w:numPr>
        <w:jc w:val="both"/>
        <w:rPr>
          <w:rFonts w:cs="Arial"/>
          <w:szCs w:val="22"/>
          <w:lang w:val="es-ES"/>
        </w:rPr>
      </w:pPr>
      <w:r w:rsidRPr="00EB3D94">
        <w:rPr>
          <w:rFonts w:cs="Arial"/>
          <w:szCs w:val="22"/>
          <w:lang w:val="es-ES"/>
        </w:rPr>
        <w:t>Operativa en lo referente a la póliza de crédito asociada a la cuenta tesorer</w:t>
      </w:r>
      <w:r w:rsidR="00A25938" w:rsidRPr="00EB3D94">
        <w:rPr>
          <w:rFonts w:cs="Arial"/>
          <w:szCs w:val="22"/>
          <w:lang w:val="es-ES"/>
        </w:rPr>
        <w:t>a</w:t>
      </w:r>
      <w:r w:rsidRPr="00EB3D94">
        <w:rPr>
          <w:rFonts w:cs="Arial"/>
          <w:szCs w:val="22"/>
          <w:lang w:val="es-ES"/>
        </w:rPr>
        <w:t xml:space="preserve">: las disposiciones y amortizaciones de la </w:t>
      </w:r>
      <w:r w:rsidR="00185B59" w:rsidRPr="00EB3D94">
        <w:rPr>
          <w:rFonts w:cs="Arial"/>
          <w:szCs w:val="22"/>
          <w:lang w:val="es-ES"/>
        </w:rPr>
        <w:t>línea de crédito</w:t>
      </w:r>
      <w:r w:rsidRPr="00EB3D94">
        <w:rPr>
          <w:rFonts w:cs="Arial"/>
          <w:szCs w:val="22"/>
          <w:lang w:val="es-ES"/>
        </w:rPr>
        <w:t xml:space="preserve"> asociada a la cuenta tesorer</w:t>
      </w:r>
      <w:r w:rsidR="00A25938" w:rsidRPr="00EB3D94">
        <w:rPr>
          <w:rFonts w:cs="Arial"/>
          <w:szCs w:val="22"/>
          <w:lang w:val="es-ES"/>
        </w:rPr>
        <w:t>a</w:t>
      </w:r>
      <w:r w:rsidRPr="00EB3D94">
        <w:rPr>
          <w:rFonts w:cs="Arial"/>
          <w:szCs w:val="22"/>
          <w:lang w:val="es-ES"/>
        </w:rPr>
        <w:t xml:space="preserve">, se efectuarán automáticamente en función del saldo de la </w:t>
      </w:r>
      <w:r w:rsidR="00192A34" w:rsidRPr="00EB3D94">
        <w:rPr>
          <w:rFonts w:cs="Arial"/>
          <w:szCs w:val="22"/>
          <w:lang w:val="es-ES"/>
        </w:rPr>
        <w:t>cuenta tesorera</w:t>
      </w:r>
      <w:r w:rsidRPr="00EB3D94">
        <w:rPr>
          <w:rFonts w:cs="Arial"/>
          <w:szCs w:val="22"/>
          <w:lang w:val="es-ES"/>
        </w:rPr>
        <w:t>.</w:t>
      </w:r>
    </w:p>
    <w:p w14:paraId="0ADAA74D" w14:textId="77777777" w:rsidR="00844C2D" w:rsidRPr="00EB3D94" w:rsidRDefault="00844C2D" w:rsidP="00BC4866">
      <w:pPr>
        <w:ind w:left="360"/>
        <w:jc w:val="both"/>
        <w:rPr>
          <w:rFonts w:cs="Arial"/>
          <w:szCs w:val="22"/>
          <w:lang w:val="es-ES"/>
        </w:rPr>
      </w:pPr>
    </w:p>
    <w:p w14:paraId="0150E289" w14:textId="41D0E3B4" w:rsidR="00844C2D" w:rsidRPr="00EB3D94" w:rsidRDefault="00844C2D" w:rsidP="00BC4866">
      <w:pPr>
        <w:numPr>
          <w:ilvl w:val="0"/>
          <w:numId w:val="36"/>
        </w:numPr>
        <w:jc w:val="both"/>
        <w:rPr>
          <w:rFonts w:cs="Arial"/>
          <w:szCs w:val="22"/>
          <w:lang w:val="es-ES"/>
        </w:rPr>
      </w:pPr>
      <w:r w:rsidRPr="00EB3D94">
        <w:rPr>
          <w:rFonts w:cs="Arial"/>
          <w:szCs w:val="22"/>
          <w:lang w:val="es-ES"/>
        </w:rPr>
        <w:t>Ejecución del arrastre de saldos al final del día entre las cuentas operativas y la cuenta tesorer</w:t>
      </w:r>
      <w:r w:rsidR="00A25938" w:rsidRPr="00EB3D94">
        <w:rPr>
          <w:rFonts w:cs="Arial"/>
          <w:szCs w:val="22"/>
          <w:lang w:val="es-ES"/>
        </w:rPr>
        <w:t>a</w:t>
      </w:r>
      <w:r w:rsidRPr="00EB3D94">
        <w:rPr>
          <w:rFonts w:cs="Arial"/>
          <w:szCs w:val="22"/>
          <w:lang w:val="es-ES"/>
        </w:rPr>
        <w:t xml:space="preserve">, sin retorno de saldo al inicio del día. </w:t>
      </w:r>
    </w:p>
    <w:p w14:paraId="170F3FAB" w14:textId="77777777" w:rsidR="00844C2D" w:rsidRPr="00EB3D94" w:rsidRDefault="00844C2D" w:rsidP="00BC4866">
      <w:pPr>
        <w:ind w:left="1440"/>
        <w:jc w:val="both"/>
        <w:rPr>
          <w:rFonts w:cs="Arial"/>
          <w:szCs w:val="22"/>
          <w:lang w:val="es-ES"/>
        </w:rPr>
      </w:pPr>
    </w:p>
    <w:p w14:paraId="3F0A48CE" w14:textId="26DBE62D" w:rsidR="00CC6C74" w:rsidRPr="00EB3D94" w:rsidRDefault="00844C2D" w:rsidP="00BC4866">
      <w:pPr>
        <w:numPr>
          <w:ilvl w:val="0"/>
          <w:numId w:val="4"/>
        </w:numPr>
        <w:jc w:val="both"/>
        <w:rPr>
          <w:rFonts w:cs="Arial"/>
          <w:szCs w:val="22"/>
          <w:lang w:val="es-ES"/>
        </w:rPr>
      </w:pPr>
      <w:r w:rsidRPr="00EB3D94">
        <w:rPr>
          <w:rFonts w:cs="Arial"/>
          <w:szCs w:val="22"/>
          <w:lang w:val="es-ES"/>
        </w:rPr>
        <w:t>Las operaciones</w:t>
      </w:r>
      <w:r w:rsidR="00A25938" w:rsidRPr="00EB3D94">
        <w:rPr>
          <w:rFonts w:cs="Arial"/>
          <w:szCs w:val="22"/>
          <w:lang w:val="es-ES"/>
        </w:rPr>
        <w:t xml:space="preserve"> de traspaso </w:t>
      </w:r>
      <w:r w:rsidRPr="00EB3D94">
        <w:rPr>
          <w:rFonts w:cs="Arial"/>
          <w:szCs w:val="22"/>
          <w:lang w:val="es-ES"/>
        </w:rPr>
        <w:t>de fondo se harán agrupadas por fecha valor y fecha de operación.</w:t>
      </w:r>
    </w:p>
    <w:p w14:paraId="0897E955" w14:textId="77777777" w:rsidR="00CC6C74" w:rsidRPr="00EB3D94" w:rsidRDefault="00CC6C74" w:rsidP="00BC4866">
      <w:pPr>
        <w:outlineLvl w:val="0"/>
        <w:rPr>
          <w:rFonts w:cs="Arial"/>
          <w:i/>
          <w:szCs w:val="22"/>
          <w:lang w:val="es-ES"/>
        </w:rPr>
      </w:pPr>
    </w:p>
    <w:p w14:paraId="46DF1F9F" w14:textId="77777777" w:rsidR="005D0042" w:rsidRPr="00EB3D94" w:rsidRDefault="00CC6C74" w:rsidP="00BC4866">
      <w:pPr>
        <w:outlineLvl w:val="0"/>
        <w:rPr>
          <w:rFonts w:cs="Arial"/>
          <w:i/>
          <w:szCs w:val="22"/>
          <w:u w:val="single"/>
          <w:lang w:val="es-ES"/>
        </w:rPr>
      </w:pPr>
      <w:r w:rsidRPr="00EB3D94">
        <w:rPr>
          <w:rFonts w:cs="Arial"/>
          <w:i/>
          <w:szCs w:val="22"/>
          <w:lang w:val="es-ES"/>
        </w:rPr>
        <w:t xml:space="preserve">4) </w:t>
      </w:r>
      <w:r w:rsidR="00D4694C" w:rsidRPr="00EB3D94">
        <w:rPr>
          <w:rFonts w:cs="Arial"/>
          <w:i/>
          <w:szCs w:val="22"/>
          <w:u w:val="single"/>
          <w:lang w:val="es-ES"/>
        </w:rPr>
        <w:t>Control e informes</w:t>
      </w:r>
      <w:r w:rsidR="005D0042" w:rsidRPr="00EB3D94">
        <w:rPr>
          <w:rFonts w:cs="Arial"/>
          <w:i/>
          <w:szCs w:val="22"/>
          <w:u w:val="single"/>
          <w:lang w:val="es-ES"/>
        </w:rPr>
        <w:t xml:space="preserve"> </w:t>
      </w:r>
    </w:p>
    <w:p w14:paraId="78CCE402" w14:textId="77777777" w:rsidR="001F20AC" w:rsidRPr="00EB3D94" w:rsidRDefault="001F20AC" w:rsidP="00BC4866">
      <w:pPr>
        <w:jc w:val="both"/>
        <w:rPr>
          <w:rFonts w:cs="Arial"/>
          <w:szCs w:val="22"/>
          <w:lang w:val="es-ES"/>
        </w:rPr>
      </w:pPr>
    </w:p>
    <w:p w14:paraId="67542B58" w14:textId="77777777" w:rsidR="00D4694C" w:rsidRPr="00EB3D94" w:rsidRDefault="00D4694C" w:rsidP="00BC4866">
      <w:pPr>
        <w:jc w:val="both"/>
        <w:rPr>
          <w:rFonts w:cs="Arial"/>
          <w:szCs w:val="22"/>
          <w:lang w:val="es-ES"/>
        </w:rPr>
      </w:pPr>
      <w:r w:rsidRPr="00EB3D94">
        <w:rPr>
          <w:rFonts w:cs="Arial"/>
          <w:szCs w:val="22"/>
          <w:lang w:val="es-ES"/>
        </w:rPr>
        <w:t>El servicio también incluye:</w:t>
      </w:r>
    </w:p>
    <w:p w14:paraId="230FAA4F" w14:textId="77777777" w:rsidR="00D4694C" w:rsidRPr="00EB3D94" w:rsidRDefault="00D4694C" w:rsidP="00BC4866">
      <w:pPr>
        <w:jc w:val="both"/>
        <w:rPr>
          <w:rFonts w:cs="Arial"/>
          <w:szCs w:val="22"/>
          <w:lang w:val="es-ES"/>
        </w:rPr>
      </w:pPr>
    </w:p>
    <w:p w14:paraId="2B055C49" w14:textId="77777777" w:rsidR="005D0042" w:rsidRPr="00EB3D94" w:rsidRDefault="005D0042" w:rsidP="00BC4866">
      <w:pPr>
        <w:numPr>
          <w:ilvl w:val="0"/>
          <w:numId w:val="37"/>
        </w:numPr>
        <w:jc w:val="both"/>
        <w:rPr>
          <w:rFonts w:cs="Arial"/>
          <w:szCs w:val="22"/>
          <w:lang w:val="es-ES"/>
        </w:rPr>
      </w:pPr>
      <w:r w:rsidRPr="00EB3D94">
        <w:rPr>
          <w:rFonts w:cs="Arial"/>
          <w:szCs w:val="22"/>
          <w:lang w:val="es-ES"/>
        </w:rPr>
        <w:t xml:space="preserve">Avisos a la Tesorería Corporativa y a las Entidades Públicas para resolver las incidencias derivadas del bloqueo de operaciones </w:t>
      </w:r>
      <w:r w:rsidR="00D4694C" w:rsidRPr="00EB3D94">
        <w:rPr>
          <w:rFonts w:cs="Arial"/>
          <w:szCs w:val="22"/>
          <w:lang w:val="es-ES"/>
        </w:rPr>
        <w:t>de pago por falta de límite. Estos avisos se efectuarán de la forma siguiente:</w:t>
      </w:r>
    </w:p>
    <w:p w14:paraId="07B23038" w14:textId="77777777" w:rsidR="005D0042" w:rsidRPr="00EB3D94" w:rsidRDefault="005D0042" w:rsidP="00BC4866">
      <w:pPr>
        <w:jc w:val="both"/>
        <w:rPr>
          <w:rFonts w:cs="Arial"/>
          <w:szCs w:val="22"/>
          <w:lang w:val="es-ES"/>
        </w:rPr>
      </w:pPr>
    </w:p>
    <w:p w14:paraId="59F083B2" w14:textId="60126D61" w:rsidR="005D0042" w:rsidRPr="00EB3D94" w:rsidRDefault="005D0042" w:rsidP="00BC4866">
      <w:pPr>
        <w:numPr>
          <w:ilvl w:val="0"/>
          <w:numId w:val="6"/>
        </w:numPr>
        <w:tabs>
          <w:tab w:val="clear" w:pos="1080"/>
          <w:tab w:val="num" w:pos="720"/>
        </w:tabs>
        <w:ind w:left="720"/>
        <w:jc w:val="both"/>
        <w:rPr>
          <w:rFonts w:cs="Arial"/>
          <w:szCs w:val="22"/>
          <w:lang w:val="es-ES"/>
        </w:rPr>
      </w:pPr>
      <w:r w:rsidRPr="00EB3D94">
        <w:rPr>
          <w:rFonts w:cs="Arial"/>
          <w:szCs w:val="22"/>
          <w:lang w:val="es-ES"/>
        </w:rPr>
        <w:t xml:space="preserve">Comunicación por correo electrónico y adicionalmente por llamada telefónica, </w:t>
      </w:r>
      <w:r w:rsidR="00A25938" w:rsidRPr="00EB3D94">
        <w:rPr>
          <w:rFonts w:cs="Arial"/>
          <w:szCs w:val="22"/>
          <w:lang w:val="es-ES"/>
        </w:rPr>
        <w:t xml:space="preserve">a </w:t>
      </w:r>
      <w:r w:rsidRPr="00EB3D94">
        <w:rPr>
          <w:rFonts w:cs="Arial"/>
          <w:szCs w:val="22"/>
          <w:lang w:val="es-ES"/>
        </w:rPr>
        <w:t xml:space="preserve">la Tesorería Corporativa de la Generalitat, en la que se solicitará autorización para aumentar el límite operativo. En función de la decisión comunicada, por correo electrónico o cualquier otro medio telemático, por la Tesorería Corporativa, las Entidades Financieras procederán de la siguiente </w:t>
      </w:r>
      <w:r w:rsidR="00185B59" w:rsidRPr="00EB3D94">
        <w:rPr>
          <w:rFonts w:cs="Arial"/>
          <w:szCs w:val="22"/>
          <w:lang w:val="es-ES"/>
        </w:rPr>
        <w:t>manera</w:t>
      </w:r>
      <w:r w:rsidRPr="00EB3D94">
        <w:rPr>
          <w:rFonts w:cs="Arial"/>
          <w:szCs w:val="22"/>
          <w:lang w:val="es-ES"/>
        </w:rPr>
        <w:t>:</w:t>
      </w:r>
    </w:p>
    <w:p w14:paraId="7AF93C12" w14:textId="77777777" w:rsidR="005D0042" w:rsidRPr="00EB3D94" w:rsidRDefault="005D0042" w:rsidP="00BC4866">
      <w:pPr>
        <w:ind w:left="1040"/>
        <w:jc w:val="both"/>
        <w:rPr>
          <w:rFonts w:cs="Arial"/>
          <w:szCs w:val="22"/>
          <w:lang w:val="es-ES"/>
        </w:rPr>
      </w:pPr>
    </w:p>
    <w:p w14:paraId="46827AC5" w14:textId="77777777" w:rsidR="005D0042" w:rsidRPr="00EB3D94" w:rsidRDefault="005D0042" w:rsidP="00BC4866">
      <w:pPr>
        <w:numPr>
          <w:ilvl w:val="0"/>
          <w:numId w:val="8"/>
        </w:numPr>
        <w:tabs>
          <w:tab w:val="clear" w:pos="1440"/>
          <w:tab w:val="num" w:pos="1080"/>
        </w:tabs>
        <w:ind w:left="1080"/>
        <w:jc w:val="both"/>
        <w:rPr>
          <w:rFonts w:cs="Arial"/>
          <w:szCs w:val="22"/>
          <w:lang w:val="es-ES"/>
        </w:rPr>
      </w:pPr>
      <w:r w:rsidRPr="00EB3D94">
        <w:rPr>
          <w:rFonts w:cs="Arial"/>
          <w:szCs w:val="22"/>
          <w:lang w:val="es-ES"/>
        </w:rPr>
        <w:t>En caso de que la Tesorería Corporativa autorice el pago, se fijará un nuevo límite operativo que permitirá ejecutar los pagos bloqueados.</w:t>
      </w:r>
    </w:p>
    <w:p w14:paraId="16ACB7B4" w14:textId="77777777" w:rsidR="005D0042" w:rsidRPr="00EB3D94" w:rsidRDefault="005D0042" w:rsidP="00BC4866">
      <w:pPr>
        <w:ind w:left="720"/>
        <w:jc w:val="both"/>
        <w:rPr>
          <w:rFonts w:cs="Arial"/>
          <w:szCs w:val="22"/>
          <w:lang w:val="es-ES"/>
        </w:rPr>
      </w:pPr>
    </w:p>
    <w:p w14:paraId="7B102996" w14:textId="6A88174F" w:rsidR="005D0042" w:rsidRPr="00EB3D94" w:rsidRDefault="005D0042" w:rsidP="00BC4866">
      <w:pPr>
        <w:numPr>
          <w:ilvl w:val="0"/>
          <w:numId w:val="8"/>
        </w:numPr>
        <w:tabs>
          <w:tab w:val="clear" w:pos="1440"/>
          <w:tab w:val="num" w:pos="1080"/>
        </w:tabs>
        <w:ind w:left="1080"/>
        <w:jc w:val="both"/>
        <w:rPr>
          <w:rFonts w:cs="Arial"/>
          <w:szCs w:val="22"/>
          <w:lang w:val="es-ES"/>
        </w:rPr>
      </w:pPr>
      <w:r w:rsidRPr="00EB3D94">
        <w:rPr>
          <w:rFonts w:cs="Arial"/>
          <w:szCs w:val="22"/>
          <w:lang w:val="es-ES"/>
        </w:rPr>
        <w:t>En caso de que la Tesorería Corporativa den</w:t>
      </w:r>
      <w:r w:rsidR="00D01311" w:rsidRPr="00EB3D94">
        <w:rPr>
          <w:rFonts w:cs="Arial"/>
          <w:szCs w:val="22"/>
          <w:lang w:val="es-ES"/>
        </w:rPr>
        <w:t>i</w:t>
      </w:r>
      <w:r w:rsidRPr="00EB3D94">
        <w:rPr>
          <w:rFonts w:cs="Arial"/>
          <w:szCs w:val="22"/>
          <w:lang w:val="es-ES"/>
        </w:rPr>
        <w:t>eg</w:t>
      </w:r>
      <w:r w:rsidR="00A25938" w:rsidRPr="00EB3D94">
        <w:rPr>
          <w:rFonts w:cs="Arial"/>
          <w:szCs w:val="22"/>
          <w:lang w:val="es-ES"/>
        </w:rPr>
        <w:t>ue</w:t>
      </w:r>
      <w:r w:rsidRPr="00EB3D94">
        <w:rPr>
          <w:rFonts w:cs="Arial"/>
          <w:szCs w:val="22"/>
          <w:lang w:val="es-ES"/>
        </w:rPr>
        <w:t xml:space="preserve"> el aumento del límite, las Entidades Financieras bloquearán los pagos, hasta que se resuelva la incidencia.</w:t>
      </w:r>
    </w:p>
    <w:p w14:paraId="36185E59" w14:textId="77777777" w:rsidR="005D0042" w:rsidRPr="00EB3D94" w:rsidRDefault="005D0042" w:rsidP="00BC4866">
      <w:pPr>
        <w:ind w:left="720"/>
        <w:jc w:val="both"/>
        <w:rPr>
          <w:rFonts w:cs="Arial"/>
          <w:szCs w:val="22"/>
          <w:lang w:val="es-ES"/>
        </w:rPr>
      </w:pPr>
    </w:p>
    <w:p w14:paraId="5FE843BD" w14:textId="77777777" w:rsidR="005D0042" w:rsidRPr="00EB3D94" w:rsidRDefault="005D0042" w:rsidP="00BC4866">
      <w:pPr>
        <w:numPr>
          <w:ilvl w:val="0"/>
          <w:numId w:val="8"/>
        </w:numPr>
        <w:tabs>
          <w:tab w:val="clear" w:pos="1440"/>
          <w:tab w:val="num" w:pos="1080"/>
        </w:tabs>
        <w:ind w:left="1080"/>
        <w:jc w:val="both"/>
        <w:rPr>
          <w:rFonts w:cs="Arial"/>
          <w:szCs w:val="22"/>
          <w:lang w:val="es-ES"/>
        </w:rPr>
      </w:pPr>
      <w:r w:rsidRPr="00EB3D94">
        <w:rPr>
          <w:rFonts w:cs="Arial"/>
          <w:szCs w:val="22"/>
          <w:lang w:val="es-ES"/>
        </w:rPr>
        <w:t xml:space="preserve">Comunicación, por correo electrónico, a la Entidad Pública de la incidencia. </w:t>
      </w:r>
    </w:p>
    <w:p w14:paraId="6C7B8778" w14:textId="77777777" w:rsidR="005D0042" w:rsidRPr="00EB3D94" w:rsidRDefault="005D0042" w:rsidP="00BC4866">
      <w:pPr>
        <w:ind w:left="360"/>
        <w:jc w:val="both"/>
        <w:outlineLvl w:val="0"/>
        <w:rPr>
          <w:rFonts w:cs="Arial"/>
          <w:szCs w:val="22"/>
          <w:lang w:val="es-ES"/>
        </w:rPr>
      </w:pPr>
    </w:p>
    <w:p w14:paraId="5A08F051" w14:textId="77777777" w:rsidR="005D0042" w:rsidRPr="00EB3D94" w:rsidRDefault="005D0042" w:rsidP="00BC4866">
      <w:pPr>
        <w:numPr>
          <w:ilvl w:val="0"/>
          <w:numId w:val="5"/>
        </w:numPr>
        <w:tabs>
          <w:tab w:val="clear" w:pos="1080"/>
          <w:tab w:val="num" w:pos="720"/>
        </w:tabs>
        <w:ind w:left="720"/>
        <w:jc w:val="both"/>
        <w:rPr>
          <w:rFonts w:cs="Arial"/>
          <w:szCs w:val="22"/>
          <w:lang w:val="es-ES"/>
        </w:rPr>
      </w:pPr>
      <w:r w:rsidRPr="00EB3D94">
        <w:rPr>
          <w:rFonts w:cs="Arial"/>
          <w:szCs w:val="22"/>
          <w:lang w:val="es-ES"/>
        </w:rPr>
        <w:t>Cobertura para procesar de nuevo las operaciones bloqueadas, una vez se ha solucionado la incidencia del bloqueo, durante el mismo día.</w:t>
      </w:r>
    </w:p>
    <w:p w14:paraId="23F838A8" w14:textId="77777777" w:rsidR="001F20AC" w:rsidRPr="00EB3D94" w:rsidRDefault="001F20AC" w:rsidP="00BC4866">
      <w:pPr>
        <w:jc w:val="both"/>
        <w:rPr>
          <w:rFonts w:cs="Arial"/>
          <w:szCs w:val="22"/>
          <w:lang w:val="es-ES"/>
        </w:rPr>
      </w:pPr>
    </w:p>
    <w:p w14:paraId="04A247B9" w14:textId="55D4449B" w:rsidR="001F20AC" w:rsidRPr="00EB3D94" w:rsidRDefault="005D0042" w:rsidP="00BC4866">
      <w:pPr>
        <w:numPr>
          <w:ilvl w:val="0"/>
          <w:numId w:val="37"/>
        </w:numPr>
        <w:jc w:val="both"/>
        <w:rPr>
          <w:rFonts w:cs="Arial"/>
          <w:szCs w:val="22"/>
          <w:lang w:val="es-ES"/>
        </w:rPr>
      </w:pPr>
      <w:r w:rsidRPr="00EB3D94">
        <w:rPr>
          <w:rFonts w:cs="Arial"/>
          <w:szCs w:val="22"/>
          <w:lang w:val="es-ES"/>
        </w:rPr>
        <w:t>Información de los extractos de todas las cuentas que forman parte del Cash-</w:t>
      </w:r>
      <w:proofErr w:type="spellStart"/>
      <w:r w:rsidRPr="00EB3D94">
        <w:rPr>
          <w:rFonts w:cs="Arial"/>
          <w:szCs w:val="22"/>
          <w:lang w:val="es-ES"/>
        </w:rPr>
        <w:t>pooling</w:t>
      </w:r>
      <w:proofErr w:type="spellEnd"/>
      <w:r w:rsidRPr="00EB3D94">
        <w:rPr>
          <w:rFonts w:cs="Arial"/>
          <w:szCs w:val="22"/>
          <w:lang w:val="es-ES"/>
        </w:rPr>
        <w:t xml:space="preserve">, detallando la cuenta de origen y la cuenta de destino en los apuntes </w:t>
      </w:r>
      <w:r w:rsidR="00D01311" w:rsidRPr="00EB3D94">
        <w:rPr>
          <w:rFonts w:cs="Arial"/>
          <w:szCs w:val="22"/>
          <w:lang w:val="es-ES"/>
        </w:rPr>
        <w:t>de traspaso</w:t>
      </w:r>
      <w:r w:rsidRPr="00EB3D94">
        <w:rPr>
          <w:rFonts w:cs="Arial"/>
          <w:szCs w:val="22"/>
          <w:lang w:val="es-ES"/>
        </w:rPr>
        <w:t xml:space="preserve">. Esta información se facilitará </w:t>
      </w:r>
      <w:r w:rsidR="00D01311" w:rsidRPr="00EB3D94">
        <w:rPr>
          <w:rFonts w:cs="Arial"/>
          <w:szCs w:val="22"/>
          <w:lang w:val="es-ES"/>
        </w:rPr>
        <w:t>en soporte</w:t>
      </w:r>
      <w:r w:rsidRPr="00EB3D94">
        <w:rPr>
          <w:rFonts w:cs="Arial"/>
          <w:szCs w:val="22"/>
          <w:lang w:val="es-ES"/>
        </w:rPr>
        <w:t xml:space="preserve"> digital con una periodicidad diaria, semanal, mensual o según se acuerde con cada Entidad Pública o la Generalitat.</w:t>
      </w:r>
    </w:p>
    <w:p w14:paraId="60A62AA5" w14:textId="77777777" w:rsidR="001F20AC" w:rsidRPr="00EB3D94" w:rsidRDefault="001F20AC" w:rsidP="00BC4866">
      <w:pPr>
        <w:ind w:left="360"/>
        <w:jc w:val="both"/>
        <w:rPr>
          <w:rFonts w:cs="Arial"/>
          <w:szCs w:val="22"/>
          <w:lang w:val="es-ES"/>
        </w:rPr>
      </w:pPr>
    </w:p>
    <w:p w14:paraId="61BEDCBF" w14:textId="77777777" w:rsidR="005D0042" w:rsidRPr="00EB3D94" w:rsidRDefault="005D0042" w:rsidP="00BC4866">
      <w:pPr>
        <w:numPr>
          <w:ilvl w:val="0"/>
          <w:numId w:val="37"/>
        </w:numPr>
        <w:jc w:val="both"/>
        <w:rPr>
          <w:rFonts w:cs="Arial"/>
          <w:szCs w:val="22"/>
          <w:lang w:val="es-ES"/>
        </w:rPr>
      </w:pPr>
      <w:r w:rsidRPr="00EB3D94">
        <w:rPr>
          <w:rFonts w:cs="Arial"/>
          <w:szCs w:val="22"/>
          <w:lang w:val="es-ES"/>
        </w:rPr>
        <w:t>Acceso a las cuentas del Cash-</w:t>
      </w:r>
      <w:proofErr w:type="spellStart"/>
      <w:r w:rsidRPr="00EB3D94">
        <w:rPr>
          <w:rFonts w:cs="Arial"/>
          <w:szCs w:val="22"/>
          <w:lang w:val="es-ES"/>
        </w:rPr>
        <w:t>pooling</w:t>
      </w:r>
      <w:proofErr w:type="spellEnd"/>
      <w:r w:rsidRPr="00EB3D94">
        <w:rPr>
          <w:rFonts w:cs="Arial"/>
          <w:szCs w:val="22"/>
          <w:lang w:val="es-ES"/>
        </w:rPr>
        <w:t xml:space="preserve">: </w:t>
      </w:r>
    </w:p>
    <w:p w14:paraId="72277F4C" w14:textId="77777777" w:rsidR="005D0042" w:rsidRPr="00EB3D94" w:rsidRDefault="005D0042" w:rsidP="00BC4866">
      <w:pPr>
        <w:ind w:left="360"/>
        <w:jc w:val="both"/>
        <w:rPr>
          <w:rFonts w:cs="Arial"/>
          <w:szCs w:val="22"/>
          <w:lang w:val="es-ES"/>
        </w:rPr>
      </w:pPr>
    </w:p>
    <w:p w14:paraId="704B86BC" w14:textId="2518DA84" w:rsidR="005D0042" w:rsidRPr="00EB3D94" w:rsidRDefault="005D0042" w:rsidP="00BC4866">
      <w:pPr>
        <w:numPr>
          <w:ilvl w:val="0"/>
          <w:numId w:val="7"/>
        </w:numPr>
        <w:jc w:val="both"/>
        <w:rPr>
          <w:rFonts w:cs="Arial"/>
          <w:szCs w:val="22"/>
          <w:lang w:val="es-ES"/>
        </w:rPr>
      </w:pPr>
      <w:r w:rsidRPr="00EB3D94">
        <w:rPr>
          <w:rFonts w:cs="Arial"/>
          <w:szCs w:val="22"/>
          <w:lang w:val="es-ES"/>
        </w:rPr>
        <w:t xml:space="preserve">El acceso a la </w:t>
      </w:r>
      <w:r w:rsidR="00192A34" w:rsidRPr="00EB3D94">
        <w:rPr>
          <w:rFonts w:cs="Arial"/>
          <w:szCs w:val="22"/>
          <w:lang w:val="es-ES"/>
        </w:rPr>
        <w:t>cuenta tesorera</w:t>
      </w:r>
      <w:r w:rsidR="00D01311" w:rsidRPr="00EB3D94">
        <w:rPr>
          <w:rFonts w:cs="Arial"/>
          <w:szCs w:val="22"/>
          <w:lang w:val="es-ES"/>
        </w:rPr>
        <w:t xml:space="preserve"> </w:t>
      </w:r>
      <w:r w:rsidRPr="00EB3D94">
        <w:rPr>
          <w:rFonts w:cs="Arial"/>
          <w:szCs w:val="22"/>
          <w:lang w:val="es-ES"/>
        </w:rPr>
        <w:t>quedará restringido a la Tesorería Corporativa.</w:t>
      </w:r>
    </w:p>
    <w:p w14:paraId="1C7CCB84" w14:textId="77777777" w:rsidR="005D0042" w:rsidRPr="00EB3D94" w:rsidRDefault="005D0042" w:rsidP="00BC4866">
      <w:pPr>
        <w:numPr>
          <w:ilvl w:val="0"/>
          <w:numId w:val="7"/>
        </w:numPr>
        <w:jc w:val="both"/>
        <w:rPr>
          <w:rFonts w:cs="Arial"/>
          <w:szCs w:val="22"/>
          <w:lang w:val="es-ES"/>
        </w:rPr>
      </w:pPr>
      <w:r w:rsidRPr="00EB3D94">
        <w:rPr>
          <w:rFonts w:cs="Arial"/>
          <w:szCs w:val="22"/>
          <w:lang w:val="es-ES"/>
        </w:rPr>
        <w:t>El acceso a las cuentas centralizador y operativos de cada Entidad Pública quedará restringido a la Entidad Pública a la que pertenezcan.</w:t>
      </w:r>
    </w:p>
    <w:p w14:paraId="7A984C1C" w14:textId="77777777" w:rsidR="00311A55" w:rsidRPr="00EB3D94" w:rsidRDefault="00311A55" w:rsidP="00BC4866">
      <w:pPr>
        <w:ind w:left="720"/>
        <w:jc w:val="both"/>
        <w:rPr>
          <w:rFonts w:cs="Arial"/>
          <w:szCs w:val="22"/>
          <w:lang w:val="es-ES"/>
        </w:rPr>
      </w:pPr>
    </w:p>
    <w:p w14:paraId="3FACC11D" w14:textId="5297B3E4" w:rsidR="00311A55" w:rsidRPr="00EB3D94" w:rsidRDefault="00311A55" w:rsidP="00BC4866">
      <w:pPr>
        <w:ind w:left="360"/>
        <w:jc w:val="both"/>
        <w:rPr>
          <w:lang w:val="es-ES"/>
        </w:rPr>
      </w:pPr>
      <w:r w:rsidRPr="00EB3D94">
        <w:rPr>
          <w:lang w:val="es-ES"/>
        </w:rPr>
        <w:t>En el caso de la operativa del LOT</w:t>
      </w:r>
      <w:r w:rsidR="001705C7" w:rsidRPr="00EB3D94">
        <w:rPr>
          <w:lang w:val="es-ES"/>
        </w:rPr>
        <w:t>E</w:t>
      </w:r>
      <w:r w:rsidRPr="00EB3D94">
        <w:rPr>
          <w:lang w:val="es-ES"/>
        </w:rPr>
        <w:t xml:space="preserve"> 2, las referencias a las Entidades Públicas de los puntos a), b) y c) anteriores no se tendrán en consideración, porque las entidades adjudicatarias del LOT</w:t>
      </w:r>
      <w:r w:rsidR="001705C7" w:rsidRPr="00EB3D94">
        <w:rPr>
          <w:lang w:val="es-ES"/>
        </w:rPr>
        <w:t>E</w:t>
      </w:r>
      <w:r w:rsidRPr="00EB3D94">
        <w:rPr>
          <w:lang w:val="es-ES"/>
        </w:rPr>
        <w:t xml:space="preserve"> 2 sólo trabajan con la Tesorería Corporativa, que actúa como única interlocución.</w:t>
      </w:r>
    </w:p>
    <w:p w14:paraId="61794196" w14:textId="77777777" w:rsidR="005D0042" w:rsidRPr="00EB3D94" w:rsidRDefault="00CC6C74" w:rsidP="00BC4866">
      <w:pPr>
        <w:spacing w:before="240" w:after="240"/>
        <w:outlineLvl w:val="0"/>
        <w:rPr>
          <w:rFonts w:cs="Arial"/>
          <w:i/>
          <w:szCs w:val="22"/>
          <w:u w:val="single"/>
          <w:lang w:val="es-ES"/>
        </w:rPr>
      </w:pPr>
      <w:r w:rsidRPr="00EB3D94">
        <w:rPr>
          <w:rFonts w:cs="Arial"/>
          <w:i/>
          <w:szCs w:val="22"/>
          <w:lang w:val="es-ES"/>
        </w:rPr>
        <w:t>5</w:t>
      </w:r>
      <w:r w:rsidR="005D0042" w:rsidRPr="00EB3D94">
        <w:rPr>
          <w:rFonts w:cs="Arial"/>
          <w:i/>
          <w:szCs w:val="22"/>
          <w:lang w:val="es-ES"/>
        </w:rPr>
        <w:t xml:space="preserve">) </w:t>
      </w:r>
      <w:r w:rsidR="005D0042" w:rsidRPr="00EB3D94">
        <w:rPr>
          <w:rFonts w:cs="Arial"/>
          <w:i/>
          <w:szCs w:val="22"/>
          <w:u w:val="single"/>
          <w:lang w:val="es-ES"/>
        </w:rPr>
        <w:t>Requerimientos técnicos de recepción y envío de ficheros</w:t>
      </w:r>
    </w:p>
    <w:p w14:paraId="03D5FF59" w14:textId="05F1DB0F" w:rsidR="005D0042" w:rsidRPr="00EB3D94" w:rsidRDefault="005D0042" w:rsidP="00185B59">
      <w:pPr>
        <w:jc w:val="both"/>
        <w:rPr>
          <w:rFonts w:cs="Arial"/>
          <w:szCs w:val="22"/>
          <w:lang w:val="es-ES"/>
        </w:rPr>
      </w:pPr>
      <w:r w:rsidRPr="00EB3D94">
        <w:rPr>
          <w:rFonts w:cs="Arial"/>
          <w:szCs w:val="22"/>
          <w:lang w:val="es-ES"/>
        </w:rPr>
        <w:t xml:space="preserve">Las Entidades Financieras </w:t>
      </w:r>
      <w:r w:rsidR="00A25938" w:rsidRPr="00EB3D94">
        <w:rPr>
          <w:rFonts w:cs="Arial"/>
          <w:szCs w:val="22"/>
          <w:lang w:val="es-ES"/>
        </w:rPr>
        <w:t xml:space="preserve">deberán </w:t>
      </w:r>
      <w:r w:rsidRPr="00EB3D94">
        <w:rPr>
          <w:rFonts w:cs="Arial"/>
          <w:szCs w:val="22"/>
          <w:lang w:val="es-ES"/>
        </w:rPr>
        <w:t>permitir que la recepción y el envío de ficheros con la Tesorería Corporativa y las Entidades Públicas se pueda realizar a través de las plataformas actuales (EDITRAN, SWIFT, Banca electrónica) o las posibles nuevas iniciativas tecnológicas de banca electrónica, de acuerdo con las normas oficiales bancarias de la Agencia Española de Banca en los casos que exista este formado.</w:t>
      </w:r>
    </w:p>
    <w:p w14:paraId="43B1A35E" w14:textId="77777777" w:rsidR="004519FE" w:rsidRPr="00EB3D94" w:rsidRDefault="005D0042" w:rsidP="00185B59">
      <w:pPr>
        <w:jc w:val="both"/>
        <w:rPr>
          <w:rFonts w:cs="Arial"/>
          <w:szCs w:val="22"/>
          <w:lang w:val="es-ES"/>
        </w:rPr>
      </w:pPr>
      <w:r w:rsidRPr="00EB3D94">
        <w:rPr>
          <w:rFonts w:cs="Arial"/>
          <w:szCs w:val="22"/>
          <w:lang w:val="es-ES"/>
        </w:rPr>
        <w:t xml:space="preserve"> </w:t>
      </w:r>
    </w:p>
    <w:p w14:paraId="10D5232B" w14:textId="50BC086F" w:rsidR="005D0042" w:rsidRPr="00EB3D94" w:rsidRDefault="005D0042" w:rsidP="00185B59">
      <w:pPr>
        <w:jc w:val="both"/>
        <w:rPr>
          <w:rFonts w:cs="Arial"/>
          <w:szCs w:val="22"/>
          <w:lang w:val="es-ES"/>
        </w:rPr>
      </w:pPr>
      <w:r w:rsidRPr="00EB3D94">
        <w:rPr>
          <w:rFonts w:cs="Arial"/>
          <w:szCs w:val="22"/>
          <w:lang w:val="es-ES"/>
        </w:rPr>
        <w:t xml:space="preserve">Estas plataformas </w:t>
      </w:r>
      <w:r w:rsidR="00A25938" w:rsidRPr="00EB3D94">
        <w:rPr>
          <w:rFonts w:cs="Arial"/>
          <w:szCs w:val="22"/>
          <w:lang w:val="es-ES"/>
        </w:rPr>
        <w:t xml:space="preserve">deben </w:t>
      </w:r>
      <w:r w:rsidRPr="00EB3D94">
        <w:rPr>
          <w:rFonts w:cs="Arial"/>
          <w:szCs w:val="22"/>
          <w:lang w:val="es-ES"/>
        </w:rPr>
        <w:t>permitir el envío y la recepción de:</w:t>
      </w:r>
    </w:p>
    <w:p w14:paraId="5BB2F02D" w14:textId="77777777" w:rsidR="005D0042" w:rsidRPr="00EB3D94" w:rsidRDefault="005D0042" w:rsidP="00BC4866">
      <w:pPr>
        <w:numPr>
          <w:ilvl w:val="0"/>
          <w:numId w:val="3"/>
        </w:numPr>
        <w:jc w:val="both"/>
        <w:rPr>
          <w:rFonts w:cs="Arial"/>
          <w:szCs w:val="22"/>
          <w:lang w:val="es-ES"/>
        </w:rPr>
      </w:pPr>
      <w:r w:rsidRPr="00EB3D94">
        <w:rPr>
          <w:rFonts w:cs="Arial"/>
          <w:szCs w:val="22"/>
          <w:lang w:val="es-ES"/>
        </w:rPr>
        <w:t xml:space="preserve">Cargos por domiciliación </w:t>
      </w:r>
    </w:p>
    <w:p w14:paraId="7AB4DA17" w14:textId="77777777" w:rsidR="005D0042" w:rsidRPr="00EB3D94" w:rsidRDefault="005D0042" w:rsidP="00BC4866">
      <w:pPr>
        <w:numPr>
          <w:ilvl w:val="0"/>
          <w:numId w:val="3"/>
        </w:numPr>
        <w:jc w:val="both"/>
        <w:rPr>
          <w:rFonts w:cs="Arial"/>
          <w:szCs w:val="22"/>
          <w:lang w:val="es-ES"/>
        </w:rPr>
      </w:pPr>
      <w:r w:rsidRPr="00EB3D94">
        <w:rPr>
          <w:rFonts w:cs="Arial"/>
          <w:szCs w:val="22"/>
          <w:lang w:val="es-ES"/>
        </w:rPr>
        <w:t xml:space="preserve">Pagos </w:t>
      </w:r>
    </w:p>
    <w:p w14:paraId="071FAC34" w14:textId="77777777" w:rsidR="005D0042" w:rsidRPr="00EB3D94" w:rsidRDefault="005D0042" w:rsidP="00BC4866">
      <w:pPr>
        <w:numPr>
          <w:ilvl w:val="0"/>
          <w:numId w:val="3"/>
        </w:numPr>
        <w:jc w:val="both"/>
        <w:rPr>
          <w:rFonts w:cs="Arial"/>
          <w:szCs w:val="22"/>
          <w:lang w:val="es-ES"/>
        </w:rPr>
      </w:pPr>
      <w:r w:rsidRPr="00EB3D94">
        <w:rPr>
          <w:rFonts w:cs="Arial"/>
          <w:szCs w:val="22"/>
          <w:lang w:val="es-ES"/>
        </w:rPr>
        <w:t xml:space="preserve">Efectos para descontar </w:t>
      </w:r>
    </w:p>
    <w:p w14:paraId="651E0681" w14:textId="77777777" w:rsidR="005D0042" w:rsidRPr="00EB3D94" w:rsidRDefault="005D0042" w:rsidP="00BC4866">
      <w:pPr>
        <w:numPr>
          <w:ilvl w:val="0"/>
          <w:numId w:val="3"/>
        </w:numPr>
        <w:jc w:val="both"/>
        <w:rPr>
          <w:rFonts w:cs="Arial"/>
          <w:szCs w:val="22"/>
          <w:lang w:val="es-ES"/>
        </w:rPr>
      </w:pPr>
      <w:r w:rsidRPr="00EB3D94">
        <w:rPr>
          <w:rFonts w:cs="Arial"/>
          <w:szCs w:val="22"/>
          <w:lang w:val="es-ES"/>
        </w:rPr>
        <w:t xml:space="preserve">Créditos para gestionar cobros </w:t>
      </w:r>
    </w:p>
    <w:p w14:paraId="4BEC64DE" w14:textId="77777777" w:rsidR="00311A55" w:rsidRPr="00EB3D94" w:rsidRDefault="00311A55" w:rsidP="00BC4866">
      <w:pPr>
        <w:numPr>
          <w:ilvl w:val="0"/>
          <w:numId w:val="3"/>
        </w:numPr>
        <w:jc w:val="both"/>
        <w:rPr>
          <w:rFonts w:cs="Arial"/>
          <w:szCs w:val="22"/>
          <w:lang w:val="es-ES"/>
        </w:rPr>
      </w:pPr>
      <w:r w:rsidRPr="00EB3D94">
        <w:rPr>
          <w:rFonts w:cs="Arial"/>
          <w:szCs w:val="22"/>
          <w:lang w:val="es-ES"/>
        </w:rPr>
        <w:t>Extractos de Tesorería.</w:t>
      </w:r>
    </w:p>
    <w:p w14:paraId="46E688F7" w14:textId="77777777" w:rsidR="005D0042" w:rsidRPr="00EB3D94" w:rsidRDefault="005D0042" w:rsidP="00BC4866">
      <w:pPr>
        <w:numPr>
          <w:ilvl w:val="0"/>
          <w:numId w:val="3"/>
        </w:numPr>
        <w:jc w:val="both"/>
        <w:rPr>
          <w:rFonts w:cs="Arial"/>
          <w:szCs w:val="22"/>
          <w:lang w:val="es-ES"/>
        </w:rPr>
      </w:pPr>
      <w:r w:rsidRPr="00EB3D94">
        <w:rPr>
          <w:rFonts w:cs="Arial"/>
          <w:szCs w:val="22"/>
          <w:lang w:val="es-ES"/>
        </w:rPr>
        <w:t>Carga de límites operativos</w:t>
      </w:r>
      <w:r w:rsidR="00311A55" w:rsidRPr="00EB3D94">
        <w:rPr>
          <w:rFonts w:cs="Arial"/>
          <w:szCs w:val="22"/>
          <w:lang w:val="es-ES"/>
        </w:rPr>
        <w:t xml:space="preserve"> </w:t>
      </w:r>
      <w:r w:rsidR="00311A55" w:rsidRPr="00EB3D94">
        <w:rPr>
          <w:lang w:val="es-ES"/>
        </w:rPr>
        <w:t>(en este caso también se podrán concretar, a petición de la Tesorería Corporativa, canales de comunicación diferentes)</w:t>
      </w:r>
    </w:p>
    <w:p w14:paraId="1521504A" w14:textId="77777777" w:rsidR="005D0042" w:rsidRPr="00EB3D94" w:rsidRDefault="005D0042" w:rsidP="00BC4866">
      <w:pPr>
        <w:numPr>
          <w:ilvl w:val="0"/>
          <w:numId w:val="3"/>
        </w:numPr>
        <w:jc w:val="both"/>
        <w:rPr>
          <w:rFonts w:cs="Arial"/>
          <w:szCs w:val="22"/>
          <w:lang w:val="es-ES"/>
        </w:rPr>
      </w:pPr>
      <w:r w:rsidRPr="00EB3D94">
        <w:rPr>
          <w:rFonts w:cs="Arial"/>
          <w:szCs w:val="22"/>
          <w:lang w:val="es-ES"/>
        </w:rPr>
        <w:t>Otros formatos estándares del AEB o de mercado.</w:t>
      </w:r>
    </w:p>
    <w:p w14:paraId="3A11D138" w14:textId="77777777" w:rsidR="00916A61" w:rsidRPr="00EB3D94" w:rsidRDefault="00916A61" w:rsidP="00BC4866">
      <w:pPr>
        <w:outlineLvl w:val="0"/>
        <w:rPr>
          <w:rFonts w:cs="Arial"/>
          <w:szCs w:val="22"/>
          <w:lang w:val="es-ES"/>
        </w:rPr>
      </w:pPr>
    </w:p>
    <w:p w14:paraId="58941CDF" w14:textId="77777777" w:rsidR="00EC0FCC" w:rsidRPr="00EB3D94" w:rsidRDefault="00916A61" w:rsidP="00BC4866">
      <w:pPr>
        <w:outlineLvl w:val="0"/>
        <w:rPr>
          <w:rFonts w:cs="Arial"/>
          <w:szCs w:val="22"/>
          <w:lang w:val="es-ES"/>
        </w:rPr>
      </w:pPr>
      <w:r w:rsidRPr="00EB3D94">
        <w:rPr>
          <w:rFonts w:cs="Arial"/>
          <w:szCs w:val="22"/>
          <w:lang w:val="es-ES"/>
        </w:rPr>
        <w:t xml:space="preserve">6) </w:t>
      </w:r>
      <w:r w:rsidR="00EC0FCC" w:rsidRPr="00EB3D94">
        <w:rPr>
          <w:rFonts w:cs="Arial"/>
          <w:i/>
          <w:szCs w:val="22"/>
          <w:u w:val="single"/>
          <w:lang w:val="es-ES"/>
        </w:rPr>
        <w:t>Requerimiento técnico pago cuotas seguridad social</w:t>
      </w:r>
    </w:p>
    <w:p w14:paraId="45247473" w14:textId="77777777" w:rsidR="00EC0FCC" w:rsidRPr="00EB3D94" w:rsidRDefault="00EC0FCC" w:rsidP="00BC4866">
      <w:pPr>
        <w:outlineLvl w:val="0"/>
        <w:rPr>
          <w:rFonts w:cs="Arial"/>
          <w:szCs w:val="22"/>
          <w:lang w:val="es-ES"/>
        </w:rPr>
      </w:pPr>
    </w:p>
    <w:p w14:paraId="229426A9" w14:textId="20DD085F" w:rsidR="00EC0FCC" w:rsidRPr="00EB3D94" w:rsidRDefault="00EC0FCC" w:rsidP="00BC4866">
      <w:pPr>
        <w:jc w:val="both"/>
        <w:outlineLvl w:val="0"/>
        <w:rPr>
          <w:szCs w:val="22"/>
          <w:lang w:val="es-ES"/>
        </w:rPr>
      </w:pPr>
      <w:r w:rsidRPr="00EB3D94">
        <w:rPr>
          <w:szCs w:val="22"/>
          <w:lang w:val="es-ES"/>
        </w:rPr>
        <w:t>Las Entidades Financieras adjudicatarias del LOT</w:t>
      </w:r>
      <w:r w:rsidR="001705C7" w:rsidRPr="00EB3D94">
        <w:rPr>
          <w:szCs w:val="22"/>
          <w:lang w:val="es-ES"/>
        </w:rPr>
        <w:t>E</w:t>
      </w:r>
      <w:r w:rsidRPr="00EB3D94">
        <w:rPr>
          <w:szCs w:val="22"/>
          <w:lang w:val="es-ES"/>
        </w:rPr>
        <w:t xml:space="preserve"> 2 </w:t>
      </w:r>
      <w:r w:rsidR="00A25938" w:rsidRPr="00EB3D94">
        <w:rPr>
          <w:szCs w:val="22"/>
          <w:lang w:val="es-ES"/>
        </w:rPr>
        <w:t xml:space="preserve">deberán </w:t>
      </w:r>
      <w:r w:rsidRPr="00EB3D94">
        <w:rPr>
          <w:szCs w:val="22"/>
          <w:lang w:val="es-ES"/>
        </w:rPr>
        <w:t xml:space="preserve">disponer de las adaptaciones técnicas necesarias con el fin de poder vehicular a través </w:t>
      </w:r>
      <w:proofErr w:type="spellStart"/>
      <w:r w:rsidRPr="00EB3D94">
        <w:rPr>
          <w:szCs w:val="22"/>
          <w:lang w:val="es-ES"/>
        </w:rPr>
        <w:t>d'Editran</w:t>
      </w:r>
      <w:proofErr w:type="spellEnd"/>
      <w:r w:rsidRPr="00EB3D94">
        <w:rPr>
          <w:szCs w:val="22"/>
          <w:lang w:val="es-ES"/>
        </w:rPr>
        <w:t xml:space="preserve"> v5.2 y mediante el uso de transferencias SEPA ISO 20022 el pago de documentos con código de barras estandarizado y normalizado (cuaderno 64, por ejemplo, 581-Tresoreria de la Seguridad Social).</w:t>
      </w:r>
    </w:p>
    <w:p w14:paraId="289BF4CB" w14:textId="77777777" w:rsidR="00EC0FCC" w:rsidRPr="00EB3D94" w:rsidRDefault="00EC0FCC" w:rsidP="00BC4866">
      <w:pPr>
        <w:jc w:val="both"/>
        <w:outlineLvl w:val="0"/>
        <w:rPr>
          <w:rFonts w:cs="Arial"/>
          <w:szCs w:val="22"/>
          <w:lang w:val="es-ES"/>
        </w:rPr>
      </w:pPr>
    </w:p>
    <w:p w14:paraId="020AC998" w14:textId="77777777" w:rsidR="005D0042" w:rsidRPr="00EB3D94" w:rsidRDefault="00EC0FCC" w:rsidP="00BC4866">
      <w:pPr>
        <w:outlineLvl w:val="0"/>
        <w:rPr>
          <w:rFonts w:cs="Arial"/>
          <w:b/>
          <w:i/>
          <w:szCs w:val="22"/>
          <w:u w:val="single"/>
          <w:lang w:val="es-ES"/>
        </w:rPr>
      </w:pPr>
      <w:r w:rsidRPr="00EB3D94">
        <w:rPr>
          <w:rFonts w:cs="Arial"/>
          <w:i/>
          <w:szCs w:val="22"/>
          <w:lang w:val="es-ES"/>
        </w:rPr>
        <w:t>7)</w:t>
      </w:r>
      <w:r w:rsidRPr="00EB3D94">
        <w:rPr>
          <w:rFonts w:cs="Arial"/>
          <w:i/>
          <w:szCs w:val="22"/>
          <w:u w:val="single"/>
          <w:lang w:val="es-ES"/>
        </w:rPr>
        <w:t xml:space="preserve"> </w:t>
      </w:r>
      <w:r w:rsidR="005D0042" w:rsidRPr="00EB3D94">
        <w:rPr>
          <w:rFonts w:cs="Arial"/>
          <w:i/>
          <w:szCs w:val="22"/>
          <w:u w:val="single"/>
          <w:lang w:val="es-ES"/>
        </w:rPr>
        <w:t>Otros requerimientos</w:t>
      </w:r>
      <w:r w:rsidR="005D0042" w:rsidRPr="00EB3D94">
        <w:rPr>
          <w:rFonts w:cs="Arial"/>
          <w:b/>
          <w:i/>
          <w:szCs w:val="22"/>
          <w:u w:val="single"/>
          <w:lang w:val="es-ES"/>
        </w:rPr>
        <w:t xml:space="preserve"> </w:t>
      </w:r>
    </w:p>
    <w:p w14:paraId="72E48862" w14:textId="77777777" w:rsidR="001F20AC" w:rsidRPr="00EB3D94" w:rsidRDefault="001F20AC" w:rsidP="00BC4866">
      <w:pPr>
        <w:outlineLvl w:val="0"/>
        <w:rPr>
          <w:rFonts w:cs="Arial"/>
          <w:szCs w:val="22"/>
          <w:lang w:val="es-ES"/>
        </w:rPr>
      </w:pPr>
    </w:p>
    <w:p w14:paraId="44511256" w14:textId="77777777" w:rsidR="005D0042" w:rsidRPr="00EB3D94" w:rsidRDefault="005D0042" w:rsidP="00BC4866">
      <w:pPr>
        <w:numPr>
          <w:ilvl w:val="0"/>
          <w:numId w:val="38"/>
        </w:numPr>
        <w:outlineLvl w:val="0"/>
        <w:rPr>
          <w:rFonts w:cs="Arial"/>
          <w:szCs w:val="22"/>
          <w:lang w:val="es-ES"/>
        </w:rPr>
      </w:pPr>
      <w:r w:rsidRPr="00EB3D94">
        <w:rPr>
          <w:rFonts w:cs="Arial"/>
          <w:szCs w:val="22"/>
          <w:lang w:val="es-ES"/>
        </w:rPr>
        <w:t>Interlocutores:</w:t>
      </w:r>
    </w:p>
    <w:p w14:paraId="75394C06" w14:textId="0DA4EEE4" w:rsidR="001F20AC" w:rsidRPr="00EB3D94" w:rsidRDefault="005D0042" w:rsidP="00BC4866">
      <w:pPr>
        <w:ind w:left="360"/>
        <w:jc w:val="both"/>
        <w:rPr>
          <w:rFonts w:cs="Arial"/>
          <w:szCs w:val="22"/>
          <w:lang w:val="es-ES"/>
        </w:rPr>
      </w:pPr>
      <w:r w:rsidRPr="00EB3D94">
        <w:rPr>
          <w:rFonts w:cs="Arial"/>
          <w:szCs w:val="22"/>
          <w:lang w:val="es-ES"/>
        </w:rPr>
        <w:t xml:space="preserve">Las Entidades Financieras </w:t>
      </w:r>
      <w:r w:rsidR="00A25938" w:rsidRPr="00EB3D94">
        <w:rPr>
          <w:rFonts w:cs="Arial"/>
          <w:szCs w:val="22"/>
          <w:lang w:val="es-ES"/>
        </w:rPr>
        <w:t xml:space="preserve">deberán </w:t>
      </w:r>
      <w:r w:rsidRPr="00EB3D94">
        <w:rPr>
          <w:rFonts w:cs="Arial"/>
          <w:szCs w:val="22"/>
          <w:lang w:val="es-ES"/>
        </w:rPr>
        <w:t>designar un mínimo de dos interlocutores expertos en la operativa del Sector Público que den cobertura a la operativa del sistema.</w:t>
      </w:r>
    </w:p>
    <w:p w14:paraId="322679C4" w14:textId="77777777" w:rsidR="002B7807" w:rsidRPr="00EB3D94" w:rsidRDefault="002B7807" w:rsidP="001B363A">
      <w:pPr>
        <w:jc w:val="both"/>
        <w:rPr>
          <w:rFonts w:cs="Arial"/>
          <w:szCs w:val="22"/>
          <w:lang w:val="es-ES"/>
        </w:rPr>
      </w:pPr>
    </w:p>
    <w:p w14:paraId="7F666593" w14:textId="77777777" w:rsidR="00EB2DC9" w:rsidRPr="00EB3D94" w:rsidRDefault="005D0042" w:rsidP="00EB2DC9">
      <w:pPr>
        <w:numPr>
          <w:ilvl w:val="0"/>
          <w:numId w:val="38"/>
        </w:numPr>
        <w:jc w:val="both"/>
        <w:rPr>
          <w:rFonts w:cs="Arial"/>
          <w:szCs w:val="22"/>
          <w:lang w:val="es-ES"/>
        </w:rPr>
      </w:pPr>
      <w:r w:rsidRPr="00EB3D94">
        <w:rPr>
          <w:rFonts w:cs="Arial"/>
          <w:szCs w:val="22"/>
          <w:lang w:val="es-ES"/>
        </w:rPr>
        <w:lastRenderedPageBreak/>
        <w:t>Horario de cobertura del servicio:</w:t>
      </w:r>
    </w:p>
    <w:p w14:paraId="4BCFB464" w14:textId="5A4AB74A" w:rsidR="005D0042" w:rsidRPr="00EB3D94" w:rsidRDefault="005D0042" w:rsidP="00EB2DC9">
      <w:pPr>
        <w:ind w:left="360"/>
        <w:jc w:val="both"/>
        <w:rPr>
          <w:rFonts w:cs="Arial"/>
          <w:szCs w:val="22"/>
          <w:lang w:val="es-ES"/>
        </w:rPr>
      </w:pPr>
      <w:r w:rsidRPr="00EB3D94">
        <w:rPr>
          <w:rFonts w:cs="Arial"/>
          <w:szCs w:val="22"/>
          <w:lang w:val="es-ES"/>
        </w:rPr>
        <w:t>El horario de cobertura del servicio de Cash-</w:t>
      </w:r>
      <w:proofErr w:type="spellStart"/>
      <w:r w:rsidRPr="00EB3D94">
        <w:rPr>
          <w:rFonts w:cs="Arial"/>
          <w:szCs w:val="22"/>
          <w:lang w:val="es-ES"/>
        </w:rPr>
        <w:t>pooling</w:t>
      </w:r>
      <w:proofErr w:type="spellEnd"/>
      <w:r w:rsidRPr="00EB3D94">
        <w:rPr>
          <w:rFonts w:cs="Arial"/>
          <w:szCs w:val="22"/>
          <w:lang w:val="es-ES"/>
        </w:rPr>
        <w:t xml:space="preserve"> (para la tramitación de modificaciones de límites, envío de ficheros y atención telefónica por autorización de operaciones) será de 8:00 h a 1</w:t>
      </w:r>
      <w:r w:rsidR="001B363A" w:rsidRPr="00EB3D94">
        <w:rPr>
          <w:rFonts w:cs="Arial"/>
          <w:szCs w:val="22"/>
          <w:lang w:val="es-ES"/>
        </w:rPr>
        <w:t>7</w:t>
      </w:r>
      <w:r w:rsidRPr="00EB3D94">
        <w:rPr>
          <w:rFonts w:cs="Arial"/>
          <w:szCs w:val="22"/>
          <w:lang w:val="es-ES"/>
        </w:rPr>
        <w:t>:00 h, ininterrumpidamente, del lunes al viernes.</w:t>
      </w:r>
    </w:p>
    <w:p w14:paraId="7A485031" w14:textId="77777777" w:rsidR="00490D87" w:rsidRPr="00EB3D94" w:rsidRDefault="00490D87" w:rsidP="00BC4866">
      <w:pPr>
        <w:jc w:val="both"/>
        <w:rPr>
          <w:rFonts w:cs="Arial"/>
          <w:szCs w:val="22"/>
          <w:lang w:val="es-ES"/>
        </w:rPr>
      </w:pPr>
    </w:p>
    <w:p w14:paraId="43396F45" w14:textId="77777777" w:rsidR="005D0042" w:rsidRPr="00EB3D94" w:rsidRDefault="005D0042" w:rsidP="00BC4866">
      <w:pPr>
        <w:numPr>
          <w:ilvl w:val="0"/>
          <w:numId w:val="38"/>
        </w:numPr>
        <w:jc w:val="both"/>
        <w:rPr>
          <w:rFonts w:cs="Arial"/>
          <w:szCs w:val="22"/>
          <w:lang w:val="es-ES"/>
        </w:rPr>
      </w:pPr>
      <w:r w:rsidRPr="00EB3D94">
        <w:rPr>
          <w:rFonts w:cs="Arial"/>
          <w:szCs w:val="22"/>
          <w:lang w:val="es-ES"/>
        </w:rPr>
        <w:t>Importe mínimo líneas de crédito</w:t>
      </w:r>
      <w:r w:rsidR="000F2671" w:rsidRPr="00EB3D94">
        <w:rPr>
          <w:rFonts w:cs="Arial"/>
          <w:szCs w:val="22"/>
          <w:lang w:val="es-ES"/>
        </w:rPr>
        <w:t xml:space="preserve"> a corto plazo:</w:t>
      </w:r>
    </w:p>
    <w:p w14:paraId="0D6E937E" w14:textId="226EFA73" w:rsidR="008025D5" w:rsidRPr="00EB3D94" w:rsidRDefault="008025D5" w:rsidP="00BC4866">
      <w:pPr>
        <w:ind w:left="360"/>
        <w:jc w:val="both"/>
        <w:rPr>
          <w:lang w:val="es-ES"/>
        </w:rPr>
      </w:pPr>
      <w:r w:rsidRPr="00EB3D94">
        <w:rPr>
          <w:lang w:val="es-ES"/>
        </w:rPr>
        <w:t xml:space="preserve">El importe mínimo de líneas de crédito a ofrecer a la Tesorería Corporativa </w:t>
      </w:r>
      <w:r w:rsidR="00982820" w:rsidRPr="00EB3D94">
        <w:rPr>
          <w:lang w:val="es-ES"/>
        </w:rPr>
        <w:t xml:space="preserve">debe </w:t>
      </w:r>
      <w:r w:rsidRPr="00EB3D94">
        <w:rPr>
          <w:lang w:val="es-ES"/>
        </w:rPr>
        <w:t>ser:</w:t>
      </w:r>
    </w:p>
    <w:p w14:paraId="661D120D" w14:textId="0637D66F" w:rsidR="008025D5" w:rsidRPr="00EB3D94" w:rsidRDefault="008025D5" w:rsidP="00BC4866">
      <w:pPr>
        <w:pStyle w:val="Pargrafdellista"/>
        <w:numPr>
          <w:ilvl w:val="0"/>
          <w:numId w:val="40"/>
        </w:numPr>
        <w:spacing w:after="4" w:line="250" w:lineRule="auto"/>
        <w:ind w:left="720"/>
        <w:contextualSpacing/>
        <w:jc w:val="both"/>
        <w:rPr>
          <w:lang w:val="es-ES"/>
        </w:rPr>
      </w:pPr>
      <w:r w:rsidRPr="00EB3D94">
        <w:rPr>
          <w:lang w:val="es-ES"/>
        </w:rPr>
        <w:t xml:space="preserve">De </w:t>
      </w:r>
      <w:r w:rsidR="001B363A" w:rsidRPr="00EB3D94">
        <w:rPr>
          <w:lang w:val="es-ES"/>
        </w:rPr>
        <w:t>4</w:t>
      </w:r>
      <w:r w:rsidRPr="00EB3D94">
        <w:rPr>
          <w:lang w:val="es-ES"/>
        </w:rPr>
        <w:t>00 millones de euros, para las empresas que se quieran presentar en el LOT</w:t>
      </w:r>
      <w:r w:rsidR="006E13B7" w:rsidRPr="00EB3D94">
        <w:rPr>
          <w:lang w:val="es-ES"/>
        </w:rPr>
        <w:t>E</w:t>
      </w:r>
      <w:r w:rsidRPr="00EB3D94">
        <w:rPr>
          <w:lang w:val="es-ES"/>
        </w:rPr>
        <w:t xml:space="preserve"> 1.</w:t>
      </w:r>
    </w:p>
    <w:p w14:paraId="044A6F4B" w14:textId="272A1527" w:rsidR="008025D5" w:rsidRPr="00EB3D94" w:rsidRDefault="008025D5" w:rsidP="00BC4866">
      <w:pPr>
        <w:pStyle w:val="Pargrafdellista"/>
        <w:numPr>
          <w:ilvl w:val="0"/>
          <w:numId w:val="40"/>
        </w:numPr>
        <w:spacing w:after="4" w:line="250" w:lineRule="auto"/>
        <w:ind w:left="720"/>
        <w:contextualSpacing/>
        <w:jc w:val="both"/>
        <w:rPr>
          <w:lang w:val="es-ES"/>
        </w:rPr>
      </w:pPr>
      <w:r w:rsidRPr="00EB3D94">
        <w:rPr>
          <w:lang w:val="es-ES"/>
        </w:rPr>
        <w:t xml:space="preserve">De </w:t>
      </w:r>
      <w:r w:rsidR="001B363A" w:rsidRPr="00EB3D94">
        <w:rPr>
          <w:lang w:val="es-ES"/>
        </w:rPr>
        <w:t>7</w:t>
      </w:r>
      <w:r w:rsidRPr="00EB3D94">
        <w:rPr>
          <w:lang w:val="es-ES"/>
        </w:rPr>
        <w:t>0 millones de euros, para las empresas que se quieran presentar en el LOT</w:t>
      </w:r>
      <w:r w:rsidR="006E13B7" w:rsidRPr="00EB3D94">
        <w:rPr>
          <w:lang w:val="es-ES"/>
        </w:rPr>
        <w:t>E</w:t>
      </w:r>
      <w:r w:rsidRPr="00EB3D94">
        <w:rPr>
          <w:lang w:val="es-ES"/>
        </w:rPr>
        <w:t xml:space="preserve"> 2.</w:t>
      </w:r>
    </w:p>
    <w:p w14:paraId="369C394F" w14:textId="77777777" w:rsidR="008025D5" w:rsidRPr="00EB3D94" w:rsidRDefault="008025D5" w:rsidP="00BC4866">
      <w:pPr>
        <w:pStyle w:val="Pargrafdellista"/>
        <w:spacing w:after="4" w:line="250" w:lineRule="auto"/>
        <w:ind w:left="720"/>
        <w:contextualSpacing/>
        <w:jc w:val="both"/>
        <w:rPr>
          <w:lang w:val="es-ES"/>
        </w:rPr>
      </w:pPr>
    </w:p>
    <w:p w14:paraId="224F53DB" w14:textId="77777777" w:rsidR="001B363A" w:rsidRPr="00EB3D94" w:rsidRDefault="001B363A" w:rsidP="001B363A">
      <w:pPr>
        <w:ind w:left="360"/>
        <w:rPr>
          <w:lang w:val="es-ES"/>
        </w:rPr>
      </w:pPr>
      <w:r w:rsidRPr="00EB3D94">
        <w:rPr>
          <w:lang w:val="es-ES"/>
        </w:rPr>
        <w:t>El importe total máximo de operaciones de endeudamiento que se podrá formalizar es de 3.000 millones de euros:</w:t>
      </w:r>
    </w:p>
    <w:p w14:paraId="5850CF53" w14:textId="147A2ED2" w:rsidR="001B363A" w:rsidRPr="00EB3D94" w:rsidRDefault="001B363A" w:rsidP="001B363A">
      <w:pPr>
        <w:pStyle w:val="Pargrafdellista"/>
        <w:numPr>
          <w:ilvl w:val="0"/>
          <w:numId w:val="63"/>
        </w:numPr>
        <w:tabs>
          <w:tab w:val="clear" w:pos="1080"/>
          <w:tab w:val="num" w:pos="1440"/>
        </w:tabs>
        <w:autoSpaceDE w:val="0"/>
        <w:autoSpaceDN w:val="0"/>
        <w:adjustRightInd w:val="0"/>
        <w:ind w:left="1440"/>
        <w:jc w:val="both"/>
        <w:rPr>
          <w:lang w:val="es-ES"/>
        </w:rPr>
      </w:pPr>
      <w:r w:rsidRPr="00EB3D94">
        <w:rPr>
          <w:lang w:val="es-ES"/>
        </w:rPr>
        <w:t>2.500 millones en el LOT</w:t>
      </w:r>
      <w:r w:rsidR="006E13B7" w:rsidRPr="00EB3D94">
        <w:rPr>
          <w:lang w:val="es-ES"/>
        </w:rPr>
        <w:t>E</w:t>
      </w:r>
      <w:r w:rsidRPr="00EB3D94">
        <w:rPr>
          <w:lang w:val="es-ES"/>
        </w:rPr>
        <w:t xml:space="preserve"> 1, y</w:t>
      </w:r>
    </w:p>
    <w:p w14:paraId="2F2E8A08" w14:textId="2E62E3DD" w:rsidR="000C1E5F" w:rsidRPr="00EB3D94" w:rsidRDefault="001B363A" w:rsidP="00BC4DBB">
      <w:pPr>
        <w:pStyle w:val="Pargrafdellista"/>
        <w:numPr>
          <w:ilvl w:val="0"/>
          <w:numId w:val="63"/>
        </w:numPr>
        <w:tabs>
          <w:tab w:val="clear" w:pos="1080"/>
          <w:tab w:val="num" w:pos="1440"/>
        </w:tabs>
        <w:autoSpaceDE w:val="0"/>
        <w:autoSpaceDN w:val="0"/>
        <w:adjustRightInd w:val="0"/>
        <w:spacing w:after="220"/>
        <w:ind w:left="1440"/>
        <w:jc w:val="both"/>
        <w:rPr>
          <w:lang w:val="es-ES"/>
        </w:rPr>
      </w:pPr>
      <w:r w:rsidRPr="00EB3D94">
        <w:rPr>
          <w:lang w:val="es-ES"/>
        </w:rPr>
        <w:t>500 millones en el LOT</w:t>
      </w:r>
      <w:r w:rsidR="006E13B7" w:rsidRPr="00EB3D94">
        <w:rPr>
          <w:lang w:val="es-ES"/>
        </w:rPr>
        <w:t>E</w:t>
      </w:r>
      <w:r w:rsidRPr="00EB3D94">
        <w:rPr>
          <w:lang w:val="es-ES"/>
        </w:rPr>
        <w:t xml:space="preserve"> 2. </w:t>
      </w:r>
    </w:p>
    <w:p w14:paraId="27721772" w14:textId="77777777" w:rsidR="008D064A" w:rsidRPr="00EB3D94" w:rsidRDefault="008D064A" w:rsidP="00BC4866">
      <w:pPr>
        <w:numPr>
          <w:ilvl w:val="0"/>
          <w:numId w:val="38"/>
        </w:numPr>
        <w:jc w:val="both"/>
        <w:rPr>
          <w:rFonts w:cs="Arial"/>
          <w:szCs w:val="22"/>
          <w:lang w:val="es-ES"/>
        </w:rPr>
      </w:pPr>
      <w:r w:rsidRPr="00EB3D94">
        <w:rPr>
          <w:rFonts w:cs="Arial"/>
          <w:szCs w:val="22"/>
          <w:lang w:val="es-ES"/>
        </w:rPr>
        <w:t>Coste máximo aplicable a las operaciones de endeudamiento a corto plazo de la Tesorería Corporativa:</w:t>
      </w:r>
    </w:p>
    <w:p w14:paraId="5EFA2F47" w14:textId="77777777" w:rsidR="008D064A" w:rsidRPr="00EB3D94" w:rsidRDefault="008D064A" w:rsidP="008D064A">
      <w:pPr>
        <w:ind w:left="360"/>
        <w:jc w:val="both"/>
        <w:rPr>
          <w:rFonts w:cs="Arial"/>
          <w:szCs w:val="22"/>
          <w:lang w:val="es-ES"/>
        </w:rPr>
      </w:pPr>
    </w:p>
    <w:p w14:paraId="3EF49FD8" w14:textId="281D07EE" w:rsidR="008D064A" w:rsidRPr="00EB3D94" w:rsidRDefault="008D064A" w:rsidP="008D064A">
      <w:pPr>
        <w:ind w:left="360"/>
        <w:jc w:val="both"/>
        <w:rPr>
          <w:lang w:val="es-ES"/>
        </w:rPr>
      </w:pPr>
      <w:r w:rsidRPr="00EB3D94">
        <w:rPr>
          <w:lang w:val="es-ES"/>
        </w:rPr>
        <w:t xml:space="preserve">El coste máximo de las operaciones de endeudamiento se </w:t>
      </w:r>
      <w:r w:rsidR="00E23614" w:rsidRPr="00EB3D94">
        <w:rPr>
          <w:lang w:val="es-ES"/>
        </w:rPr>
        <w:t>deberá</w:t>
      </w:r>
      <w:r w:rsidRPr="00EB3D94">
        <w:rPr>
          <w:lang w:val="es-ES"/>
        </w:rPr>
        <w:t xml:space="preserve"> fijar de acuerdo con el principio de prudencia financiera en el cual hace referencia la Resolución de 4 de julio de 2017 de la Secretaría General del Tesoro y Política Financiera del Ministerio de Asuntos Económicos y Transformación Digital (ahora Ministerio de Economía, Comercio y Empresa).  La Resolución mencionada permite aplicar, sobre el coste de financiación del Estado con una vida media equivalente, un diferencial máximo de 50 puntos básicos.</w:t>
      </w:r>
    </w:p>
    <w:p w14:paraId="49A4EE45" w14:textId="77777777" w:rsidR="008D064A" w:rsidRPr="00EB3D94" w:rsidRDefault="008D064A" w:rsidP="008D064A">
      <w:pPr>
        <w:ind w:left="360"/>
        <w:jc w:val="both"/>
        <w:rPr>
          <w:rFonts w:cs="Arial"/>
          <w:sz w:val="18"/>
          <w:szCs w:val="18"/>
          <w:lang w:val="es-ES"/>
        </w:rPr>
      </w:pPr>
    </w:p>
    <w:p w14:paraId="5755ADDF" w14:textId="77777777" w:rsidR="008D064A" w:rsidRPr="00EB3D94" w:rsidRDefault="008D064A" w:rsidP="008D064A">
      <w:pPr>
        <w:ind w:left="360"/>
        <w:jc w:val="both"/>
        <w:rPr>
          <w:lang w:val="es-ES"/>
        </w:rPr>
      </w:pPr>
      <w:r w:rsidRPr="00EB3D94">
        <w:rPr>
          <w:lang w:val="es-ES"/>
        </w:rPr>
        <w:t xml:space="preserve">Las entidades informarán la mejora en el diferencial máximo a aplicar sobre el tipo de prudencia financiera en puntos básicos (redondeado a tres decimales). </w:t>
      </w:r>
    </w:p>
    <w:p w14:paraId="0CFC37EE" w14:textId="77777777" w:rsidR="008D064A" w:rsidRPr="00EB3D94" w:rsidRDefault="008D064A" w:rsidP="008D064A">
      <w:pPr>
        <w:ind w:left="360"/>
        <w:jc w:val="both"/>
        <w:rPr>
          <w:lang w:val="es-ES"/>
        </w:rPr>
      </w:pPr>
    </w:p>
    <w:p w14:paraId="42FA58DD" w14:textId="276DFCFF" w:rsidR="008D064A" w:rsidRPr="00EB3D94" w:rsidRDefault="008D064A" w:rsidP="008D064A">
      <w:pPr>
        <w:ind w:left="360"/>
        <w:jc w:val="both"/>
        <w:rPr>
          <w:lang w:val="es-ES"/>
        </w:rPr>
      </w:pPr>
      <w:r w:rsidRPr="00EB3D94">
        <w:rPr>
          <w:lang w:val="es-ES"/>
        </w:rPr>
        <w:t xml:space="preserve">El coste máximo se calculará en el momento de </w:t>
      </w:r>
      <w:r w:rsidR="00617BFB" w:rsidRPr="00EB3D94">
        <w:rPr>
          <w:lang w:val="es-ES"/>
        </w:rPr>
        <w:t>la apertura</w:t>
      </w:r>
      <w:r w:rsidRPr="00EB3D94">
        <w:rPr>
          <w:lang w:val="es-ES"/>
        </w:rPr>
        <w:t xml:space="preserve"> del proceso de licitación de acuerdo con el previsto en el anexo 1 de la mencionada Resolución. En caso de prórroga del contrato, el coste máximo se calculará en la fecha de firma del acuerdo de prórroga del contrato de acuerdo con el previsto en el anexo 1 de la mencionada Resolución ya que es la fecha en que se hace efectivo el </w:t>
      </w:r>
      <w:r w:rsidR="00617BFB" w:rsidRPr="00EB3D94">
        <w:rPr>
          <w:lang w:val="es-ES"/>
        </w:rPr>
        <w:t>acuerdo expreso</w:t>
      </w:r>
      <w:r w:rsidRPr="00EB3D94">
        <w:rPr>
          <w:lang w:val="es-ES"/>
        </w:rPr>
        <w:t xml:space="preserve"> entre las partes.</w:t>
      </w:r>
    </w:p>
    <w:p w14:paraId="192FE0FE" w14:textId="77777777" w:rsidR="008D064A" w:rsidRPr="00EB3D94" w:rsidRDefault="008D064A" w:rsidP="008D064A">
      <w:pPr>
        <w:ind w:left="360"/>
        <w:jc w:val="both"/>
        <w:rPr>
          <w:rFonts w:cs="Arial"/>
          <w:szCs w:val="22"/>
          <w:lang w:val="es-ES"/>
        </w:rPr>
      </w:pPr>
    </w:p>
    <w:p w14:paraId="5CD7276B" w14:textId="67C684F3" w:rsidR="005D0042" w:rsidRPr="00EB3D94" w:rsidRDefault="005D0042" w:rsidP="00BC4866">
      <w:pPr>
        <w:numPr>
          <w:ilvl w:val="0"/>
          <w:numId w:val="38"/>
        </w:numPr>
        <w:jc w:val="both"/>
        <w:rPr>
          <w:rFonts w:cs="Arial"/>
          <w:szCs w:val="22"/>
          <w:lang w:val="es-ES"/>
        </w:rPr>
      </w:pPr>
      <w:r w:rsidRPr="00EB3D94">
        <w:rPr>
          <w:rFonts w:cs="Arial"/>
          <w:szCs w:val="22"/>
          <w:lang w:val="es-ES"/>
        </w:rPr>
        <w:t xml:space="preserve">Remuneración saldo </w:t>
      </w:r>
      <w:r w:rsidR="00192A34" w:rsidRPr="00EB3D94">
        <w:rPr>
          <w:rFonts w:cs="Arial"/>
          <w:szCs w:val="22"/>
          <w:lang w:val="es-ES"/>
        </w:rPr>
        <w:t>cuenta tesorera</w:t>
      </w:r>
      <w:r w:rsidRPr="00EB3D94">
        <w:rPr>
          <w:rFonts w:cs="Arial"/>
          <w:szCs w:val="22"/>
          <w:lang w:val="es-ES"/>
        </w:rPr>
        <w:t>:</w:t>
      </w:r>
    </w:p>
    <w:p w14:paraId="45102816" w14:textId="77777777" w:rsidR="00B41354" w:rsidRPr="00EB3D94" w:rsidRDefault="00B41354" w:rsidP="00BC4866">
      <w:pPr>
        <w:jc w:val="both"/>
        <w:outlineLvl w:val="0"/>
        <w:rPr>
          <w:rFonts w:cs="Arial"/>
          <w:bCs/>
          <w:szCs w:val="22"/>
          <w:lang w:val="es-ES"/>
        </w:rPr>
      </w:pPr>
    </w:p>
    <w:p w14:paraId="17DEA345" w14:textId="55C7A162" w:rsidR="00230228" w:rsidRPr="00EB3D94" w:rsidRDefault="00230228" w:rsidP="00230228">
      <w:pPr>
        <w:ind w:left="360"/>
        <w:jc w:val="both"/>
        <w:rPr>
          <w:lang w:val="es-ES"/>
        </w:rPr>
      </w:pPr>
      <w:r w:rsidRPr="00EB3D94">
        <w:rPr>
          <w:lang w:val="es-ES"/>
        </w:rPr>
        <w:t xml:space="preserve">La remuneración del saldo de la </w:t>
      </w:r>
      <w:r w:rsidR="00192A34" w:rsidRPr="00EB3D94">
        <w:rPr>
          <w:lang w:val="es-ES"/>
        </w:rPr>
        <w:t>cuenta tesorera</w:t>
      </w:r>
      <w:r w:rsidRPr="00EB3D94">
        <w:rPr>
          <w:lang w:val="es-ES"/>
        </w:rPr>
        <w:t xml:space="preserve"> será igual al tipo de interés aplicado por el Banco de España en los depósitos de las administraciones públicas, de acuerdo con las directrices del Banco Central Europeo. </w:t>
      </w:r>
    </w:p>
    <w:p w14:paraId="532A4849" w14:textId="77777777" w:rsidR="00230228" w:rsidRPr="00EB3D94" w:rsidRDefault="00230228" w:rsidP="00230228">
      <w:pPr>
        <w:ind w:left="360"/>
        <w:jc w:val="both"/>
        <w:rPr>
          <w:lang w:val="es-ES"/>
        </w:rPr>
      </w:pPr>
    </w:p>
    <w:p w14:paraId="1823F788" w14:textId="77777777" w:rsidR="00230228" w:rsidRPr="00EB3D94" w:rsidRDefault="00230228" w:rsidP="00230228">
      <w:pPr>
        <w:ind w:left="360"/>
        <w:jc w:val="both"/>
        <w:rPr>
          <w:lang w:val="es-ES"/>
        </w:rPr>
      </w:pPr>
      <w:r w:rsidRPr="00EB3D94">
        <w:rPr>
          <w:lang w:val="es-ES"/>
        </w:rPr>
        <w:t xml:space="preserve">Actualmente, según la Decisión (UE) 2024/1209 del Banco Central Europeo, de 16 de abril de 2024, sobre la remuneración de los depósitos no relacionados con la política monetaria mantenidos en los bancos centrales nacionales y en el Banco Central Europeo (BCE/2024/11), la remuneración de estos depósitos se fija a partir </w:t>
      </w:r>
      <w:proofErr w:type="spellStart"/>
      <w:r w:rsidRPr="00EB3D94">
        <w:rPr>
          <w:lang w:val="es-ES"/>
        </w:rPr>
        <w:t>de l</w:t>
      </w:r>
      <w:proofErr w:type="spellEnd"/>
      <w:r w:rsidRPr="00EB3D94">
        <w:rPr>
          <w:lang w:val="es-ES"/>
        </w:rPr>
        <w:t>'€STR (</w:t>
      </w:r>
      <w:proofErr w:type="gramStart"/>
      <w:r w:rsidRPr="00EB3D94">
        <w:rPr>
          <w:lang w:val="es-ES"/>
        </w:rPr>
        <w:t>Euro</w:t>
      </w:r>
      <w:proofErr w:type="gramEnd"/>
      <w:r w:rsidRPr="00EB3D94">
        <w:rPr>
          <w:lang w:val="es-ES"/>
        </w:rPr>
        <w:t xml:space="preserve"> Short-</w:t>
      </w:r>
      <w:proofErr w:type="spellStart"/>
      <w:r w:rsidRPr="00EB3D94">
        <w:rPr>
          <w:lang w:val="es-ES"/>
        </w:rPr>
        <w:t>Term</w:t>
      </w:r>
      <w:proofErr w:type="spellEnd"/>
      <w:r w:rsidRPr="00EB3D94">
        <w:rPr>
          <w:lang w:val="es-ES"/>
        </w:rPr>
        <w:t xml:space="preserve"> </w:t>
      </w:r>
      <w:proofErr w:type="spellStart"/>
      <w:r w:rsidRPr="00EB3D94">
        <w:rPr>
          <w:lang w:val="es-ES"/>
        </w:rPr>
        <w:t>Rate</w:t>
      </w:r>
      <w:proofErr w:type="spellEnd"/>
      <w:r w:rsidRPr="00EB3D94">
        <w:rPr>
          <w:lang w:val="es-ES"/>
        </w:rPr>
        <w:t>) menos un diferencial que a fecha 5 de abril de 2025 es de menos 20 puntos básicos (20 pb.).</w:t>
      </w:r>
    </w:p>
    <w:p w14:paraId="36DBDC2C" w14:textId="77777777" w:rsidR="00230228" w:rsidRPr="00EB3D94" w:rsidRDefault="00230228" w:rsidP="00230228">
      <w:pPr>
        <w:ind w:left="360"/>
        <w:jc w:val="both"/>
        <w:rPr>
          <w:lang w:val="es-ES"/>
        </w:rPr>
      </w:pPr>
    </w:p>
    <w:p w14:paraId="2B9A4D91" w14:textId="5DEF2F0A" w:rsidR="00230228" w:rsidRPr="00EB3D94" w:rsidRDefault="00230228" w:rsidP="00230228">
      <w:pPr>
        <w:ind w:left="360"/>
        <w:jc w:val="both"/>
        <w:rPr>
          <w:lang w:val="es-ES"/>
        </w:rPr>
      </w:pPr>
      <w:r w:rsidRPr="00EB3D94">
        <w:rPr>
          <w:lang w:val="es-ES"/>
        </w:rPr>
        <w:t>La periodicidad de la liquidación será prioritariamente mensual.</w:t>
      </w:r>
    </w:p>
    <w:p w14:paraId="599E7563" w14:textId="77777777" w:rsidR="00230228" w:rsidRPr="00EB3D94" w:rsidRDefault="00230228" w:rsidP="00230228">
      <w:pPr>
        <w:ind w:left="360"/>
        <w:jc w:val="both"/>
        <w:rPr>
          <w:lang w:val="es-ES"/>
        </w:rPr>
      </w:pPr>
    </w:p>
    <w:p w14:paraId="2F0A3C45" w14:textId="0019EFDB" w:rsidR="00230228" w:rsidRPr="00EB3D94" w:rsidRDefault="00230228" w:rsidP="00230228">
      <w:pPr>
        <w:ind w:left="360"/>
        <w:jc w:val="both"/>
        <w:rPr>
          <w:lang w:val="es-ES"/>
        </w:rPr>
      </w:pPr>
      <w:r w:rsidRPr="00EB3D94">
        <w:rPr>
          <w:lang w:val="es-ES"/>
        </w:rPr>
        <w:t xml:space="preserve">En caso de que el tipo de interés sea negativo, la remuneración será igual a cero. No </w:t>
      </w:r>
      <w:proofErr w:type="gramStart"/>
      <w:r w:rsidRPr="00EB3D94">
        <w:rPr>
          <w:lang w:val="es-ES"/>
        </w:rPr>
        <w:t>obstante</w:t>
      </w:r>
      <w:proofErr w:type="gramEnd"/>
      <w:r w:rsidRPr="00EB3D94">
        <w:rPr>
          <w:lang w:val="es-ES"/>
        </w:rPr>
        <w:t xml:space="preserve"> </w:t>
      </w:r>
      <w:r w:rsidR="00617BFB" w:rsidRPr="00EB3D94">
        <w:rPr>
          <w:lang w:val="es-ES"/>
        </w:rPr>
        <w:t xml:space="preserve">lo </w:t>
      </w:r>
      <w:r w:rsidRPr="00EB3D94">
        <w:rPr>
          <w:lang w:val="es-ES"/>
        </w:rPr>
        <w:t>anterior,</w:t>
      </w:r>
      <w:r w:rsidR="00617BFB" w:rsidRPr="00EB3D94">
        <w:rPr>
          <w:lang w:val="es-ES"/>
        </w:rPr>
        <w:t xml:space="preserve"> cuando la </w:t>
      </w:r>
      <w:r w:rsidRPr="00EB3D94">
        <w:rPr>
          <w:lang w:val="es-ES"/>
        </w:rPr>
        <w:t>situación de los mercados obligue, las entidades podrán repercutir parte de la tasa que cobre el Banco Central Europeo. En este caso el coste no podrá ser superior al tipo del BCE por facilidad de depósito y se aplicará mensualmente al saldo medio mensual con una franquicia de 60 millones de euros para las entidades adjudicatarias del LOT</w:t>
      </w:r>
      <w:r w:rsidR="00617BFB" w:rsidRPr="00EB3D94">
        <w:rPr>
          <w:lang w:val="es-ES"/>
        </w:rPr>
        <w:t>E</w:t>
      </w:r>
      <w:r w:rsidRPr="00EB3D94">
        <w:rPr>
          <w:lang w:val="es-ES"/>
        </w:rPr>
        <w:t xml:space="preserve"> 1 y de 20 </w:t>
      </w:r>
      <w:r w:rsidRPr="00EB3D94">
        <w:rPr>
          <w:lang w:val="es-ES"/>
        </w:rPr>
        <w:lastRenderedPageBreak/>
        <w:t>millones de euros para las entidades adjudicatarias del LOT</w:t>
      </w:r>
      <w:r w:rsidR="00617BFB" w:rsidRPr="00EB3D94">
        <w:rPr>
          <w:lang w:val="es-ES"/>
        </w:rPr>
        <w:t>E</w:t>
      </w:r>
      <w:r w:rsidRPr="00EB3D94">
        <w:rPr>
          <w:lang w:val="es-ES"/>
        </w:rPr>
        <w:t xml:space="preserve"> 2. En caso de que una entidad sea adjudicataria de los dos lotes, se sumarán las dos franquicias. </w:t>
      </w:r>
    </w:p>
    <w:p w14:paraId="36B6ECB9" w14:textId="77777777" w:rsidR="00230228" w:rsidRPr="00EB3D94" w:rsidRDefault="00230228" w:rsidP="00230228">
      <w:pPr>
        <w:ind w:left="360"/>
        <w:jc w:val="both"/>
        <w:rPr>
          <w:lang w:val="es-ES"/>
        </w:rPr>
      </w:pPr>
    </w:p>
    <w:p w14:paraId="22A43DE4" w14:textId="3DDE1543" w:rsidR="00230228" w:rsidRPr="00EB3D94" w:rsidRDefault="00230228" w:rsidP="00230228">
      <w:pPr>
        <w:ind w:left="360"/>
        <w:jc w:val="both"/>
        <w:rPr>
          <w:lang w:val="es-ES"/>
        </w:rPr>
      </w:pPr>
      <w:r w:rsidRPr="00EB3D94">
        <w:rPr>
          <w:lang w:val="es-ES"/>
        </w:rPr>
        <w:t xml:space="preserve">Cuando la Tesorería Corporativa disponga de excedentes de tesorería transitorios, podrá solicitar de las entidades adjudicatarias ofrecidas de remuneración que mejoren el tipo de referencia del </w:t>
      </w:r>
      <w:r w:rsidR="00EF059B" w:rsidRPr="00EB3D94">
        <w:rPr>
          <w:lang w:val="es-ES"/>
        </w:rPr>
        <w:t>BE</w:t>
      </w:r>
      <w:r w:rsidRPr="00EB3D94">
        <w:rPr>
          <w:lang w:val="es-ES"/>
        </w:rPr>
        <w:t xml:space="preserve"> para la colocación de estos excedentes, con disponibilidad inmediata y sin penalización, en una cuenta de la Tesorería diferente de</w:t>
      </w:r>
      <w:r w:rsidR="00EF059B" w:rsidRPr="00EB3D94">
        <w:rPr>
          <w:lang w:val="es-ES"/>
        </w:rPr>
        <w:t xml:space="preserve"> la de</w:t>
      </w:r>
      <w:r w:rsidRPr="00EB3D94">
        <w:rPr>
          <w:lang w:val="es-ES"/>
        </w:rPr>
        <w:t xml:space="preserve"> cash-</w:t>
      </w:r>
      <w:proofErr w:type="spellStart"/>
      <w:r w:rsidRPr="00EB3D94">
        <w:rPr>
          <w:lang w:val="es-ES"/>
        </w:rPr>
        <w:t>pooling</w:t>
      </w:r>
      <w:proofErr w:type="spellEnd"/>
      <w:r w:rsidRPr="00EB3D94">
        <w:rPr>
          <w:lang w:val="es-ES"/>
        </w:rPr>
        <w:t xml:space="preserve">. La colocación de estos excedentes se hará en cuentas corrientes de la </w:t>
      </w:r>
      <w:proofErr w:type="gramStart"/>
      <w:r w:rsidRPr="00EB3D94">
        <w:rPr>
          <w:lang w:val="es-ES"/>
        </w:rPr>
        <w:t>Tesorería</w:t>
      </w:r>
      <w:proofErr w:type="gramEnd"/>
      <w:r w:rsidRPr="00EB3D94">
        <w:rPr>
          <w:lang w:val="es-ES"/>
        </w:rPr>
        <w:t xml:space="preserve"> pero diferentes </w:t>
      </w:r>
      <w:r w:rsidR="00EF059B" w:rsidRPr="00EB3D94">
        <w:rPr>
          <w:lang w:val="es-ES"/>
        </w:rPr>
        <w:t>de la de</w:t>
      </w:r>
      <w:r w:rsidRPr="00EB3D94">
        <w:rPr>
          <w:lang w:val="es-ES"/>
        </w:rPr>
        <w:t xml:space="preserve"> cash-</w:t>
      </w:r>
      <w:proofErr w:type="spellStart"/>
      <w:r w:rsidRPr="00EB3D94">
        <w:rPr>
          <w:lang w:val="es-ES"/>
        </w:rPr>
        <w:t>pooling</w:t>
      </w:r>
      <w:proofErr w:type="spellEnd"/>
      <w:r w:rsidRPr="00EB3D94">
        <w:rPr>
          <w:lang w:val="es-ES"/>
        </w:rPr>
        <w:t xml:space="preserve">. Su disponibilidad será inmediata y sin penalización. </w:t>
      </w:r>
    </w:p>
    <w:p w14:paraId="11E70EA6" w14:textId="77777777" w:rsidR="00230228" w:rsidRPr="00EB3D94" w:rsidRDefault="00230228" w:rsidP="00BC4866">
      <w:pPr>
        <w:ind w:left="360"/>
        <w:jc w:val="both"/>
        <w:outlineLvl w:val="0"/>
        <w:rPr>
          <w:rFonts w:cs="Arial"/>
          <w:bCs/>
          <w:szCs w:val="22"/>
          <w:lang w:val="es-ES"/>
        </w:rPr>
      </w:pPr>
    </w:p>
    <w:p w14:paraId="6829C055" w14:textId="77777777" w:rsidR="00B41354" w:rsidRPr="00EB3D94" w:rsidRDefault="00B41354" w:rsidP="00BC4866">
      <w:pPr>
        <w:jc w:val="both"/>
        <w:outlineLvl w:val="0"/>
        <w:rPr>
          <w:rFonts w:cs="Arial"/>
          <w:bCs/>
          <w:szCs w:val="22"/>
          <w:lang w:val="es-ES"/>
        </w:rPr>
      </w:pPr>
      <w:r w:rsidRPr="00EB3D94">
        <w:rPr>
          <w:rFonts w:cs="Arial"/>
          <w:b/>
          <w:bCs/>
          <w:szCs w:val="22"/>
          <w:lang w:val="es-ES"/>
        </w:rPr>
        <w:t>B)</w:t>
      </w:r>
      <w:r w:rsidRPr="00EB3D94">
        <w:rPr>
          <w:rFonts w:cs="Arial"/>
          <w:bCs/>
          <w:szCs w:val="22"/>
          <w:lang w:val="es-ES"/>
        </w:rPr>
        <w:t xml:space="preserve"> Por otra parte, los requerimientos mínimos imprescindibles </w:t>
      </w:r>
      <w:r w:rsidRPr="00EB3D94">
        <w:rPr>
          <w:rFonts w:cs="Arial"/>
          <w:b/>
          <w:bCs/>
          <w:szCs w:val="22"/>
          <w:lang w:val="es-ES"/>
        </w:rPr>
        <w:t>máximo a los tres meses del inicio de ejecución</w:t>
      </w:r>
      <w:r w:rsidRPr="00EB3D94">
        <w:rPr>
          <w:rFonts w:cs="Arial"/>
          <w:bCs/>
          <w:szCs w:val="22"/>
          <w:lang w:val="es-ES"/>
        </w:rPr>
        <w:t xml:space="preserve"> del contrato son los siguientes:</w:t>
      </w:r>
    </w:p>
    <w:p w14:paraId="24C46867" w14:textId="77777777" w:rsidR="00B41354" w:rsidRPr="00EB3D94" w:rsidRDefault="00B41354" w:rsidP="00BC4866">
      <w:pPr>
        <w:ind w:left="708"/>
        <w:jc w:val="both"/>
        <w:rPr>
          <w:rFonts w:cs="Arial"/>
          <w:bCs/>
          <w:szCs w:val="22"/>
          <w:lang w:val="es-ES"/>
        </w:rPr>
      </w:pPr>
    </w:p>
    <w:p w14:paraId="1DE603FF" w14:textId="0BE2821C" w:rsidR="00665648" w:rsidRPr="00EB3D94" w:rsidRDefault="00665648" w:rsidP="00BC4866">
      <w:pPr>
        <w:numPr>
          <w:ilvl w:val="0"/>
          <w:numId w:val="45"/>
        </w:numPr>
        <w:jc w:val="both"/>
        <w:rPr>
          <w:lang w:val="es-ES"/>
        </w:rPr>
      </w:pPr>
      <w:r w:rsidRPr="00EB3D94">
        <w:rPr>
          <w:lang w:val="es-ES"/>
        </w:rPr>
        <w:t>Este punto sólo será aplicable al LOT</w:t>
      </w:r>
      <w:r w:rsidR="00EF059B" w:rsidRPr="00EB3D94">
        <w:rPr>
          <w:lang w:val="es-ES"/>
        </w:rPr>
        <w:t>E</w:t>
      </w:r>
      <w:r w:rsidRPr="00EB3D94">
        <w:rPr>
          <w:lang w:val="es-ES"/>
        </w:rPr>
        <w:t xml:space="preserve"> 1.</w:t>
      </w:r>
    </w:p>
    <w:p w14:paraId="1C34198B" w14:textId="77777777" w:rsidR="00665648" w:rsidRPr="00EB3D94" w:rsidRDefault="00665648" w:rsidP="00BC4866">
      <w:pPr>
        <w:jc w:val="both"/>
        <w:rPr>
          <w:lang w:val="es-ES"/>
        </w:rPr>
      </w:pPr>
    </w:p>
    <w:p w14:paraId="15C49D0D" w14:textId="0BA62CB0" w:rsidR="00665648" w:rsidRPr="00EB3D94" w:rsidRDefault="00665648" w:rsidP="00BC4866">
      <w:pPr>
        <w:ind w:left="360"/>
        <w:jc w:val="both"/>
        <w:rPr>
          <w:lang w:val="es-ES"/>
        </w:rPr>
      </w:pPr>
      <w:r w:rsidRPr="00EB3D94">
        <w:rPr>
          <w:lang w:val="es-ES"/>
        </w:rPr>
        <w:t>Los requerimientos mínimos imprescindibles máximo a los tres meses del inicio de ejecución del contrato para las entidades adjudicatarias del LOT</w:t>
      </w:r>
      <w:r w:rsidR="00EF059B" w:rsidRPr="00EB3D94">
        <w:rPr>
          <w:lang w:val="es-ES"/>
        </w:rPr>
        <w:t>E</w:t>
      </w:r>
      <w:r w:rsidRPr="00EB3D94">
        <w:rPr>
          <w:lang w:val="es-ES"/>
        </w:rPr>
        <w:t xml:space="preserve"> 1, son los siguientes:</w:t>
      </w:r>
    </w:p>
    <w:p w14:paraId="32C9AE00" w14:textId="77777777" w:rsidR="00665648" w:rsidRPr="00EB3D94" w:rsidRDefault="00665648" w:rsidP="00BC4866">
      <w:pPr>
        <w:ind w:left="360"/>
        <w:jc w:val="both"/>
        <w:rPr>
          <w:lang w:val="es-ES"/>
        </w:rPr>
      </w:pPr>
    </w:p>
    <w:p w14:paraId="7E250B44" w14:textId="77777777" w:rsidR="00665648" w:rsidRPr="00EB3D94" w:rsidRDefault="00665648" w:rsidP="00BC4866">
      <w:pPr>
        <w:ind w:left="360"/>
        <w:jc w:val="both"/>
        <w:rPr>
          <w:lang w:val="es-ES"/>
        </w:rPr>
      </w:pPr>
      <w:r w:rsidRPr="00EB3D94">
        <w:rPr>
          <w:lang w:val="es-ES"/>
        </w:rPr>
        <w:t>Desglose del concepto de arrastre:</w:t>
      </w:r>
    </w:p>
    <w:p w14:paraId="6E2E24AA" w14:textId="77777777" w:rsidR="00665648" w:rsidRPr="00EB3D94" w:rsidRDefault="00665648" w:rsidP="00BC4866">
      <w:pPr>
        <w:ind w:left="360"/>
        <w:jc w:val="both"/>
        <w:rPr>
          <w:lang w:val="es-ES"/>
        </w:rPr>
      </w:pPr>
    </w:p>
    <w:p w14:paraId="7B417C6C" w14:textId="00BBE820" w:rsidR="00665648" w:rsidRPr="00EB3D94" w:rsidRDefault="00665648" w:rsidP="00BC4866">
      <w:pPr>
        <w:pStyle w:val="Pargrafdellista"/>
        <w:numPr>
          <w:ilvl w:val="0"/>
          <w:numId w:val="41"/>
        </w:numPr>
        <w:spacing w:after="4" w:line="250" w:lineRule="auto"/>
        <w:ind w:left="1080"/>
        <w:contextualSpacing/>
        <w:jc w:val="both"/>
        <w:rPr>
          <w:lang w:val="es-ES"/>
        </w:rPr>
      </w:pPr>
      <w:r w:rsidRPr="00EB3D94">
        <w:rPr>
          <w:lang w:val="es-ES"/>
        </w:rPr>
        <w:t xml:space="preserve">En el arrastre: las operaciones </w:t>
      </w:r>
      <w:r w:rsidR="00A25938" w:rsidRPr="00EB3D94">
        <w:rPr>
          <w:lang w:val="es-ES"/>
        </w:rPr>
        <w:t xml:space="preserve">de traspaso </w:t>
      </w:r>
      <w:r w:rsidRPr="00EB3D94">
        <w:rPr>
          <w:lang w:val="es-ES"/>
        </w:rPr>
        <w:t>de fondo se harán agrupadas por fecha valor - fecha de operación y diferenciando los apuntes por</w:t>
      </w:r>
      <w:r w:rsidRPr="00EB3D94">
        <w:rPr>
          <w:vanish/>
          <w:lang w:val="es-ES"/>
        </w:rPr>
        <w:t>&lt;A[por|para]&gt;</w:t>
      </w:r>
      <w:r w:rsidRPr="00EB3D94">
        <w:rPr>
          <w:lang w:val="es-ES"/>
        </w:rPr>
        <w:t xml:space="preserve"> los conceptos “GASTO” (acumulado de </w:t>
      </w:r>
      <w:r w:rsidR="00EF059B" w:rsidRPr="00EB3D94">
        <w:rPr>
          <w:lang w:val="es-ES"/>
        </w:rPr>
        <w:t>cargos por cada</w:t>
      </w:r>
      <w:r w:rsidRPr="00EB3D94">
        <w:rPr>
          <w:lang w:val="es-ES"/>
        </w:rPr>
        <w:t xml:space="preserve"> binomio fecha valor-operación) e “INGRESO” (acumulado de abonos</w:t>
      </w:r>
      <w:r w:rsidR="00EF059B" w:rsidRPr="00EB3D94">
        <w:rPr>
          <w:lang w:val="es-ES"/>
        </w:rPr>
        <w:t xml:space="preserve"> por cada </w:t>
      </w:r>
      <w:r w:rsidRPr="00EB3D94">
        <w:rPr>
          <w:lang w:val="es-ES"/>
        </w:rPr>
        <w:t>binomio fecha valor-operación).</w:t>
      </w:r>
    </w:p>
    <w:p w14:paraId="1A4F4661" w14:textId="77777777" w:rsidR="00665648" w:rsidRPr="00EB3D94" w:rsidRDefault="00665648" w:rsidP="00BC4866">
      <w:pPr>
        <w:pStyle w:val="Pargrafdellista"/>
        <w:spacing w:after="4" w:line="250" w:lineRule="auto"/>
        <w:ind w:left="1080"/>
        <w:contextualSpacing/>
        <w:jc w:val="both"/>
        <w:rPr>
          <w:lang w:val="es-ES"/>
        </w:rPr>
      </w:pPr>
    </w:p>
    <w:p w14:paraId="6E4BB68D" w14:textId="6E32A866" w:rsidR="00665648" w:rsidRPr="00EB3D94" w:rsidRDefault="00665648" w:rsidP="00BC4866">
      <w:pPr>
        <w:pStyle w:val="Pargrafdellista"/>
        <w:numPr>
          <w:ilvl w:val="0"/>
          <w:numId w:val="41"/>
        </w:numPr>
        <w:spacing w:after="4" w:line="250" w:lineRule="auto"/>
        <w:ind w:left="1080"/>
        <w:contextualSpacing/>
        <w:jc w:val="both"/>
        <w:rPr>
          <w:lang w:val="es-ES"/>
        </w:rPr>
      </w:pPr>
      <w:r w:rsidRPr="00EB3D94">
        <w:rPr>
          <w:lang w:val="es-ES"/>
        </w:rPr>
        <w:t xml:space="preserve">En la información de los extractos: detallar junto con la cuenta origen / destino los apuntes </w:t>
      </w:r>
      <w:r w:rsidR="00EF059B" w:rsidRPr="00EB3D94">
        <w:rPr>
          <w:lang w:val="es-ES"/>
        </w:rPr>
        <w:t>de traspaso</w:t>
      </w:r>
      <w:r w:rsidRPr="00EB3D94">
        <w:rPr>
          <w:lang w:val="es-ES"/>
        </w:rPr>
        <w:t xml:space="preserve"> según fecha valor - fecha de operación y concepto (“GASTO” e “INGRESO”).</w:t>
      </w:r>
    </w:p>
    <w:p w14:paraId="69A72BB7" w14:textId="77777777" w:rsidR="00B41354" w:rsidRPr="00EB3D94" w:rsidRDefault="00B41354" w:rsidP="00BC4866">
      <w:pPr>
        <w:ind w:left="720" w:hanging="348"/>
        <w:jc w:val="both"/>
        <w:rPr>
          <w:rFonts w:cs="Arial"/>
          <w:bCs/>
          <w:szCs w:val="22"/>
          <w:lang w:val="es-ES"/>
        </w:rPr>
      </w:pPr>
    </w:p>
    <w:p w14:paraId="4D450C48" w14:textId="28733396" w:rsidR="00A93736" w:rsidRPr="00EB3D94" w:rsidRDefault="00A93736" w:rsidP="00BC4866">
      <w:pPr>
        <w:numPr>
          <w:ilvl w:val="0"/>
          <w:numId w:val="45"/>
        </w:numPr>
        <w:jc w:val="both"/>
        <w:rPr>
          <w:rFonts w:cs="Arial"/>
          <w:b/>
          <w:bCs/>
          <w:szCs w:val="22"/>
          <w:lang w:val="es-ES"/>
        </w:rPr>
      </w:pPr>
      <w:r w:rsidRPr="00EB3D94">
        <w:rPr>
          <w:lang w:val="es-ES"/>
        </w:rPr>
        <w:t>Este punto sólo será aplicable al LOT</w:t>
      </w:r>
      <w:r w:rsidR="00EF059B" w:rsidRPr="00EB3D94">
        <w:rPr>
          <w:lang w:val="es-ES"/>
        </w:rPr>
        <w:t>E</w:t>
      </w:r>
      <w:r w:rsidRPr="00EB3D94">
        <w:rPr>
          <w:lang w:val="es-ES"/>
        </w:rPr>
        <w:t xml:space="preserve"> 2.</w:t>
      </w:r>
    </w:p>
    <w:p w14:paraId="6CF50936" w14:textId="77777777" w:rsidR="00A93736" w:rsidRPr="00EB3D94" w:rsidRDefault="00A93736" w:rsidP="00BC4866">
      <w:pPr>
        <w:jc w:val="both"/>
        <w:rPr>
          <w:rFonts w:cs="Arial"/>
          <w:b/>
          <w:bCs/>
          <w:szCs w:val="22"/>
          <w:lang w:val="es-ES"/>
        </w:rPr>
      </w:pPr>
    </w:p>
    <w:p w14:paraId="0F6F3B68" w14:textId="668ED5EF" w:rsidR="00A93736" w:rsidRPr="00EB3D94" w:rsidRDefault="00A93736" w:rsidP="00BC4866">
      <w:pPr>
        <w:autoSpaceDE w:val="0"/>
        <w:autoSpaceDN w:val="0"/>
        <w:adjustRightInd w:val="0"/>
        <w:ind w:left="360"/>
        <w:jc w:val="both"/>
        <w:rPr>
          <w:rFonts w:cs="Arial"/>
          <w:szCs w:val="22"/>
          <w:lang w:val="es-ES"/>
        </w:rPr>
      </w:pPr>
      <w:r w:rsidRPr="00EB3D94">
        <w:rPr>
          <w:rFonts w:cs="Arial"/>
          <w:szCs w:val="22"/>
          <w:lang w:val="es-ES"/>
        </w:rPr>
        <w:t>Los requerimientos mínimos imprescindibles máximo a los tres meses del inicio de ejecución del contrato para las entidades adjudicatarias del LOT</w:t>
      </w:r>
      <w:r w:rsidR="00EF059B" w:rsidRPr="00EB3D94">
        <w:rPr>
          <w:rFonts w:cs="Arial"/>
          <w:szCs w:val="22"/>
          <w:lang w:val="es-ES"/>
        </w:rPr>
        <w:t>E</w:t>
      </w:r>
      <w:r w:rsidRPr="00EB3D94">
        <w:rPr>
          <w:rFonts w:cs="Arial"/>
          <w:szCs w:val="22"/>
          <w:lang w:val="es-ES"/>
        </w:rPr>
        <w:t xml:space="preserve"> 2, son los siguientes: </w:t>
      </w:r>
    </w:p>
    <w:p w14:paraId="3946AFB7" w14:textId="77777777" w:rsidR="00A93736" w:rsidRPr="00EB3D94" w:rsidRDefault="00A93736" w:rsidP="00BC4866">
      <w:pPr>
        <w:autoSpaceDE w:val="0"/>
        <w:autoSpaceDN w:val="0"/>
        <w:adjustRightInd w:val="0"/>
        <w:ind w:left="360"/>
        <w:jc w:val="both"/>
        <w:rPr>
          <w:rFonts w:cs="Arial"/>
          <w:szCs w:val="22"/>
          <w:lang w:val="es-ES"/>
        </w:rPr>
      </w:pPr>
    </w:p>
    <w:p w14:paraId="67CFDC64" w14:textId="10B226DE" w:rsidR="00A93736" w:rsidRPr="00EB3D94" w:rsidRDefault="00A93736" w:rsidP="00BC4866">
      <w:pPr>
        <w:numPr>
          <w:ilvl w:val="0"/>
          <w:numId w:val="46"/>
        </w:numPr>
        <w:autoSpaceDE w:val="0"/>
        <w:autoSpaceDN w:val="0"/>
        <w:adjustRightInd w:val="0"/>
        <w:jc w:val="both"/>
        <w:rPr>
          <w:rFonts w:cs="Arial"/>
          <w:szCs w:val="22"/>
          <w:lang w:val="es-ES"/>
        </w:rPr>
      </w:pPr>
      <w:r w:rsidRPr="00EB3D94">
        <w:rPr>
          <w:rFonts w:cs="Arial"/>
          <w:szCs w:val="22"/>
          <w:lang w:val="es-ES"/>
        </w:rPr>
        <w:t>Adaptación técnica pagos cotizaciones Seguridad Social: las entidades adjudicatarias del LOT</w:t>
      </w:r>
      <w:r w:rsidR="00EF059B" w:rsidRPr="00EB3D94">
        <w:rPr>
          <w:rFonts w:cs="Arial"/>
          <w:szCs w:val="22"/>
          <w:lang w:val="es-ES"/>
        </w:rPr>
        <w:t>E</w:t>
      </w:r>
      <w:r w:rsidRPr="00EB3D94">
        <w:rPr>
          <w:rFonts w:cs="Arial"/>
          <w:szCs w:val="22"/>
          <w:lang w:val="es-ES"/>
        </w:rPr>
        <w:t xml:space="preserve"> 2 </w:t>
      </w:r>
      <w:r w:rsidR="00A25938" w:rsidRPr="00EB3D94">
        <w:rPr>
          <w:rFonts w:cs="Arial"/>
          <w:szCs w:val="22"/>
          <w:lang w:val="es-ES"/>
        </w:rPr>
        <w:t xml:space="preserve">deberán </w:t>
      </w:r>
      <w:r w:rsidRPr="00EB3D94">
        <w:rPr>
          <w:rFonts w:cs="Arial"/>
          <w:szCs w:val="22"/>
          <w:lang w:val="es-ES"/>
        </w:rPr>
        <w:t xml:space="preserve">haber efectuado, máximo a los tres meses del inicio de ejecución del contrato, las adaptaciones técnicas necesarias con el fin de poder vehicular a través </w:t>
      </w:r>
      <w:proofErr w:type="spellStart"/>
      <w:r w:rsidRPr="00EB3D94">
        <w:rPr>
          <w:rFonts w:cs="Arial"/>
          <w:szCs w:val="22"/>
          <w:lang w:val="es-ES"/>
        </w:rPr>
        <w:t>d'Editran</w:t>
      </w:r>
      <w:proofErr w:type="spellEnd"/>
      <w:r w:rsidRPr="00EB3D94">
        <w:rPr>
          <w:rFonts w:cs="Arial"/>
          <w:szCs w:val="22"/>
          <w:lang w:val="es-ES"/>
        </w:rPr>
        <w:t xml:space="preserve"> v5.2 y mediante el uso de transferencias SEPA ISO 20022 el pago de documentos con código de barras estandarizado y normalizado (cuaderno 64, por ejemplo, 581-Tresoreria de la Seguridad Social). </w:t>
      </w:r>
    </w:p>
    <w:p w14:paraId="2C46CB29" w14:textId="77777777" w:rsidR="00A93736" w:rsidRPr="00EB3D94" w:rsidRDefault="00A93736" w:rsidP="00BC4866">
      <w:pPr>
        <w:jc w:val="both"/>
        <w:rPr>
          <w:rFonts w:cs="Arial"/>
          <w:b/>
          <w:bCs/>
          <w:szCs w:val="22"/>
          <w:lang w:val="es-ES"/>
        </w:rPr>
      </w:pPr>
    </w:p>
    <w:p w14:paraId="32ECADC6" w14:textId="6700307E" w:rsidR="00B41354" w:rsidRPr="00EB3D94" w:rsidRDefault="00B41354" w:rsidP="00BC4866">
      <w:pPr>
        <w:jc w:val="both"/>
        <w:rPr>
          <w:rFonts w:cs="Arial"/>
          <w:b/>
          <w:bCs/>
          <w:szCs w:val="22"/>
          <w:lang w:val="es-ES"/>
        </w:rPr>
      </w:pPr>
      <w:r w:rsidRPr="00EB3D94">
        <w:rPr>
          <w:rFonts w:cs="Arial"/>
          <w:b/>
          <w:bCs/>
          <w:szCs w:val="22"/>
          <w:lang w:val="es-ES"/>
        </w:rPr>
        <w:t xml:space="preserve">Con el objetivo de comprobar </w:t>
      </w:r>
      <w:r w:rsidR="00EF059B" w:rsidRPr="00EB3D94">
        <w:rPr>
          <w:rFonts w:cs="Arial"/>
          <w:b/>
          <w:bCs/>
          <w:szCs w:val="22"/>
          <w:lang w:val="es-ES"/>
        </w:rPr>
        <w:t>el cumplimiento de</w:t>
      </w:r>
      <w:r w:rsidRPr="00EB3D94">
        <w:rPr>
          <w:rFonts w:cs="Arial"/>
          <w:b/>
          <w:bCs/>
          <w:szCs w:val="22"/>
          <w:lang w:val="es-ES"/>
        </w:rPr>
        <w:t xml:space="preserve"> los requisitos mínimos establecidos en los apartados A y B anteriores, las entidades financieras licitadoras </w:t>
      </w:r>
      <w:r w:rsidR="00A25938" w:rsidRPr="00EB3D94">
        <w:rPr>
          <w:rFonts w:cs="Arial"/>
          <w:b/>
          <w:bCs/>
          <w:szCs w:val="22"/>
          <w:lang w:val="es-ES"/>
        </w:rPr>
        <w:t xml:space="preserve">deben </w:t>
      </w:r>
      <w:r w:rsidRPr="00EB3D94">
        <w:rPr>
          <w:rFonts w:cs="Arial"/>
          <w:b/>
          <w:bCs/>
          <w:szCs w:val="22"/>
          <w:lang w:val="es-ES"/>
        </w:rPr>
        <w:t xml:space="preserve">manifestar que darán cobertura de acuerdo con la estructura del cuadro del </w:t>
      </w:r>
      <w:r w:rsidRPr="00EB3D94">
        <w:rPr>
          <w:rFonts w:cs="Arial"/>
          <w:b/>
          <w:bCs/>
          <w:szCs w:val="22"/>
          <w:u w:val="single"/>
          <w:lang w:val="es-ES"/>
        </w:rPr>
        <w:t xml:space="preserve">Anexo </w:t>
      </w:r>
      <w:r w:rsidR="005D3194" w:rsidRPr="00EB3D94">
        <w:rPr>
          <w:rFonts w:cs="Arial"/>
          <w:b/>
          <w:bCs/>
          <w:szCs w:val="22"/>
          <w:u w:val="single"/>
          <w:lang w:val="es-ES"/>
        </w:rPr>
        <w:t>2</w:t>
      </w:r>
      <w:r w:rsidR="003611E7" w:rsidRPr="00EB3D94">
        <w:rPr>
          <w:rFonts w:cs="Arial"/>
          <w:b/>
          <w:bCs/>
          <w:szCs w:val="22"/>
          <w:u w:val="single"/>
          <w:lang w:val="es-ES"/>
        </w:rPr>
        <w:t xml:space="preserve">.1 </w:t>
      </w:r>
      <w:r w:rsidR="005D3194" w:rsidRPr="00EB3D94">
        <w:rPr>
          <w:rFonts w:cs="Arial"/>
          <w:b/>
          <w:bCs/>
          <w:szCs w:val="22"/>
          <w:u w:val="single"/>
          <w:lang w:val="es-ES"/>
        </w:rPr>
        <w:t>(para el LOT</w:t>
      </w:r>
      <w:r w:rsidR="00EF059B" w:rsidRPr="00EB3D94">
        <w:rPr>
          <w:rFonts w:cs="Arial"/>
          <w:b/>
          <w:bCs/>
          <w:szCs w:val="22"/>
          <w:u w:val="single"/>
          <w:lang w:val="es-ES"/>
        </w:rPr>
        <w:t>E</w:t>
      </w:r>
      <w:r w:rsidR="005D3194" w:rsidRPr="00EB3D94">
        <w:rPr>
          <w:rFonts w:cs="Arial"/>
          <w:b/>
          <w:bCs/>
          <w:szCs w:val="22"/>
          <w:u w:val="single"/>
          <w:lang w:val="es-ES"/>
        </w:rPr>
        <w:t xml:space="preserve"> 1) y del </w:t>
      </w:r>
      <w:r w:rsidR="003611E7" w:rsidRPr="00EB3D94">
        <w:rPr>
          <w:rFonts w:cs="Arial"/>
          <w:b/>
          <w:bCs/>
          <w:szCs w:val="22"/>
          <w:u w:val="single"/>
          <w:lang w:val="es-ES"/>
        </w:rPr>
        <w:t>Anexo 2.2</w:t>
      </w:r>
      <w:r w:rsidR="005D3194" w:rsidRPr="00EB3D94">
        <w:rPr>
          <w:rFonts w:cs="Arial"/>
          <w:b/>
          <w:bCs/>
          <w:szCs w:val="22"/>
          <w:u w:val="single"/>
          <w:lang w:val="es-ES"/>
        </w:rPr>
        <w:t xml:space="preserve"> (para el LOT</w:t>
      </w:r>
      <w:r w:rsidR="00EF059B" w:rsidRPr="00EB3D94">
        <w:rPr>
          <w:rFonts w:cs="Arial"/>
          <w:b/>
          <w:bCs/>
          <w:szCs w:val="22"/>
          <w:u w:val="single"/>
          <w:lang w:val="es-ES"/>
        </w:rPr>
        <w:t>E</w:t>
      </w:r>
      <w:r w:rsidR="005D3194" w:rsidRPr="00EB3D94">
        <w:rPr>
          <w:rFonts w:cs="Arial"/>
          <w:b/>
          <w:bCs/>
          <w:szCs w:val="22"/>
          <w:u w:val="single"/>
          <w:lang w:val="es-ES"/>
        </w:rPr>
        <w:t xml:space="preserve"> 2)</w:t>
      </w:r>
      <w:r w:rsidRPr="00EB3D94">
        <w:rPr>
          <w:rFonts w:cs="Arial"/>
          <w:b/>
          <w:bCs/>
          <w:szCs w:val="22"/>
          <w:lang w:val="es-ES"/>
        </w:rPr>
        <w:t xml:space="preserve">. </w:t>
      </w:r>
    </w:p>
    <w:p w14:paraId="3CD36284" w14:textId="77777777" w:rsidR="00B41354" w:rsidRPr="00EB3D94" w:rsidRDefault="00B41354" w:rsidP="00BC4866">
      <w:pPr>
        <w:ind w:left="360"/>
        <w:jc w:val="both"/>
        <w:rPr>
          <w:rFonts w:cs="Arial"/>
          <w:bCs/>
          <w:szCs w:val="22"/>
          <w:lang w:val="es-ES"/>
        </w:rPr>
      </w:pPr>
    </w:p>
    <w:p w14:paraId="147736C6" w14:textId="77777777" w:rsidR="00B41354" w:rsidRPr="00EB3D94" w:rsidRDefault="00B41354" w:rsidP="00BC4866">
      <w:pPr>
        <w:jc w:val="both"/>
        <w:rPr>
          <w:rFonts w:cs="Arial"/>
          <w:b/>
          <w:bCs/>
          <w:szCs w:val="22"/>
          <w:lang w:val="es-ES"/>
        </w:rPr>
      </w:pPr>
      <w:r w:rsidRPr="00EB3D94">
        <w:rPr>
          <w:rFonts w:cs="Arial"/>
          <w:b/>
          <w:bCs/>
          <w:szCs w:val="22"/>
          <w:lang w:val="es-ES"/>
        </w:rPr>
        <w:t>No se admitirán a la licitación a las entidades financieras que presenten propuestas que no cumplan los requerimientos mínimos establecidos o que excedan el plazo para la disponibilidad de las funcionalidades no requeridas al inicio de la ejecución del contrato.</w:t>
      </w:r>
    </w:p>
    <w:p w14:paraId="3C7D1515" w14:textId="77777777" w:rsidR="00B41354" w:rsidRPr="00EB3D94" w:rsidRDefault="00B41354" w:rsidP="00BC4866">
      <w:pPr>
        <w:ind w:left="360"/>
        <w:jc w:val="both"/>
        <w:rPr>
          <w:rFonts w:cs="Arial"/>
          <w:bCs/>
          <w:szCs w:val="22"/>
          <w:lang w:val="es-ES"/>
        </w:rPr>
      </w:pPr>
    </w:p>
    <w:p w14:paraId="259EA797" w14:textId="68E1B5B5" w:rsidR="005B42AB" w:rsidRPr="00EB3D94" w:rsidRDefault="005B42AB" w:rsidP="00BC4866">
      <w:pPr>
        <w:jc w:val="both"/>
        <w:rPr>
          <w:rFonts w:cs="Arial"/>
          <w:szCs w:val="22"/>
          <w:lang w:val="es-ES"/>
        </w:rPr>
      </w:pPr>
      <w:r w:rsidRPr="00EB3D94">
        <w:rPr>
          <w:rFonts w:cs="Arial"/>
          <w:szCs w:val="22"/>
          <w:lang w:val="es-ES"/>
        </w:rPr>
        <w:t>El servicio de Cash-</w:t>
      </w:r>
      <w:proofErr w:type="spellStart"/>
      <w:r w:rsidRPr="00EB3D94">
        <w:rPr>
          <w:rFonts w:cs="Arial"/>
          <w:szCs w:val="22"/>
          <w:lang w:val="es-ES"/>
        </w:rPr>
        <w:t>pooling</w:t>
      </w:r>
      <w:proofErr w:type="spellEnd"/>
      <w:r w:rsidRPr="00EB3D94">
        <w:rPr>
          <w:rFonts w:cs="Arial"/>
          <w:szCs w:val="22"/>
          <w:lang w:val="es-ES"/>
        </w:rPr>
        <w:t xml:space="preserve"> a ofrecer </w:t>
      </w:r>
      <w:r w:rsidR="00982820" w:rsidRPr="00EB3D94">
        <w:rPr>
          <w:rFonts w:cs="Arial"/>
          <w:szCs w:val="22"/>
          <w:lang w:val="es-ES"/>
        </w:rPr>
        <w:t xml:space="preserve">debe </w:t>
      </w:r>
      <w:r w:rsidRPr="00EB3D94">
        <w:rPr>
          <w:rFonts w:cs="Arial"/>
          <w:szCs w:val="22"/>
          <w:lang w:val="es-ES"/>
        </w:rPr>
        <w:t>permitir la gestión de la Tesorería Corporativa de la Generalitat de Catalunya y de sus Entidades Públicas. Las empresas que ya incorporan este</w:t>
      </w:r>
      <w:r w:rsidR="00467B34" w:rsidRPr="00EB3D94">
        <w:rPr>
          <w:rFonts w:cs="Arial"/>
          <w:szCs w:val="22"/>
          <w:lang w:val="es-ES"/>
        </w:rPr>
        <w:t xml:space="preserve"> </w:t>
      </w:r>
      <w:r w:rsidR="00467B34" w:rsidRPr="00EB3D94">
        <w:rPr>
          <w:rFonts w:cs="Arial"/>
          <w:szCs w:val="22"/>
          <w:lang w:val="es-ES"/>
        </w:rPr>
        <w:lastRenderedPageBreak/>
        <w:t xml:space="preserve">servicio se detallan en </w:t>
      </w:r>
      <w:r w:rsidR="00467B34" w:rsidRPr="00EB3D94">
        <w:rPr>
          <w:rFonts w:cs="Arial"/>
          <w:b/>
          <w:szCs w:val="22"/>
          <w:u w:val="single"/>
          <w:lang w:val="es-ES"/>
        </w:rPr>
        <w:t xml:space="preserve">el Anexo </w:t>
      </w:r>
      <w:r w:rsidR="003611E7" w:rsidRPr="00EB3D94">
        <w:rPr>
          <w:rFonts w:cs="Arial"/>
          <w:b/>
          <w:szCs w:val="22"/>
          <w:u w:val="single"/>
          <w:lang w:val="es-ES"/>
        </w:rPr>
        <w:t>1</w:t>
      </w:r>
      <w:r w:rsidRPr="00EB3D94">
        <w:rPr>
          <w:rFonts w:cs="Arial"/>
          <w:szCs w:val="22"/>
          <w:lang w:val="es-ES"/>
        </w:rPr>
        <w:t>. La Subdirección General de Tesorería determinará las nuevas incorporaciones que se pueden producir durante la vigencia del contrato.</w:t>
      </w:r>
    </w:p>
    <w:p w14:paraId="529000FB" w14:textId="77777777" w:rsidR="005B42AB" w:rsidRPr="00EB3D94" w:rsidRDefault="005B42AB" w:rsidP="00BC4866">
      <w:pPr>
        <w:jc w:val="both"/>
        <w:rPr>
          <w:rFonts w:cs="Arial"/>
          <w:szCs w:val="22"/>
          <w:lang w:val="es-ES"/>
        </w:rPr>
      </w:pPr>
    </w:p>
    <w:p w14:paraId="79826EB4" w14:textId="77777777" w:rsidR="005B42AB" w:rsidRPr="00EB3D94" w:rsidRDefault="005B42AB" w:rsidP="00BC4866">
      <w:pPr>
        <w:jc w:val="both"/>
        <w:rPr>
          <w:rFonts w:cs="Arial"/>
          <w:szCs w:val="22"/>
          <w:lang w:val="es-ES"/>
        </w:rPr>
      </w:pPr>
      <w:r w:rsidRPr="00EB3D94">
        <w:rPr>
          <w:rFonts w:cs="Arial"/>
          <w:szCs w:val="22"/>
          <w:lang w:val="es-ES"/>
        </w:rPr>
        <w:t>Los interlocutores principales en relación con el servicio de Cash-</w:t>
      </w:r>
      <w:proofErr w:type="spellStart"/>
      <w:r w:rsidRPr="00EB3D94">
        <w:rPr>
          <w:rFonts w:cs="Arial"/>
          <w:szCs w:val="22"/>
          <w:lang w:val="es-ES"/>
        </w:rPr>
        <w:t>pooling</w:t>
      </w:r>
      <w:proofErr w:type="spellEnd"/>
      <w:r w:rsidRPr="00EB3D94">
        <w:rPr>
          <w:rFonts w:cs="Arial"/>
          <w:szCs w:val="22"/>
          <w:lang w:val="es-ES"/>
        </w:rPr>
        <w:t xml:space="preserve"> serán:</w:t>
      </w:r>
    </w:p>
    <w:p w14:paraId="1BDDE136" w14:textId="77777777" w:rsidR="005B42AB" w:rsidRPr="00EB3D94" w:rsidRDefault="005B42AB" w:rsidP="00BC4866">
      <w:pPr>
        <w:numPr>
          <w:ilvl w:val="0"/>
          <w:numId w:val="3"/>
        </w:numPr>
        <w:jc w:val="both"/>
        <w:rPr>
          <w:rFonts w:cs="Arial"/>
          <w:bCs/>
          <w:iCs/>
          <w:szCs w:val="22"/>
          <w:lang w:val="es-ES"/>
        </w:rPr>
      </w:pPr>
      <w:r w:rsidRPr="00EB3D94">
        <w:rPr>
          <w:rFonts w:cs="Arial"/>
          <w:bCs/>
          <w:iCs/>
          <w:szCs w:val="22"/>
          <w:lang w:val="es-ES"/>
        </w:rPr>
        <w:t xml:space="preserve">Para la Tesorería Corporativa de la Generalitat: la Subdirección General de Tesorería y los responsables técnicos que asigne el Área de Tecnologías de la Información y las Comunicaciones del Departamento </w:t>
      </w:r>
      <w:r w:rsidR="00FA0BB5" w:rsidRPr="00EB3D94">
        <w:rPr>
          <w:rFonts w:cs="Arial"/>
          <w:bCs/>
          <w:iCs/>
          <w:szCs w:val="22"/>
          <w:lang w:val="es-ES"/>
        </w:rPr>
        <w:t xml:space="preserve">de Economía y </w:t>
      </w:r>
      <w:r w:rsidR="00D941EB" w:rsidRPr="00EB3D94">
        <w:rPr>
          <w:rFonts w:cs="Arial"/>
          <w:bCs/>
          <w:iCs/>
          <w:szCs w:val="22"/>
          <w:lang w:val="es-ES"/>
        </w:rPr>
        <w:t>Finanzas.</w:t>
      </w:r>
    </w:p>
    <w:p w14:paraId="2A1584CC" w14:textId="77777777" w:rsidR="005B42AB" w:rsidRPr="00EB3D94" w:rsidRDefault="005B42AB" w:rsidP="00BC4866">
      <w:pPr>
        <w:numPr>
          <w:ilvl w:val="0"/>
          <w:numId w:val="3"/>
        </w:numPr>
        <w:jc w:val="both"/>
        <w:rPr>
          <w:rFonts w:cs="Arial"/>
          <w:szCs w:val="22"/>
          <w:lang w:val="es-ES"/>
        </w:rPr>
      </w:pPr>
      <w:r w:rsidRPr="00EB3D94">
        <w:rPr>
          <w:rFonts w:cs="Arial"/>
          <w:szCs w:val="22"/>
          <w:lang w:val="es-ES"/>
        </w:rPr>
        <w:t>Para Las Entidades Públicas adheridas: los responsables de la gestión de tesorería.</w:t>
      </w:r>
    </w:p>
    <w:p w14:paraId="16945815" w14:textId="77777777" w:rsidR="00E236C0" w:rsidRPr="00EB3D94" w:rsidRDefault="00E236C0" w:rsidP="00BC4866">
      <w:pPr>
        <w:numPr>
          <w:ilvl w:val="0"/>
          <w:numId w:val="3"/>
        </w:numPr>
        <w:jc w:val="both"/>
        <w:rPr>
          <w:rFonts w:cs="Arial"/>
          <w:szCs w:val="22"/>
          <w:lang w:val="es-ES"/>
        </w:rPr>
      </w:pPr>
      <w:r w:rsidRPr="00EB3D94">
        <w:rPr>
          <w:rFonts w:cs="Arial"/>
          <w:szCs w:val="22"/>
          <w:lang w:val="es-ES"/>
        </w:rPr>
        <w:t>Para las Entidades Financieras: un mínimo de dos interlocutores expertos en la operativa del Sector Público que den cobertura a la operativa del sistema.</w:t>
      </w:r>
    </w:p>
    <w:p w14:paraId="5403EC87" w14:textId="77777777" w:rsidR="005B42AB" w:rsidRPr="00EB3D94" w:rsidRDefault="005B42AB" w:rsidP="00BC4866">
      <w:pPr>
        <w:jc w:val="both"/>
        <w:rPr>
          <w:rFonts w:cs="Arial"/>
          <w:szCs w:val="22"/>
          <w:lang w:val="es-ES"/>
        </w:rPr>
      </w:pPr>
    </w:p>
    <w:p w14:paraId="3595DB26" w14:textId="77777777" w:rsidR="005B42AB" w:rsidRPr="00EB3D94" w:rsidRDefault="005B42AB" w:rsidP="00BC4866">
      <w:pPr>
        <w:jc w:val="both"/>
        <w:rPr>
          <w:rFonts w:cs="Arial"/>
          <w:szCs w:val="22"/>
          <w:lang w:val="es-ES"/>
        </w:rPr>
      </w:pPr>
      <w:r w:rsidRPr="00EB3D94">
        <w:rPr>
          <w:rFonts w:cs="Arial"/>
          <w:szCs w:val="22"/>
          <w:lang w:val="es-ES"/>
        </w:rPr>
        <w:t>La Tesorería Corporativa desarrollará las siguientes actividades:</w:t>
      </w:r>
    </w:p>
    <w:p w14:paraId="51050E0E" w14:textId="77777777" w:rsidR="005B42AB" w:rsidRPr="00EB3D94" w:rsidRDefault="005B42AB" w:rsidP="00BC4866">
      <w:pPr>
        <w:numPr>
          <w:ilvl w:val="0"/>
          <w:numId w:val="9"/>
        </w:numPr>
        <w:jc w:val="both"/>
        <w:rPr>
          <w:rFonts w:cs="Arial"/>
          <w:szCs w:val="22"/>
          <w:lang w:val="es-ES"/>
        </w:rPr>
      </w:pPr>
      <w:r w:rsidRPr="00EB3D94">
        <w:rPr>
          <w:rFonts w:cs="Arial"/>
          <w:szCs w:val="22"/>
          <w:lang w:val="es-ES"/>
        </w:rPr>
        <w:t>Envío de ficheros de operaciones (pagos / cobros) correspondientes a las cuentas operativas de la Tesorería Departamental y de la Tesorería</w:t>
      </w:r>
      <w:r w:rsidR="002667DB" w:rsidRPr="00EB3D94">
        <w:rPr>
          <w:rFonts w:cs="Arial"/>
          <w:szCs w:val="22"/>
          <w:lang w:val="es-ES"/>
        </w:rPr>
        <w:t xml:space="preserve"> del Ámbito Sanitario</w:t>
      </w:r>
      <w:r w:rsidRPr="00EB3D94">
        <w:rPr>
          <w:rFonts w:cs="Arial"/>
          <w:szCs w:val="22"/>
          <w:lang w:val="es-ES"/>
        </w:rPr>
        <w:t>.</w:t>
      </w:r>
    </w:p>
    <w:p w14:paraId="49F91357" w14:textId="77777777" w:rsidR="005B42AB" w:rsidRPr="00EB3D94" w:rsidRDefault="005B42AB" w:rsidP="00BC4866">
      <w:pPr>
        <w:numPr>
          <w:ilvl w:val="0"/>
          <w:numId w:val="9"/>
        </w:numPr>
        <w:jc w:val="both"/>
        <w:rPr>
          <w:rFonts w:cs="Arial"/>
          <w:szCs w:val="22"/>
          <w:lang w:val="es-ES"/>
        </w:rPr>
      </w:pPr>
      <w:r w:rsidRPr="00EB3D94">
        <w:rPr>
          <w:rFonts w:cs="Arial"/>
          <w:szCs w:val="22"/>
          <w:lang w:val="es-ES"/>
        </w:rPr>
        <w:t>Envío del fichero con los límites operativos semanales para las cuentas operativas de las Entidades Públicas.</w:t>
      </w:r>
    </w:p>
    <w:p w14:paraId="7367CBCA" w14:textId="77777777" w:rsidR="005B42AB" w:rsidRPr="00EB3D94" w:rsidRDefault="005B42AB" w:rsidP="00BC4866">
      <w:pPr>
        <w:numPr>
          <w:ilvl w:val="0"/>
          <w:numId w:val="9"/>
        </w:numPr>
        <w:jc w:val="both"/>
        <w:rPr>
          <w:rFonts w:cs="Arial"/>
          <w:szCs w:val="22"/>
          <w:lang w:val="es-ES"/>
        </w:rPr>
      </w:pPr>
      <w:r w:rsidRPr="00EB3D94">
        <w:rPr>
          <w:rFonts w:cs="Arial"/>
          <w:szCs w:val="22"/>
          <w:lang w:val="es-ES"/>
        </w:rPr>
        <w:t>Actualización de los límites operativos.</w:t>
      </w:r>
    </w:p>
    <w:p w14:paraId="700206C1" w14:textId="6795B19F" w:rsidR="005B42AB" w:rsidRPr="00EB3D94" w:rsidRDefault="005B42AB" w:rsidP="00BC4866">
      <w:pPr>
        <w:numPr>
          <w:ilvl w:val="0"/>
          <w:numId w:val="9"/>
        </w:numPr>
        <w:jc w:val="both"/>
        <w:rPr>
          <w:rFonts w:cs="Arial"/>
          <w:szCs w:val="22"/>
          <w:lang w:val="es-ES"/>
        </w:rPr>
      </w:pPr>
      <w:r w:rsidRPr="00EB3D94">
        <w:rPr>
          <w:rFonts w:cs="Arial"/>
          <w:szCs w:val="22"/>
          <w:lang w:val="es-ES"/>
        </w:rPr>
        <w:t xml:space="preserve">Carga de los extractos bancarios de la </w:t>
      </w:r>
      <w:r w:rsidR="00192A34" w:rsidRPr="00EB3D94">
        <w:rPr>
          <w:rFonts w:cs="Arial"/>
          <w:szCs w:val="22"/>
          <w:lang w:val="es-ES"/>
        </w:rPr>
        <w:t>cuenta tesorera</w:t>
      </w:r>
      <w:r w:rsidRPr="00EB3D94">
        <w:rPr>
          <w:rFonts w:cs="Arial"/>
          <w:szCs w:val="22"/>
          <w:lang w:val="es-ES"/>
        </w:rPr>
        <w:t xml:space="preserve">. </w:t>
      </w:r>
    </w:p>
    <w:p w14:paraId="18CA1C6B" w14:textId="77777777" w:rsidR="005B42AB" w:rsidRPr="00EB3D94" w:rsidRDefault="005B42AB" w:rsidP="00793E85">
      <w:pPr>
        <w:numPr>
          <w:ilvl w:val="0"/>
          <w:numId w:val="9"/>
        </w:numPr>
        <w:jc w:val="both"/>
        <w:rPr>
          <w:rFonts w:cs="Arial"/>
          <w:szCs w:val="22"/>
          <w:lang w:val="es-ES"/>
        </w:rPr>
      </w:pPr>
      <w:r w:rsidRPr="00EB3D94">
        <w:rPr>
          <w:rFonts w:cs="Arial"/>
          <w:szCs w:val="22"/>
          <w:lang w:val="es-ES"/>
        </w:rPr>
        <w:t>Carga de los extractos bancarios de las cuentas operativas del entorno</w:t>
      </w:r>
      <w:r w:rsidR="00793E85" w:rsidRPr="00EB3D94">
        <w:rPr>
          <w:rFonts w:cs="Arial"/>
          <w:szCs w:val="22"/>
          <w:lang w:val="es-ES"/>
        </w:rPr>
        <w:t xml:space="preserve"> d</w:t>
      </w:r>
      <w:r w:rsidRPr="00EB3D94">
        <w:rPr>
          <w:rFonts w:cs="Arial"/>
          <w:szCs w:val="22"/>
          <w:lang w:val="es-ES"/>
        </w:rPr>
        <w:t>epartamentales</w:t>
      </w:r>
      <w:r w:rsidR="00793E85" w:rsidRPr="00EB3D94">
        <w:rPr>
          <w:rFonts w:cs="Arial"/>
          <w:szCs w:val="22"/>
          <w:lang w:val="es-ES"/>
        </w:rPr>
        <w:t xml:space="preserve"> y d</w:t>
      </w:r>
      <w:r w:rsidR="0057405D" w:rsidRPr="00EB3D94">
        <w:rPr>
          <w:rFonts w:cs="Arial"/>
          <w:szCs w:val="22"/>
          <w:lang w:val="es-ES"/>
        </w:rPr>
        <w:t xml:space="preserve">el </w:t>
      </w:r>
      <w:r w:rsidR="002667DB" w:rsidRPr="00EB3D94">
        <w:rPr>
          <w:rFonts w:cs="Arial"/>
          <w:szCs w:val="22"/>
          <w:lang w:val="es-ES"/>
        </w:rPr>
        <w:t>ámbito sanitario</w:t>
      </w:r>
      <w:r w:rsidRPr="00EB3D94">
        <w:rPr>
          <w:rFonts w:cs="Arial"/>
          <w:szCs w:val="22"/>
          <w:lang w:val="es-ES"/>
        </w:rPr>
        <w:t>.</w:t>
      </w:r>
    </w:p>
    <w:p w14:paraId="1CB0E38E" w14:textId="77777777" w:rsidR="005B42AB" w:rsidRPr="00EB3D94" w:rsidRDefault="005B42AB" w:rsidP="00BC4866">
      <w:pPr>
        <w:numPr>
          <w:ilvl w:val="0"/>
          <w:numId w:val="9"/>
        </w:numPr>
        <w:jc w:val="both"/>
        <w:rPr>
          <w:rFonts w:cs="Arial"/>
          <w:szCs w:val="22"/>
          <w:lang w:val="es-ES"/>
        </w:rPr>
      </w:pPr>
      <w:r w:rsidRPr="00EB3D94">
        <w:rPr>
          <w:rFonts w:cs="Arial"/>
          <w:szCs w:val="22"/>
          <w:lang w:val="es-ES"/>
        </w:rPr>
        <w:t xml:space="preserve">Consulta de informes. </w:t>
      </w:r>
    </w:p>
    <w:p w14:paraId="49167848" w14:textId="77777777" w:rsidR="005B42AB" w:rsidRPr="00EB3D94" w:rsidRDefault="005B42AB" w:rsidP="00BC4866">
      <w:pPr>
        <w:jc w:val="both"/>
        <w:rPr>
          <w:rFonts w:cs="Arial"/>
          <w:szCs w:val="22"/>
          <w:lang w:val="es-ES"/>
        </w:rPr>
      </w:pPr>
    </w:p>
    <w:p w14:paraId="7E1136BF" w14:textId="77777777" w:rsidR="005B42AB" w:rsidRPr="00EB3D94" w:rsidRDefault="005B42AB" w:rsidP="00BC4866">
      <w:pPr>
        <w:jc w:val="both"/>
        <w:rPr>
          <w:rFonts w:cs="Arial"/>
          <w:szCs w:val="22"/>
          <w:lang w:val="es-ES"/>
        </w:rPr>
      </w:pPr>
      <w:r w:rsidRPr="00EB3D94">
        <w:rPr>
          <w:rFonts w:cs="Arial"/>
          <w:szCs w:val="22"/>
          <w:lang w:val="es-ES"/>
        </w:rPr>
        <w:t>La Tesorería de las Entidades Públicas desarrollará las siguientes actividades:</w:t>
      </w:r>
    </w:p>
    <w:p w14:paraId="756E405C" w14:textId="77777777" w:rsidR="005B42AB" w:rsidRPr="00EB3D94" w:rsidRDefault="005B42AB" w:rsidP="00BC4866">
      <w:pPr>
        <w:numPr>
          <w:ilvl w:val="0"/>
          <w:numId w:val="9"/>
        </w:numPr>
        <w:jc w:val="both"/>
        <w:rPr>
          <w:rFonts w:cs="Arial"/>
          <w:szCs w:val="22"/>
          <w:lang w:val="es-ES"/>
        </w:rPr>
      </w:pPr>
      <w:r w:rsidRPr="00EB3D94">
        <w:rPr>
          <w:rFonts w:cs="Arial"/>
          <w:szCs w:val="22"/>
          <w:lang w:val="es-ES"/>
        </w:rPr>
        <w:t>Envío de ficheros de operaciones de las cuentas operativas (pagos / cobros).</w:t>
      </w:r>
    </w:p>
    <w:p w14:paraId="21A7F6BF" w14:textId="77777777" w:rsidR="005B42AB" w:rsidRPr="00EB3D94" w:rsidRDefault="005B42AB" w:rsidP="00BC4866">
      <w:pPr>
        <w:numPr>
          <w:ilvl w:val="0"/>
          <w:numId w:val="9"/>
        </w:numPr>
        <w:jc w:val="both"/>
        <w:rPr>
          <w:rFonts w:cs="Arial"/>
          <w:szCs w:val="22"/>
          <w:lang w:val="es-ES"/>
        </w:rPr>
      </w:pPr>
      <w:r w:rsidRPr="00EB3D94">
        <w:rPr>
          <w:rFonts w:cs="Arial"/>
          <w:szCs w:val="22"/>
          <w:lang w:val="es-ES"/>
        </w:rPr>
        <w:t>Carga de los extractos bancarios de la cuenta operativa.</w:t>
      </w:r>
    </w:p>
    <w:p w14:paraId="43B1B176" w14:textId="77777777" w:rsidR="005B42AB" w:rsidRPr="00EB3D94" w:rsidRDefault="005B42AB" w:rsidP="00BC4866">
      <w:pPr>
        <w:numPr>
          <w:ilvl w:val="0"/>
          <w:numId w:val="9"/>
        </w:numPr>
        <w:jc w:val="both"/>
        <w:rPr>
          <w:rFonts w:cs="Arial"/>
          <w:szCs w:val="22"/>
          <w:lang w:val="es-ES"/>
        </w:rPr>
      </w:pPr>
      <w:r w:rsidRPr="00EB3D94">
        <w:rPr>
          <w:rFonts w:cs="Arial"/>
          <w:szCs w:val="22"/>
          <w:lang w:val="es-ES"/>
        </w:rPr>
        <w:t>Consulta de informes.</w:t>
      </w:r>
    </w:p>
    <w:p w14:paraId="12F1DEED" w14:textId="77777777" w:rsidR="00B41354" w:rsidRPr="00EB3D94" w:rsidRDefault="00B41354" w:rsidP="00BC4866">
      <w:pPr>
        <w:spacing w:line="264" w:lineRule="auto"/>
        <w:jc w:val="both"/>
        <w:rPr>
          <w:rFonts w:cs="Arial"/>
          <w:szCs w:val="22"/>
          <w:lang w:val="es-ES"/>
        </w:rPr>
      </w:pPr>
    </w:p>
    <w:p w14:paraId="6401E284" w14:textId="77777777" w:rsidR="00135784" w:rsidRPr="00EB3D94" w:rsidRDefault="00135784" w:rsidP="00BC4866">
      <w:pPr>
        <w:pStyle w:val="Default"/>
        <w:jc w:val="both"/>
        <w:rPr>
          <w:color w:val="auto"/>
          <w:sz w:val="22"/>
          <w:szCs w:val="22"/>
          <w:lang w:val="es-ES"/>
        </w:rPr>
      </w:pPr>
      <w:r w:rsidRPr="00EB3D94">
        <w:rPr>
          <w:color w:val="auto"/>
          <w:sz w:val="22"/>
          <w:szCs w:val="22"/>
          <w:lang w:val="es-ES"/>
        </w:rPr>
        <w:t xml:space="preserve">Los servicios objeto del contrato son los de la Tesorería Corporativa de la Generalitat de Catalunya y los de las Entidades Públicas de su Sector Público. Los tipos de ente pueden ser: Generalitat (ámbito departamental), Servicio Catalán de la Salud (SCS), Entidades autónomas administrativas, Entidades autónomas comerciales y financieras, Entidades de derecho público (incluido el Instituto Catalán de la Salud-ICS), Sociedades mercantiles vinculadas a la Generalitat, Consorcios, Fundaciones y Universidades. </w:t>
      </w:r>
    </w:p>
    <w:p w14:paraId="375BD98A" w14:textId="77777777" w:rsidR="00135784" w:rsidRPr="00EB3D94" w:rsidRDefault="00135784" w:rsidP="00BC4866">
      <w:pPr>
        <w:pStyle w:val="Default"/>
        <w:jc w:val="both"/>
        <w:rPr>
          <w:color w:val="auto"/>
          <w:sz w:val="22"/>
          <w:szCs w:val="22"/>
          <w:lang w:val="es-ES"/>
        </w:rPr>
      </w:pPr>
    </w:p>
    <w:p w14:paraId="59B55913" w14:textId="50707A11" w:rsidR="00241B08" w:rsidRPr="00EB3D94" w:rsidRDefault="00135784" w:rsidP="00BC4866">
      <w:pPr>
        <w:jc w:val="both"/>
        <w:rPr>
          <w:lang w:val="es-ES"/>
        </w:rPr>
      </w:pPr>
      <w:r w:rsidRPr="00EB3D94">
        <w:rPr>
          <w:szCs w:val="22"/>
          <w:lang w:val="es-ES"/>
        </w:rPr>
        <w:t xml:space="preserve">En el modelo actualmente vigente la </w:t>
      </w:r>
      <w:r w:rsidR="00E16151" w:rsidRPr="00EB3D94">
        <w:rPr>
          <w:szCs w:val="22"/>
          <w:lang w:val="es-ES"/>
        </w:rPr>
        <w:t>Subdirección</w:t>
      </w:r>
      <w:r w:rsidR="00FB60CF" w:rsidRPr="00EB3D94">
        <w:rPr>
          <w:szCs w:val="22"/>
          <w:lang w:val="es-ES"/>
        </w:rPr>
        <w:t xml:space="preserve"> </w:t>
      </w:r>
      <w:r w:rsidRPr="00EB3D94">
        <w:rPr>
          <w:szCs w:val="22"/>
          <w:lang w:val="es-ES"/>
        </w:rPr>
        <w:t xml:space="preserve">General de Tesorería gestiona directamente, mediante la Tesorería Corporativa, tanto las </w:t>
      </w:r>
      <w:r w:rsidR="00192A34" w:rsidRPr="00EB3D94">
        <w:rPr>
          <w:szCs w:val="22"/>
          <w:lang w:val="es-ES"/>
        </w:rPr>
        <w:t>cuentas tesoreras</w:t>
      </w:r>
      <w:r w:rsidRPr="00EB3D94">
        <w:rPr>
          <w:szCs w:val="22"/>
          <w:lang w:val="es-ES"/>
        </w:rPr>
        <w:t xml:space="preserve"> como las cuentas operativas correspondientes a la operativa de los Departamentos y la del SCS y del ICS.</w:t>
      </w:r>
    </w:p>
    <w:p w14:paraId="1D2714DB" w14:textId="77777777" w:rsidR="00135784" w:rsidRPr="00EB3D94" w:rsidRDefault="00135784" w:rsidP="00BC4866">
      <w:pPr>
        <w:jc w:val="both"/>
        <w:rPr>
          <w:lang w:val="es-ES"/>
        </w:rPr>
      </w:pPr>
    </w:p>
    <w:p w14:paraId="7F57DF0F" w14:textId="52C964A0" w:rsidR="00135784" w:rsidRPr="00EB3D94" w:rsidRDefault="00135784" w:rsidP="00BC4866">
      <w:pPr>
        <w:pStyle w:val="Default"/>
        <w:jc w:val="both"/>
        <w:rPr>
          <w:color w:val="auto"/>
          <w:sz w:val="22"/>
          <w:szCs w:val="22"/>
          <w:lang w:val="es-ES"/>
        </w:rPr>
      </w:pPr>
      <w:r w:rsidRPr="00EB3D94">
        <w:rPr>
          <w:color w:val="auto"/>
          <w:sz w:val="22"/>
          <w:szCs w:val="22"/>
          <w:lang w:val="es-ES"/>
        </w:rPr>
        <w:t>El resto de</w:t>
      </w:r>
      <w:r w:rsidR="00245555" w:rsidRPr="00EB3D94">
        <w:rPr>
          <w:color w:val="auto"/>
          <w:sz w:val="22"/>
          <w:szCs w:val="22"/>
          <w:lang w:val="es-ES"/>
        </w:rPr>
        <w:t xml:space="preserve"> </w:t>
      </w:r>
      <w:proofErr w:type="gramStart"/>
      <w:r w:rsidRPr="00EB3D94">
        <w:rPr>
          <w:color w:val="auto"/>
          <w:sz w:val="22"/>
          <w:szCs w:val="22"/>
          <w:lang w:val="es-ES"/>
        </w:rPr>
        <w:t>entidades</w:t>
      </w:r>
      <w:proofErr w:type="gramEnd"/>
      <w:r w:rsidRPr="00EB3D94">
        <w:rPr>
          <w:color w:val="auto"/>
          <w:sz w:val="22"/>
          <w:szCs w:val="22"/>
          <w:lang w:val="es-ES"/>
        </w:rPr>
        <w:t xml:space="preserve"> </w:t>
      </w:r>
      <w:r w:rsidR="00642DC3" w:rsidRPr="00EB3D94">
        <w:rPr>
          <w:color w:val="auto"/>
          <w:sz w:val="22"/>
          <w:szCs w:val="22"/>
          <w:lang w:val="es-ES"/>
        </w:rPr>
        <w:t>se agrupan</w:t>
      </w:r>
      <w:r w:rsidRPr="00EB3D94">
        <w:rPr>
          <w:color w:val="auto"/>
          <w:sz w:val="22"/>
          <w:szCs w:val="22"/>
          <w:lang w:val="es-ES"/>
        </w:rPr>
        <w:t xml:space="preserve"> bajo el epígrafe de Entidades Públicas que pueden ser entidades SECO (entidades clasificadas dentro del sector administraciones públicas según el Sistema Europeo de Cuentas) y entidades NO SECO. </w:t>
      </w:r>
    </w:p>
    <w:p w14:paraId="691549EB" w14:textId="77777777" w:rsidR="00135784" w:rsidRPr="00EB3D94" w:rsidRDefault="00135784" w:rsidP="00BC4866">
      <w:pPr>
        <w:pStyle w:val="Default"/>
        <w:jc w:val="both"/>
        <w:rPr>
          <w:color w:val="auto"/>
          <w:sz w:val="22"/>
          <w:szCs w:val="22"/>
          <w:lang w:val="es-ES"/>
        </w:rPr>
      </w:pPr>
    </w:p>
    <w:p w14:paraId="70C1A5CB" w14:textId="77777777" w:rsidR="00B41354" w:rsidRPr="00EB3D94" w:rsidRDefault="00135784" w:rsidP="00BC4866">
      <w:pPr>
        <w:jc w:val="both"/>
        <w:rPr>
          <w:szCs w:val="22"/>
          <w:lang w:val="es-ES"/>
        </w:rPr>
      </w:pPr>
      <w:r w:rsidRPr="00EB3D94">
        <w:rPr>
          <w:szCs w:val="22"/>
          <w:lang w:val="es-ES"/>
        </w:rPr>
        <w:t>Las Entidades Públicas actualmente adheridas al sistema de cash-</w:t>
      </w:r>
      <w:proofErr w:type="spellStart"/>
      <w:r w:rsidRPr="00EB3D94">
        <w:rPr>
          <w:szCs w:val="22"/>
          <w:lang w:val="es-ES"/>
        </w:rPr>
        <w:t>pooling</w:t>
      </w:r>
      <w:proofErr w:type="spellEnd"/>
      <w:r w:rsidRPr="00EB3D94">
        <w:rPr>
          <w:szCs w:val="22"/>
          <w:lang w:val="es-ES"/>
        </w:rPr>
        <w:t xml:space="preserve"> y, por lo tanto, incluidas en el objeto del contrato son las que se detallan </w:t>
      </w:r>
      <w:r w:rsidRPr="00EB3D94">
        <w:rPr>
          <w:szCs w:val="22"/>
          <w:u w:val="single"/>
          <w:lang w:val="es-ES"/>
        </w:rPr>
        <w:t>en el Anexo 1.</w:t>
      </w:r>
      <w:r w:rsidRPr="00EB3D94">
        <w:rPr>
          <w:szCs w:val="22"/>
          <w:lang w:val="es-ES"/>
        </w:rPr>
        <w:t xml:space="preserve"> La </w:t>
      </w:r>
      <w:r w:rsidR="00E16151" w:rsidRPr="00EB3D94">
        <w:rPr>
          <w:szCs w:val="22"/>
          <w:lang w:val="es-ES"/>
        </w:rPr>
        <w:t>Subdirección</w:t>
      </w:r>
      <w:r w:rsidR="00ED0B09" w:rsidRPr="00EB3D94">
        <w:rPr>
          <w:szCs w:val="22"/>
          <w:lang w:val="es-ES"/>
        </w:rPr>
        <w:t xml:space="preserve"> </w:t>
      </w:r>
      <w:r w:rsidRPr="00EB3D94">
        <w:rPr>
          <w:szCs w:val="22"/>
          <w:lang w:val="es-ES"/>
        </w:rPr>
        <w:t>General de Tesorería determinará las nuevas incorporaciones o las bajas que se pueden producir durante la vigencia del contrato.</w:t>
      </w:r>
    </w:p>
    <w:p w14:paraId="50024C63" w14:textId="77777777" w:rsidR="00135784" w:rsidRPr="00EB3D94" w:rsidRDefault="00135784" w:rsidP="00BC4866">
      <w:pPr>
        <w:jc w:val="both"/>
        <w:rPr>
          <w:rFonts w:cs="Arial"/>
          <w:szCs w:val="22"/>
          <w:lang w:val="es-ES"/>
        </w:rPr>
      </w:pPr>
    </w:p>
    <w:p w14:paraId="033964AF" w14:textId="77777777" w:rsidR="00B41354" w:rsidRPr="00EB3D94" w:rsidRDefault="00AC1D90" w:rsidP="00BC4866">
      <w:pPr>
        <w:jc w:val="both"/>
        <w:rPr>
          <w:rFonts w:cs="Arial"/>
          <w:szCs w:val="22"/>
          <w:lang w:val="es-ES"/>
        </w:rPr>
      </w:pPr>
      <w:r w:rsidRPr="00EB3D94">
        <w:rPr>
          <w:rFonts w:cs="Arial"/>
          <w:szCs w:val="22"/>
          <w:lang w:val="es-ES"/>
        </w:rPr>
        <w:t xml:space="preserve">Dado </w:t>
      </w:r>
      <w:r w:rsidR="00B41354" w:rsidRPr="00EB3D94">
        <w:rPr>
          <w:rFonts w:cs="Arial"/>
          <w:szCs w:val="22"/>
          <w:lang w:val="es-ES"/>
        </w:rPr>
        <w:t>que el importe de licitación del contrato es superior a los umbrales establecidos para los contratos sujetos a regulación armonizada</w:t>
      </w:r>
      <w:r w:rsidR="004356FB" w:rsidRPr="00EB3D94">
        <w:rPr>
          <w:rFonts w:cs="Arial"/>
          <w:szCs w:val="22"/>
          <w:lang w:val="es-ES"/>
        </w:rPr>
        <w:t xml:space="preserve"> en </w:t>
      </w:r>
      <w:r w:rsidRPr="00EB3D94">
        <w:rPr>
          <w:rFonts w:cs="Arial"/>
          <w:szCs w:val="22"/>
          <w:lang w:val="es-ES"/>
        </w:rPr>
        <w:t>la LCSP</w:t>
      </w:r>
      <w:r w:rsidR="00B41354" w:rsidRPr="00EB3D94">
        <w:rPr>
          <w:rFonts w:cs="Arial"/>
          <w:szCs w:val="22"/>
          <w:lang w:val="es-ES"/>
        </w:rPr>
        <w:t>, su codificación de la nomenclatura del Vocabulario Común de Contratos (CPV), de acuerdo con el Reglamento (CE) 213/2008, por</w:t>
      </w:r>
      <w:r w:rsidR="00B41354" w:rsidRPr="00EB3D94">
        <w:rPr>
          <w:rFonts w:cs="Arial"/>
          <w:vanish/>
          <w:szCs w:val="22"/>
          <w:lang w:val="es-ES"/>
        </w:rPr>
        <w:t>&lt;A[por|para]&gt;</w:t>
      </w:r>
      <w:r w:rsidR="00B41354" w:rsidRPr="00EB3D94">
        <w:rPr>
          <w:rFonts w:cs="Arial"/>
          <w:szCs w:val="22"/>
          <w:lang w:val="es-ES"/>
        </w:rPr>
        <w:t xml:space="preserve"> el cual se modifica el Reglamento 2195/2002 del Parlamento Europeo y del Consejo que aprueba el Vocabulario común de contratos públicos (CPV) y las Directivas </w:t>
      </w:r>
      <w:r w:rsidR="00B41354" w:rsidRPr="00EB3D94">
        <w:rPr>
          <w:rFonts w:cs="Arial"/>
          <w:szCs w:val="22"/>
          <w:lang w:val="es-ES"/>
        </w:rPr>
        <w:lastRenderedPageBreak/>
        <w:t>2004/18/CE del Parlamento Europeo y del Consejo sobre los procedimientos de los contratos públicos, es la 66110000-4 -Servicios bancarios</w:t>
      </w:r>
    </w:p>
    <w:p w14:paraId="4BD84492" w14:textId="77777777" w:rsidR="00AC1D90" w:rsidRPr="00EB3D94" w:rsidRDefault="00AC1D90" w:rsidP="00BC4866">
      <w:pPr>
        <w:tabs>
          <w:tab w:val="left" w:pos="1012"/>
        </w:tabs>
        <w:rPr>
          <w:rFonts w:cs="Arial"/>
          <w:szCs w:val="22"/>
          <w:lang w:val="es-ES"/>
        </w:rPr>
      </w:pPr>
      <w:r w:rsidRPr="00EB3D94">
        <w:rPr>
          <w:rFonts w:cs="Arial"/>
          <w:szCs w:val="22"/>
          <w:lang w:val="es-ES"/>
        </w:rPr>
        <w:tab/>
      </w:r>
    </w:p>
    <w:p w14:paraId="42CB7B52" w14:textId="77777777" w:rsidR="007C78A5" w:rsidRPr="00EB3D94" w:rsidRDefault="008705DE" w:rsidP="00BC4866">
      <w:pPr>
        <w:pStyle w:val="CM25"/>
        <w:spacing w:after="0"/>
        <w:jc w:val="both"/>
        <w:rPr>
          <w:rFonts w:cs="Arial"/>
          <w:b/>
          <w:bCs/>
          <w:sz w:val="22"/>
          <w:szCs w:val="22"/>
          <w:lang w:val="es-ES"/>
        </w:rPr>
      </w:pPr>
      <w:r w:rsidRPr="00EB3D94">
        <w:rPr>
          <w:rFonts w:cs="Arial"/>
          <w:b/>
          <w:bCs/>
          <w:sz w:val="22"/>
          <w:szCs w:val="22"/>
          <w:lang w:val="es-ES"/>
        </w:rPr>
        <w:t>Segun</w:t>
      </w:r>
      <w:r w:rsidR="00302037" w:rsidRPr="00EB3D94">
        <w:rPr>
          <w:rFonts w:cs="Arial"/>
          <w:b/>
          <w:bCs/>
          <w:sz w:val="22"/>
          <w:szCs w:val="22"/>
          <w:lang w:val="es-ES"/>
        </w:rPr>
        <w:t>da</w:t>
      </w:r>
      <w:r w:rsidR="007C78A5" w:rsidRPr="00EB3D94">
        <w:rPr>
          <w:rFonts w:cs="Arial"/>
          <w:b/>
          <w:bCs/>
          <w:sz w:val="22"/>
          <w:szCs w:val="22"/>
          <w:lang w:val="es-ES"/>
        </w:rPr>
        <w:t xml:space="preserve">: </w:t>
      </w:r>
      <w:r w:rsidR="007C78A5" w:rsidRPr="00EB3D94">
        <w:rPr>
          <w:rFonts w:cs="Arial"/>
          <w:b/>
          <w:bCs/>
          <w:sz w:val="22"/>
          <w:szCs w:val="22"/>
          <w:u w:val="single"/>
          <w:lang w:val="es-ES"/>
        </w:rPr>
        <w:t>Necesidades administrativas que hay que satisfacer e idoneidad del contrato</w:t>
      </w:r>
      <w:r w:rsidR="007C78A5" w:rsidRPr="00EB3D94">
        <w:rPr>
          <w:rFonts w:cs="Arial"/>
          <w:b/>
          <w:bCs/>
          <w:sz w:val="22"/>
          <w:szCs w:val="22"/>
          <w:lang w:val="es-ES"/>
        </w:rPr>
        <w:t xml:space="preserve"> </w:t>
      </w:r>
    </w:p>
    <w:p w14:paraId="1346C0F3" w14:textId="77777777" w:rsidR="003E2588" w:rsidRPr="00EB3D94" w:rsidRDefault="003E2588" w:rsidP="00BC4866">
      <w:pPr>
        <w:pStyle w:val="Default"/>
        <w:rPr>
          <w:color w:val="auto"/>
          <w:lang w:val="es-ES"/>
        </w:rPr>
      </w:pPr>
    </w:p>
    <w:p w14:paraId="1C64DAAF" w14:textId="77777777" w:rsidR="00ED0B09" w:rsidRPr="00EB3D94" w:rsidRDefault="00ED0B09" w:rsidP="00ED0B09">
      <w:pPr>
        <w:autoSpaceDE w:val="0"/>
        <w:autoSpaceDN w:val="0"/>
        <w:adjustRightInd w:val="0"/>
        <w:jc w:val="both"/>
        <w:rPr>
          <w:rFonts w:cs="Arial"/>
          <w:szCs w:val="22"/>
          <w:lang w:val="es-ES"/>
        </w:rPr>
      </w:pPr>
      <w:r w:rsidRPr="00EB3D94">
        <w:rPr>
          <w:rFonts w:cs="Arial"/>
          <w:szCs w:val="22"/>
          <w:lang w:val="es-ES"/>
        </w:rPr>
        <w:t xml:space="preserve">De acuerdo con lo que dispone la normativa vigente, corresponde en el ámbito de la Generalitat de Catalunya a la Dirección General de Política Financiera, Seguros y Tesoro de la Generalitat de Catalunya planificar y coordinar las actuaciones en materia de política financiera y tesorería, concretamente las referidas a la coordinación de la gestión de tesorería de la Generalitat y del resto de entidades que forman parte de su sector público. </w:t>
      </w:r>
    </w:p>
    <w:p w14:paraId="64262C16" w14:textId="77777777" w:rsidR="00ED0B09" w:rsidRPr="00EB3D94" w:rsidRDefault="00ED0B09" w:rsidP="00ED0B09">
      <w:pPr>
        <w:autoSpaceDE w:val="0"/>
        <w:autoSpaceDN w:val="0"/>
        <w:adjustRightInd w:val="0"/>
        <w:jc w:val="both"/>
        <w:rPr>
          <w:rFonts w:cs="Arial"/>
          <w:szCs w:val="22"/>
          <w:lang w:val="es-ES"/>
        </w:rPr>
      </w:pPr>
    </w:p>
    <w:p w14:paraId="277630E5" w14:textId="77777777" w:rsidR="00ED0B09" w:rsidRPr="00EB3D94" w:rsidRDefault="00ED0B09" w:rsidP="00ED0B09">
      <w:pPr>
        <w:jc w:val="both"/>
        <w:rPr>
          <w:rFonts w:cs="Arial"/>
          <w:szCs w:val="22"/>
          <w:lang w:val="es-ES"/>
        </w:rPr>
      </w:pPr>
      <w:r w:rsidRPr="00EB3D94">
        <w:rPr>
          <w:rFonts w:cs="Arial"/>
          <w:szCs w:val="22"/>
          <w:lang w:val="es-ES"/>
        </w:rPr>
        <w:t>El decreto legislativo 3/2002, de 24 de diciembre, por el cual se aprueba el Texto refundido de la Ley de finanzas públicas de Cataluña establece en el artículo en el artículo 57.3 que corresponde al Departamento de Economía y Finanzas velar por la coordinación de la gestión de tesorería de las entidades participadas mayoritariamente directa o indirectamente por la Generalitat de Catalunya.</w:t>
      </w:r>
    </w:p>
    <w:p w14:paraId="7C3E800E" w14:textId="77777777" w:rsidR="00ED0B09" w:rsidRPr="00EB3D94" w:rsidRDefault="00ED0B09" w:rsidP="00ED0B09">
      <w:pPr>
        <w:jc w:val="both"/>
        <w:rPr>
          <w:rFonts w:cs="Arial"/>
          <w:szCs w:val="22"/>
          <w:lang w:val="es-ES"/>
        </w:rPr>
      </w:pPr>
    </w:p>
    <w:p w14:paraId="04C38224" w14:textId="30190628" w:rsidR="00ED0B09" w:rsidRPr="00EB3D94" w:rsidRDefault="00ED0B09" w:rsidP="00ED0B09">
      <w:pPr>
        <w:jc w:val="both"/>
        <w:rPr>
          <w:rFonts w:cs="Arial"/>
          <w:szCs w:val="22"/>
          <w:lang w:val="es-ES"/>
        </w:rPr>
      </w:pPr>
      <w:r w:rsidRPr="00EB3D94">
        <w:rPr>
          <w:rFonts w:cs="Arial"/>
          <w:szCs w:val="22"/>
          <w:lang w:val="es-ES"/>
        </w:rPr>
        <w:t xml:space="preserve">Y la Ley 5/2007, de 4 de julio, de medidas fiscales y administrativas, en el artículo 22 regula el “Sistema de tesorería corporativa”  estableciendo que con el objetivo de optimizar la gestión de tesorería del conjunto del sector público de la Generalitat y de acuerdo con el artículo 57.3 del texto refundido de la Ley de finanzas públicas de Cataluña, los órganos competentes en materia de tesorería </w:t>
      </w:r>
      <w:r w:rsidR="00A25938" w:rsidRPr="00EB3D94">
        <w:rPr>
          <w:rFonts w:cs="Arial"/>
          <w:szCs w:val="22"/>
          <w:lang w:val="es-ES"/>
        </w:rPr>
        <w:t xml:space="preserve">deben </w:t>
      </w:r>
      <w:r w:rsidRPr="00EB3D94">
        <w:rPr>
          <w:rFonts w:cs="Arial"/>
          <w:szCs w:val="22"/>
          <w:lang w:val="es-ES"/>
        </w:rPr>
        <w:t>dictar las instrucciones correspondientes para concretar las medidas acordadas por el Departamento de Economía y Finanzas con la finalidad de centralizar los saldos de todas las entidades clasificadas o susceptibles de ser clasificadas como Administración pública de la Generalitat según los criterios metodológicos del sistema europeo de cuentas (SEC95), y también los de las otras entidades en qué la participación de la Generalitat, de forma directa o indirecta, es mayoritaria.</w:t>
      </w:r>
    </w:p>
    <w:p w14:paraId="5B6445AA" w14:textId="77777777" w:rsidR="00ED0B09" w:rsidRPr="00EB3D94" w:rsidRDefault="00ED0B09" w:rsidP="00ED0B09">
      <w:pPr>
        <w:jc w:val="both"/>
        <w:rPr>
          <w:rFonts w:cs="Arial"/>
          <w:szCs w:val="22"/>
          <w:lang w:val="es-ES"/>
        </w:rPr>
      </w:pPr>
    </w:p>
    <w:p w14:paraId="30D17981" w14:textId="77777777" w:rsidR="00ED0B09" w:rsidRPr="00EB3D94" w:rsidRDefault="00ED0B09" w:rsidP="00ED0B09">
      <w:pPr>
        <w:autoSpaceDE w:val="0"/>
        <w:autoSpaceDN w:val="0"/>
        <w:adjustRightInd w:val="0"/>
        <w:jc w:val="both"/>
        <w:rPr>
          <w:rFonts w:cs="Arial"/>
          <w:szCs w:val="22"/>
          <w:lang w:val="es-ES"/>
        </w:rPr>
      </w:pPr>
      <w:r w:rsidRPr="00EB3D94">
        <w:rPr>
          <w:rFonts w:cs="Arial"/>
          <w:szCs w:val="22"/>
          <w:lang w:val="es-ES"/>
        </w:rPr>
        <w:t xml:space="preserve">La Generalitat de Catalunya tiene implantado, desde el año 2007, un sistema de gestión de Tesorería Corporativa de la Generalitat y de sus Entidades autónomas y Empresas públicas con el objetivo de optimizar los recursos financieros públicos controlados y gestionados por la Generalitat. </w:t>
      </w:r>
    </w:p>
    <w:p w14:paraId="6F2F0F2B" w14:textId="77777777" w:rsidR="00ED0B09" w:rsidRPr="00EB3D94" w:rsidRDefault="00ED0B09" w:rsidP="00ED0B09">
      <w:pPr>
        <w:autoSpaceDE w:val="0"/>
        <w:autoSpaceDN w:val="0"/>
        <w:adjustRightInd w:val="0"/>
        <w:jc w:val="both"/>
        <w:rPr>
          <w:rFonts w:cs="Arial"/>
          <w:szCs w:val="22"/>
          <w:lang w:val="es-ES"/>
        </w:rPr>
      </w:pPr>
    </w:p>
    <w:p w14:paraId="7B65E57F" w14:textId="70C0E7E8" w:rsidR="00ED0B09" w:rsidRPr="00EB3D94" w:rsidRDefault="00ED0B09" w:rsidP="00ED0B09">
      <w:pPr>
        <w:autoSpaceDE w:val="0"/>
        <w:autoSpaceDN w:val="0"/>
        <w:adjustRightInd w:val="0"/>
        <w:jc w:val="both"/>
        <w:rPr>
          <w:rFonts w:cs="Arial"/>
          <w:szCs w:val="22"/>
          <w:lang w:val="es-ES"/>
        </w:rPr>
      </w:pPr>
      <w:r w:rsidRPr="00EB3D94">
        <w:rPr>
          <w:rFonts w:cs="Arial"/>
          <w:szCs w:val="22"/>
          <w:lang w:val="es-ES"/>
        </w:rPr>
        <w:t>El elemento principal de este modelo de Tesorería Corporativa es un sistema de cash-</w:t>
      </w:r>
      <w:proofErr w:type="spellStart"/>
      <w:r w:rsidRPr="00EB3D94">
        <w:rPr>
          <w:rFonts w:cs="Arial"/>
          <w:szCs w:val="22"/>
          <w:lang w:val="es-ES"/>
        </w:rPr>
        <w:t>pooling</w:t>
      </w:r>
      <w:proofErr w:type="spellEnd"/>
      <w:r w:rsidRPr="00EB3D94">
        <w:rPr>
          <w:rFonts w:cs="Arial"/>
          <w:szCs w:val="22"/>
          <w:lang w:val="es-ES"/>
        </w:rPr>
        <w:t xml:space="preserve"> (centralización de tesorería) entre las </w:t>
      </w:r>
      <w:r w:rsidR="00192A34" w:rsidRPr="00EB3D94">
        <w:rPr>
          <w:rFonts w:cs="Arial"/>
          <w:szCs w:val="22"/>
          <w:lang w:val="es-ES"/>
        </w:rPr>
        <w:t>cuentas tesoreras</w:t>
      </w:r>
      <w:r w:rsidRPr="00EB3D94">
        <w:rPr>
          <w:rFonts w:cs="Arial"/>
          <w:szCs w:val="22"/>
          <w:lang w:val="es-ES"/>
        </w:rPr>
        <w:t xml:space="preserve"> de la Tesorería Corporativa y las cuentas operativas de las Entidades Públicas de la Generalitat de Catalunya. </w:t>
      </w:r>
    </w:p>
    <w:p w14:paraId="0F22232A" w14:textId="77777777" w:rsidR="00ED0B09" w:rsidRPr="00EB3D94" w:rsidRDefault="00ED0B09" w:rsidP="00ED0B09">
      <w:pPr>
        <w:autoSpaceDE w:val="0"/>
        <w:autoSpaceDN w:val="0"/>
        <w:adjustRightInd w:val="0"/>
        <w:jc w:val="both"/>
        <w:rPr>
          <w:rFonts w:cs="Arial"/>
          <w:szCs w:val="22"/>
          <w:lang w:val="es-ES"/>
        </w:rPr>
      </w:pPr>
    </w:p>
    <w:p w14:paraId="2BABB6A2" w14:textId="64F11B9E" w:rsidR="00ED0B09" w:rsidRPr="00EB3D94" w:rsidRDefault="00ED0B09" w:rsidP="00ED0B09">
      <w:pPr>
        <w:autoSpaceDE w:val="0"/>
        <w:autoSpaceDN w:val="0"/>
        <w:adjustRightInd w:val="0"/>
        <w:jc w:val="both"/>
        <w:rPr>
          <w:rFonts w:cs="Arial"/>
          <w:szCs w:val="22"/>
          <w:lang w:val="es-ES"/>
        </w:rPr>
      </w:pPr>
      <w:r w:rsidRPr="00EB3D94">
        <w:rPr>
          <w:rFonts w:cs="Arial"/>
          <w:szCs w:val="22"/>
          <w:lang w:val="es-ES"/>
        </w:rPr>
        <w:t xml:space="preserve">La prestación de los servicios financieros requeridos por este sistema </w:t>
      </w:r>
      <w:r w:rsidR="00982820" w:rsidRPr="00EB3D94">
        <w:rPr>
          <w:rFonts w:cs="Arial"/>
          <w:szCs w:val="22"/>
          <w:lang w:val="es-ES"/>
        </w:rPr>
        <w:t>se</w:t>
      </w:r>
      <w:r w:rsidRPr="00EB3D94">
        <w:rPr>
          <w:rFonts w:cs="Arial"/>
          <w:szCs w:val="22"/>
          <w:lang w:val="es-ES"/>
        </w:rPr>
        <w:t xml:space="preserve"> </w:t>
      </w:r>
      <w:r w:rsidR="00982820" w:rsidRPr="00EB3D94">
        <w:rPr>
          <w:rFonts w:cs="Arial"/>
          <w:szCs w:val="22"/>
          <w:lang w:val="es-ES"/>
        </w:rPr>
        <w:t>realiza por seis</w:t>
      </w:r>
      <w:r w:rsidRPr="00EB3D94">
        <w:rPr>
          <w:rFonts w:cs="Arial"/>
          <w:szCs w:val="22"/>
          <w:lang w:val="es-ES"/>
        </w:rPr>
        <w:t xml:space="preserve"> entidades financieras que resultaron adjudicatarias del servicio, en dos lotes, en el año 2023, finalizando el actual contrato en julio de 2025 Es por eso </w:t>
      </w:r>
      <w:proofErr w:type="gramStart"/>
      <w:r w:rsidRPr="00EB3D94">
        <w:rPr>
          <w:rFonts w:cs="Arial"/>
          <w:szCs w:val="22"/>
          <w:lang w:val="es-ES"/>
        </w:rPr>
        <w:t>que</w:t>
      </w:r>
      <w:proofErr w:type="gramEnd"/>
      <w:r w:rsidRPr="00EB3D94">
        <w:rPr>
          <w:rFonts w:cs="Arial"/>
          <w:szCs w:val="22"/>
          <w:lang w:val="es-ES"/>
        </w:rPr>
        <w:t xml:space="preserve"> se </w:t>
      </w:r>
      <w:r w:rsidR="00982820" w:rsidRPr="00EB3D94">
        <w:rPr>
          <w:rFonts w:cs="Arial"/>
          <w:szCs w:val="22"/>
          <w:lang w:val="es-ES"/>
        </w:rPr>
        <w:t xml:space="preserve">debe </w:t>
      </w:r>
      <w:r w:rsidRPr="00EB3D94">
        <w:rPr>
          <w:rFonts w:cs="Arial"/>
          <w:szCs w:val="22"/>
          <w:lang w:val="es-ES"/>
        </w:rPr>
        <w:t>realizar un nuevo proceso de contratación de estos servicios por un periodo de un año con posibilidad de dos prórrogas anuales más.</w:t>
      </w:r>
    </w:p>
    <w:p w14:paraId="758A3D6A" w14:textId="77777777" w:rsidR="00ED0B09" w:rsidRPr="00EB3D94" w:rsidRDefault="00ED0B09" w:rsidP="00BC4866">
      <w:pPr>
        <w:jc w:val="both"/>
        <w:rPr>
          <w:lang w:val="es-ES"/>
        </w:rPr>
      </w:pPr>
    </w:p>
    <w:p w14:paraId="5363002C" w14:textId="77777777" w:rsidR="007C78A5" w:rsidRPr="00EB3D94" w:rsidRDefault="008705DE" w:rsidP="00BC4866">
      <w:pPr>
        <w:pStyle w:val="CM25"/>
        <w:spacing w:after="0"/>
        <w:jc w:val="both"/>
        <w:rPr>
          <w:rFonts w:cs="Arial"/>
          <w:b/>
          <w:bCs/>
          <w:sz w:val="22"/>
          <w:szCs w:val="22"/>
          <w:lang w:val="es-ES"/>
        </w:rPr>
      </w:pPr>
      <w:r w:rsidRPr="00EB3D94">
        <w:rPr>
          <w:rFonts w:cs="Arial"/>
          <w:b/>
          <w:bCs/>
          <w:sz w:val="22"/>
          <w:szCs w:val="22"/>
          <w:lang w:val="es-ES"/>
        </w:rPr>
        <w:t>Tercer</w:t>
      </w:r>
      <w:r w:rsidR="00BE6AC2" w:rsidRPr="00EB3D94">
        <w:rPr>
          <w:rFonts w:cs="Arial"/>
          <w:b/>
          <w:bCs/>
          <w:sz w:val="22"/>
          <w:szCs w:val="22"/>
          <w:lang w:val="es-ES"/>
        </w:rPr>
        <w:t>a</w:t>
      </w:r>
      <w:r w:rsidR="007C78A5" w:rsidRPr="00EB3D94">
        <w:rPr>
          <w:rFonts w:cs="Arial"/>
          <w:b/>
          <w:bCs/>
          <w:sz w:val="22"/>
          <w:szCs w:val="22"/>
          <w:lang w:val="es-ES"/>
        </w:rPr>
        <w:t xml:space="preserve">: </w:t>
      </w:r>
      <w:r w:rsidR="007C78A5" w:rsidRPr="00EB3D94">
        <w:rPr>
          <w:rFonts w:cs="Arial"/>
          <w:b/>
          <w:bCs/>
          <w:sz w:val="22"/>
          <w:szCs w:val="22"/>
          <w:u w:val="single"/>
          <w:lang w:val="es-ES"/>
        </w:rPr>
        <w:t>Datos económicos del contrato</w:t>
      </w:r>
      <w:r w:rsidR="007C78A5" w:rsidRPr="00EB3D94">
        <w:rPr>
          <w:rFonts w:cs="Arial"/>
          <w:b/>
          <w:bCs/>
          <w:sz w:val="22"/>
          <w:szCs w:val="22"/>
          <w:lang w:val="es-ES"/>
        </w:rPr>
        <w:t xml:space="preserve"> </w:t>
      </w:r>
    </w:p>
    <w:p w14:paraId="180A6AC8" w14:textId="77777777" w:rsidR="003E2588" w:rsidRPr="00EB3D94" w:rsidRDefault="003E2588" w:rsidP="00BC4866">
      <w:pPr>
        <w:pStyle w:val="Default"/>
        <w:rPr>
          <w:color w:val="auto"/>
          <w:lang w:val="es-ES"/>
        </w:rPr>
      </w:pPr>
    </w:p>
    <w:p w14:paraId="62AF497B" w14:textId="620C7BD6" w:rsidR="00861D2E" w:rsidRPr="00EB3D94" w:rsidRDefault="00861D2E" w:rsidP="00861D2E">
      <w:pPr>
        <w:autoSpaceDE w:val="0"/>
        <w:autoSpaceDN w:val="0"/>
        <w:adjustRightInd w:val="0"/>
        <w:jc w:val="both"/>
        <w:rPr>
          <w:rFonts w:cs="Arial"/>
          <w:szCs w:val="22"/>
          <w:lang w:val="es-ES"/>
        </w:rPr>
      </w:pPr>
      <w:r w:rsidRPr="00EB3D94">
        <w:rPr>
          <w:rFonts w:cs="Arial"/>
          <w:szCs w:val="22"/>
          <w:lang w:val="es-ES"/>
        </w:rPr>
        <w:t xml:space="preserve">De acuerdo con lo que establece el artículo 102 LCSP, la determinación del precio se ha establecido como un importe global para la prestación del objeto del contrato. Para determinar el precio se </w:t>
      </w:r>
      <w:r w:rsidR="00982820" w:rsidRPr="00EB3D94">
        <w:rPr>
          <w:rFonts w:cs="Arial"/>
          <w:szCs w:val="22"/>
          <w:lang w:val="es-ES"/>
        </w:rPr>
        <w:t xml:space="preserve">ha estimado </w:t>
      </w:r>
      <w:r w:rsidRPr="00EB3D94">
        <w:rPr>
          <w:rFonts w:cs="Arial"/>
          <w:szCs w:val="22"/>
          <w:lang w:val="es-ES"/>
        </w:rPr>
        <w:t>en base a un coste mensual del servicio que no podrá exceder los 950 euros mensuales por Entidad Pública, con un máximo de 1.725.000 euros anuales</w:t>
      </w:r>
      <w:r w:rsidR="00982820" w:rsidRPr="00EB3D94">
        <w:rPr>
          <w:rFonts w:cs="Arial"/>
          <w:szCs w:val="22"/>
          <w:lang w:val="es-ES"/>
        </w:rPr>
        <w:t xml:space="preserve"> para el </w:t>
      </w:r>
      <w:r w:rsidRPr="00EB3D94">
        <w:rPr>
          <w:rFonts w:cs="Arial"/>
          <w:szCs w:val="22"/>
          <w:lang w:val="es-ES"/>
        </w:rPr>
        <w:t>conjunto de cuentas abiertas en el LOT</w:t>
      </w:r>
      <w:r w:rsidR="00982820" w:rsidRPr="00EB3D94">
        <w:rPr>
          <w:rFonts w:cs="Arial"/>
          <w:szCs w:val="22"/>
          <w:lang w:val="es-ES"/>
        </w:rPr>
        <w:t>E</w:t>
      </w:r>
      <w:r w:rsidRPr="00EB3D94">
        <w:rPr>
          <w:rFonts w:cs="Arial"/>
          <w:szCs w:val="22"/>
          <w:lang w:val="es-ES"/>
        </w:rPr>
        <w:t xml:space="preserve"> 1 y de 275.000 euros anuales</w:t>
      </w:r>
      <w:r w:rsidR="00982820" w:rsidRPr="00EB3D94">
        <w:rPr>
          <w:rFonts w:cs="Arial"/>
          <w:szCs w:val="22"/>
          <w:lang w:val="es-ES"/>
        </w:rPr>
        <w:t xml:space="preserve"> para el </w:t>
      </w:r>
      <w:r w:rsidRPr="00EB3D94">
        <w:rPr>
          <w:rFonts w:cs="Arial"/>
          <w:szCs w:val="22"/>
          <w:lang w:val="es-ES"/>
        </w:rPr>
        <w:t>conjunto de cuentas abiertas en el LOT</w:t>
      </w:r>
      <w:r w:rsidR="00982820" w:rsidRPr="00EB3D94">
        <w:rPr>
          <w:rFonts w:cs="Arial"/>
          <w:szCs w:val="22"/>
          <w:lang w:val="es-ES"/>
        </w:rPr>
        <w:t xml:space="preserve">E </w:t>
      </w:r>
      <w:r w:rsidRPr="00EB3D94">
        <w:rPr>
          <w:rFonts w:cs="Arial"/>
          <w:szCs w:val="22"/>
          <w:lang w:val="es-ES"/>
        </w:rPr>
        <w:t xml:space="preserve">2. </w:t>
      </w:r>
    </w:p>
    <w:p w14:paraId="79A2D0D1" w14:textId="77777777" w:rsidR="00861D2E" w:rsidRPr="00EB3D94" w:rsidRDefault="00861D2E" w:rsidP="00861D2E">
      <w:pPr>
        <w:autoSpaceDE w:val="0"/>
        <w:autoSpaceDN w:val="0"/>
        <w:adjustRightInd w:val="0"/>
        <w:jc w:val="both"/>
        <w:rPr>
          <w:rFonts w:cs="Arial"/>
          <w:szCs w:val="22"/>
          <w:lang w:val="es-ES"/>
        </w:rPr>
      </w:pPr>
    </w:p>
    <w:p w14:paraId="7631D9A9" w14:textId="6EA44E8E" w:rsidR="00861D2E" w:rsidRPr="00EB3D94" w:rsidRDefault="00861D2E" w:rsidP="00861D2E">
      <w:pPr>
        <w:autoSpaceDE w:val="0"/>
        <w:autoSpaceDN w:val="0"/>
        <w:adjustRightInd w:val="0"/>
        <w:jc w:val="both"/>
        <w:rPr>
          <w:rFonts w:cs="Arial"/>
          <w:szCs w:val="22"/>
          <w:lang w:val="es-ES"/>
        </w:rPr>
      </w:pPr>
      <w:r w:rsidRPr="00EB3D94">
        <w:rPr>
          <w:rFonts w:cs="Arial"/>
          <w:szCs w:val="22"/>
          <w:lang w:val="es-ES"/>
        </w:rPr>
        <w:t xml:space="preserve">Este precio de 950 euros se considera como mínimo necesario a fin de que haya concurrencia dado que las entidades licitadoras </w:t>
      </w:r>
      <w:r w:rsidR="00A25938" w:rsidRPr="00EB3D94">
        <w:rPr>
          <w:rFonts w:cs="Arial"/>
          <w:szCs w:val="22"/>
          <w:lang w:val="es-ES"/>
        </w:rPr>
        <w:t xml:space="preserve">deben </w:t>
      </w:r>
      <w:r w:rsidRPr="00EB3D94">
        <w:rPr>
          <w:rFonts w:cs="Arial"/>
          <w:szCs w:val="22"/>
          <w:lang w:val="es-ES"/>
        </w:rPr>
        <w:t xml:space="preserve">garantizar la creación de una estructura de cuentas, </w:t>
      </w:r>
      <w:r w:rsidRPr="00EB3D94">
        <w:rPr>
          <w:rFonts w:cs="Arial"/>
          <w:szCs w:val="22"/>
          <w:lang w:val="es-ES"/>
        </w:rPr>
        <w:lastRenderedPageBreak/>
        <w:t>hasta un máximo de tres niveles en el LOT</w:t>
      </w:r>
      <w:r w:rsidR="00982820" w:rsidRPr="00EB3D94">
        <w:rPr>
          <w:rFonts w:cs="Arial"/>
          <w:szCs w:val="22"/>
          <w:lang w:val="es-ES"/>
        </w:rPr>
        <w:t>E</w:t>
      </w:r>
      <w:r w:rsidRPr="00EB3D94">
        <w:rPr>
          <w:rFonts w:cs="Arial"/>
          <w:szCs w:val="22"/>
          <w:lang w:val="es-ES"/>
        </w:rPr>
        <w:t xml:space="preserve"> 1 y de un nivel en el LOT</w:t>
      </w:r>
      <w:r w:rsidR="00982820" w:rsidRPr="00EB3D94">
        <w:rPr>
          <w:rFonts w:cs="Arial"/>
          <w:szCs w:val="22"/>
          <w:lang w:val="es-ES"/>
        </w:rPr>
        <w:t>E</w:t>
      </w:r>
      <w:r w:rsidRPr="00EB3D94">
        <w:rPr>
          <w:rFonts w:cs="Arial"/>
          <w:szCs w:val="22"/>
          <w:lang w:val="es-ES"/>
        </w:rPr>
        <w:t xml:space="preserve"> 2. En el caso de LOT</w:t>
      </w:r>
      <w:r w:rsidR="00982820" w:rsidRPr="00EB3D94">
        <w:rPr>
          <w:rFonts w:cs="Arial"/>
          <w:szCs w:val="22"/>
          <w:lang w:val="es-ES"/>
        </w:rPr>
        <w:t>E</w:t>
      </w:r>
      <w:r w:rsidRPr="00EB3D94">
        <w:rPr>
          <w:rFonts w:cs="Arial"/>
          <w:szCs w:val="22"/>
          <w:lang w:val="es-ES"/>
        </w:rPr>
        <w:t xml:space="preserve"> 1, requiere, además, de una operativa y </w:t>
      </w:r>
      <w:proofErr w:type="gramStart"/>
      <w:r w:rsidRPr="00EB3D94">
        <w:rPr>
          <w:rFonts w:cs="Arial"/>
          <w:szCs w:val="22"/>
          <w:lang w:val="es-ES"/>
        </w:rPr>
        <w:t>tecnología específicas</w:t>
      </w:r>
      <w:proofErr w:type="gramEnd"/>
      <w:r w:rsidRPr="00EB3D94">
        <w:rPr>
          <w:rFonts w:cs="Arial"/>
          <w:szCs w:val="22"/>
          <w:lang w:val="es-ES"/>
        </w:rPr>
        <w:t xml:space="preserve"> para el sector público con relación a la operativa diaria de gestión de límites de cada uno de las cuentas (con las consecuentes modificaciones), a los arrastres diarios de movimientos entre cuentas periféricas y cuenta centralizadora (con identificación del tipo de arrastre) así como unos procedimientos propios de resolución de incidencias, de avisos, de controles y de requerimientos tecnológicos. </w:t>
      </w:r>
    </w:p>
    <w:p w14:paraId="71780C6C" w14:textId="77777777" w:rsidR="003176CA" w:rsidRPr="00EB3D94" w:rsidRDefault="003176CA" w:rsidP="00BC4866">
      <w:pPr>
        <w:pStyle w:val="Default"/>
        <w:rPr>
          <w:color w:val="auto"/>
          <w:sz w:val="22"/>
          <w:szCs w:val="22"/>
          <w:lang w:val="es-ES" w:eastAsia="es-ES"/>
        </w:rPr>
      </w:pPr>
    </w:p>
    <w:p w14:paraId="258177F5" w14:textId="77BA97F8" w:rsidR="00F51616" w:rsidRPr="00EB3D94" w:rsidRDefault="00F51616" w:rsidP="00BC4866">
      <w:pPr>
        <w:pStyle w:val="Textindependent2"/>
        <w:spacing w:after="0" w:line="240" w:lineRule="auto"/>
        <w:jc w:val="both"/>
        <w:outlineLvl w:val="0"/>
        <w:rPr>
          <w:rFonts w:cs="Arial"/>
          <w:szCs w:val="22"/>
          <w:lang w:val="es-ES"/>
        </w:rPr>
      </w:pPr>
      <w:r w:rsidRPr="00EB3D94">
        <w:rPr>
          <w:rFonts w:cs="Arial"/>
          <w:szCs w:val="22"/>
          <w:lang w:val="es-ES"/>
        </w:rPr>
        <w:t xml:space="preserve">El </w:t>
      </w:r>
      <w:r w:rsidR="00982820" w:rsidRPr="00EB3D94">
        <w:rPr>
          <w:rFonts w:cs="Arial"/>
          <w:b/>
          <w:szCs w:val="22"/>
          <w:lang w:val="es-ES"/>
        </w:rPr>
        <w:t>valor estimado</w:t>
      </w:r>
      <w:r w:rsidRPr="00EB3D94">
        <w:rPr>
          <w:rFonts w:cs="Arial"/>
          <w:szCs w:val="22"/>
          <w:lang w:val="es-ES"/>
        </w:rPr>
        <w:t xml:space="preserve"> del contrato, calculado de acuerdo co</w:t>
      </w:r>
      <w:r w:rsidR="00A14039" w:rsidRPr="00EB3D94">
        <w:rPr>
          <w:rFonts w:cs="Arial"/>
          <w:szCs w:val="22"/>
          <w:lang w:val="es-ES"/>
        </w:rPr>
        <w:t xml:space="preserve">n lo que prevé </w:t>
      </w:r>
      <w:r w:rsidR="00982820" w:rsidRPr="00EB3D94">
        <w:rPr>
          <w:rFonts w:cs="Arial"/>
          <w:szCs w:val="22"/>
          <w:lang w:val="es-ES"/>
        </w:rPr>
        <w:t xml:space="preserve">el artículo </w:t>
      </w:r>
      <w:r w:rsidR="00A14039" w:rsidRPr="00EB3D94">
        <w:rPr>
          <w:rFonts w:cs="Arial"/>
          <w:szCs w:val="22"/>
          <w:lang w:val="es-ES"/>
        </w:rPr>
        <w:t xml:space="preserve">101 </w:t>
      </w:r>
      <w:r w:rsidRPr="00EB3D94">
        <w:rPr>
          <w:rFonts w:cs="Arial"/>
          <w:szCs w:val="22"/>
          <w:lang w:val="es-ES"/>
        </w:rPr>
        <w:t xml:space="preserve">LCSP, es </w:t>
      </w:r>
      <w:r w:rsidR="00A14039" w:rsidRPr="00EB3D94">
        <w:rPr>
          <w:rFonts w:cs="Arial"/>
          <w:szCs w:val="22"/>
          <w:lang w:val="es-ES"/>
        </w:rPr>
        <w:t xml:space="preserve">de </w:t>
      </w:r>
      <w:r w:rsidR="00C96793" w:rsidRPr="00EB3D94">
        <w:rPr>
          <w:rFonts w:cs="Arial"/>
          <w:szCs w:val="22"/>
          <w:lang w:val="es-ES"/>
        </w:rPr>
        <w:t>6</w:t>
      </w:r>
      <w:r w:rsidR="00FD68D1" w:rsidRPr="00EB3D94">
        <w:rPr>
          <w:rFonts w:cs="Arial"/>
          <w:szCs w:val="22"/>
          <w:lang w:val="es-ES"/>
        </w:rPr>
        <w:t>.000</w:t>
      </w:r>
      <w:r w:rsidR="00382D8F" w:rsidRPr="00EB3D94">
        <w:rPr>
          <w:rFonts w:cs="Arial"/>
          <w:szCs w:val="22"/>
          <w:lang w:val="es-ES"/>
        </w:rPr>
        <w:t xml:space="preserve">.000,00 </w:t>
      </w:r>
      <w:r w:rsidRPr="00EB3D94">
        <w:rPr>
          <w:rFonts w:cs="Arial"/>
          <w:szCs w:val="22"/>
          <w:lang w:val="es-ES"/>
        </w:rPr>
        <w:t>€,</w:t>
      </w:r>
      <w:r w:rsidR="00642DC3" w:rsidRPr="00EB3D94">
        <w:rPr>
          <w:rFonts w:cs="Arial"/>
          <w:szCs w:val="22"/>
          <w:lang w:val="es-ES"/>
        </w:rPr>
        <w:t xml:space="preserve"> (</w:t>
      </w:r>
      <w:r w:rsidR="00C96793" w:rsidRPr="00EB3D94">
        <w:rPr>
          <w:lang w:val="es-ES"/>
        </w:rPr>
        <w:t>5.175</w:t>
      </w:r>
      <w:r w:rsidR="00642DC3" w:rsidRPr="00EB3D94">
        <w:rPr>
          <w:lang w:val="es-ES"/>
        </w:rPr>
        <w:t xml:space="preserve">.000,00 </w:t>
      </w:r>
      <w:r w:rsidR="00642DC3" w:rsidRPr="00EB3D94">
        <w:rPr>
          <w:w w:val="95"/>
          <w:lang w:val="es-ES"/>
        </w:rPr>
        <w:t xml:space="preserve">€ </w:t>
      </w:r>
      <w:r w:rsidR="00642DC3" w:rsidRPr="00EB3D94">
        <w:rPr>
          <w:lang w:val="es-ES"/>
        </w:rPr>
        <w:t>para el LOT</w:t>
      </w:r>
      <w:r w:rsidR="00982820" w:rsidRPr="00EB3D94">
        <w:rPr>
          <w:lang w:val="es-ES"/>
        </w:rPr>
        <w:t>E</w:t>
      </w:r>
      <w:r w:rsidR="00642DC3" w:rsidRPr="00EB3D94">
        <w:rPr>
          <w:lang w:val="es-ES"/>
        </w:rPr>
        <w:t xml:space="preserve"> 1 y </w:t>
      </w:r>
      <w:r w:rsidR="00C96793" w:rsidRPr="00EB3D94">
        <w:rPr>
          <w:lang w:val="es-ES"/>
        </w:rPr>
        <w:t>825</w:t>
      </w:r>
      <w:r w:rsidR="00642DC3" w:rsidRPr="00EB3D94">
        <w:rPr>
          <w:lang w:val="es-ES"/>
        </w:rPr>
        <w:t xml:space="preserve">.000,00 </w:t>
      </w:r>
      <w:r w:rsidR="00642DC3" w:rsidRPr="00EB3D94">
        <w:rPr>
          <w:w w:val="95"/>
          <w:lang w:val="es-ES"/>
        </w:rPr>
        <w:t xml:space="preserve">€ </w:t>
      </w:r>
      <w:r w:rsidR="00642DC3" w:rsidRPr="00EB3D94">
        <w:rPr>
          <w:lang w:val="es-ES"/>
        </w:rPr>
        <w:t xml:space="preserve">para </w:t>
      </w:r>
      <w:proofErr w:type="gramStart"/>
      <w:r w:rsidR="00642DC3" w:rsidRPr="00EB3D94">
        <w:rPr>
          <w:lang w:val="es-ES"/>
        </w:rPr>
        <w:t>el</w:t>
      </w:r>
      <w:r w:rsidR="000E6C0B" w:rsidRPr="00EB3D94">
        <w:rPr>
          <w:lang w:val="es-ES"/>
        </w:rPr>
        <w:t xml:space="preserve"> </w:t>
      </w:r>
      <w:r w:rsidR="00642DC3" w:rsidRPr="00EB3D94">
        <w:rPr>
          <w:spacing w:val="-59"/>
          <w:lang w:val="es-ES"/>
        </w:rPr>
        <w:t xml:space="preserve"> </w:t>
      </w:r>
      <w:r w:rsidR="00642DC3" w:rsidRPr="00EB3D94">
        <w:rPr>
          <w:lang w:val="es-ES"/>
        </w:rPr>
        <w:t>LOT</w:t>
      </w:r>
      <w:r w:rsidR="00982820" w:rsidRPr="00EB3D94">
        <w:rPr>
          <w:lang w:val="es-ES"/>
        </w:rPr>
        <w:t>E</w:t>
      </w:r>
      <w:proofErr w:type="gramEnd"/>
      <w:r w:rsidR="00642DC3" w:rsidRPr="00EB3D94">
        <w:rPr>
          <w:spacing w:val="1"/>
          <w:lang w:val="es-ES"/>
        </w:rPr>
        <w:t xml:space="preserve"> </w:t>
      </w:r>
      <w:r w:rsidR="00642DC3" w:rsidRPr="00EB3D94">
        <w:rPr>
          <w:lang w:val="es-ES"/>
        </w:rPr>
        <w:t>2)</w:t>
      </w:r>
      <w:r w:rsidRPr="00EB3D94">
        <w:rPr>
          <w:rFonts w:cs="Arial"/>
          <w:szCs w:val="22"/>
          <w:lang w:val="es-ES"/>
        </w:rPr>
        <w:t xml:space="preserve"> IVA exento, de acuerdo con la siguiente distribución:</w:t>
      </w:r>
    </w:p>
    <w:p w14:paraId="72E3BB0E" w14:textId="77777777" w:rsidR="00642DC3" w:rsidRPr="00EB3D94" w:rsidRDefault="00F51616" w:rsidP="00BC4866">
      <w:pPr>
        <w:pStyle w:val="Textindependent2"/>
        <w:spacing w:after="0" w:line="240" w:lineRule="auto"/>
        <w:jc w:val="both"/>
        <w:outlineLvl w:val="0"/>
        <w:rPr>
          <w:rFonts w:cs="Arial"/>
          <w:szCs w:val="22"/>
          <w:lang w:val="es-ES"/>
        </w:rPr>
      </w:pPr>
      <w:r w:rsidRPr="00EB3D94">
        <w:rPr>
          <w:rFonts w:cs="Arial"/>
          <w:szCs w:val="22"/>
          <w:lang w:val="es-ES"/>
        </w:rPr>
        <w:tab/>
      </w:r>
      <w:r w:rsidRPr="00EB3D94">
        <w:rPr>
          <w:rFonts w:cs="Arial"/>
          <w:szCs w:val="22"/>
          <w:lang w:val="es-ES"/>
        </w:rPr>
        <w:tab/>
      </w:r>
      <w:r w:rsidRPr="00EB3D94">
        <w:rPr>
          <w:rFonts w:cs="Arial"/>
          <w:szCs w:val="22"/>
          <w:lang w:val="es-ES"/>
        </w:rPr>
        <w:tab/>
      </w:r>
      <w:r w:rsidRPr="00EB3D94">
        <w:rPr>
          <w:rFonts w:cs="Arial"/>
          <w:szCs w:val="22"/>
          <w:lang w:val="es-ES"/>
        </w:rPr>
        <w:tab/>
      </w:r>
      <w:r w:rsidRPr="00EB3D94">
        <w:rPr>
          <w:rFonts w:cs="Arial"/>
          <w:szCs w:val="22"/>
          <w:lang w:val="es-ES"/>
        </w:rPr>
        <w:tab/>
        <w:t xml:space="preserve">    </w:t>
      </w:r>
    </w:p>
    <w:p w14:paraId="258C0C1D" w14:textId="56BD7211" w:rsidR="00642DC3" w:rsidRPr="00EB3D94" w:rsidRDefault="00642DC3" w:rsidP="00BC4866">
      <w:pPr>
        <w:pStyle w:val="Textindependent"/>
        <w:tabs>
          <w:tab w:val="left" w:pos="6314"/>
          <w:tab w:val="left" w:pos="8282"/>
        </w:tabs>
        <w:spacing w:before="1"/>
        <w:ind w:left="4248"/>
        <w:rPr>
          <w:rFonts w:cs="Arial"/>
          <w:lang w:val="es-ES"/>
        </w:rPr>
      </w:pPr>
      <w:r w:rsidRPr="00EB3D94">
        <w:rPr>
          <w:rFonts w:cs="Arial"/>
          <w:u w:val="single"/>
          <w:lang w:val="es-ES"/>
        </w:rPr>
        <w:t>Importe Lot</w:t>
      </w:r>
      <w:r w:rsidR="00982820" w:rsidRPr="00EB3D94">
        <w:rPr>
          <w:rFonts w:cs="Arial"/>
          <w:u w:val="single"/>
          <w:lang w:val="es-ES"/>
        </w:rPr>
        <w:t>e</w:t>
      </w:r>
      <w:r w:rsidRPr="00EB3D94">
        <w:rPr>
          <w:rFonts w:cs="Arial"/>
          <w:spacing w:val="1"/>
          <w:u w:val="single"/>
          <w:lang w:val="es-ES"/>
        </w:rPr>
        <w:t xml:space="preserve"> </w:t>
      </w:r>
      <w:r w:rsidRPr="00EB3D94">
        <w:rPr>
          <w:rFonts w:cs="Arial"/>
          <w:u w:val="single"/>
          <w:lang w:val="es-ES"/>
        </w:rPr>
        <w:t>1</w:t>
      </w:r>
      <w:r w:rsidRPr="00EB3D94">
        <w:rPr>
          <w:rFonts w:cs="Arial"/>
          <w:lang w:val="es-ES"/>
        </w:rPr>
        <w:tab/>
      </w:r>
      <w:r w:rsidRPr="00EB3D94">
        <w:rPr>
          <w:rFonts w:cs="Arial"/>
          <w:u w:val="single"/>
          <w:lang w:val="es-ES"/>
        </w:rPr>
        <w:t>Importe</w:t>
      </w:r>
      <w:r w:rsidRPr="00EB3D94">
        <w:rPr>
          <w:rFonts w:cs="Arial"/>
          <w:spacing w:val="-1"/>
          <w:u w:val="single"/>
          <w:lang w:val="es-ES"/>
        </w:rPr>
        <w:t xml:space="preserve"> </w:t>
      </w:r>
      <w:r w:rsidRPr="00EB3D94">
        <w:rPr>
          <w:rFonts w:cs="Arial"/>
          <w:u w:val="single"/>
          <w:lang w:val="es-ES"/>
        </w:rPr>
        <w:t>Lot</w:t>
      </w:r>
      <w:r w:rsidR="00982820" w:rsidRPr="00EB3D94">
        <w:rPr>
          <w:rFonts w:cs="Arial"/>
          <w:u w:val="single"/>
          <w:lang w:val="es-ES"/>
        </w:rPr>
        <w:t>e</w:t>
      </w:r>
      <w:r w:rsidRPr="00EB3D94">
        <w:rPr>
          <w:rFonts w:cs="Arial"/>
          <w:spacing w:val="-2"/>
          <w:u w:val="single"/>
          <w:lang w:val="es-ES"/>
        </w:rPr>
        <w:t xml:space="preserve"> </w:t>
      </w:r>
      <w:r w:rsidRPr="00EB3D94">
        <w:rPr>
          <w:rFonts w:cs="Arial"/>
          <w:u w:val="single"/>
          <w:lang w:val="es-ES"/>
        </w:rPr>
        <w:t>2</w:t>
      </w:r>
      <w:r w:rsidRPr="00EB3D94">
        <w:rPr>
          <w:rFonts w:cs="Arial"/>
          <w:lang w:val="es-ES"/>
        </w:rPr>
        <w:tab/>
      </w:r>
      <w:r w:rsidRPr="00EB3D94">
        <w:rPr>
          <w:rFonts w:cs="Arial"/>
          <w:u w:val="single"/>
          <w:lang w:val="es-ES"/>
        </w:rPr>
        <w:t>TOTAL</w:t>
      </w:r>
    </w:p>
    <w:p w14:paraId="08B96A1D" w14:textId="77777777" w:rsidR="00642DC3" w:rsidRPr="00EB3D94" w:rsidRDefault="00642DC3" w:rsidP="00C96793">
      <w:pPr>
        <w:pStyle w:val="Textindependent"/>
        <w:rPr>
          <w:rFonts w:cs="Arial"/>
          <w:lang w:val="es-ES"/>
        </w:rPr>
      </w:pPr>
    </w:p>
    <w:tbl>
      <w:tblPr>
        <w:tblW w:w="8668" w:type="dxa"/>
        <w:tblInd w:w="511" w:type="dxa"/>
        <w:tblLayout w:type="fixed"/>
        <w:tblCellMar>
          <w:left w:w="0" w:type="dxa"/>
          <w:right w:w="0" w:type="dxa"/>
        </w:tblCellMar>
        <w:tblLook w:val="01E0" w:firstRow="1" w:lastRow="1" w:firstColumn="1" w:lastColumn="1" w:noHBand="0" w:noVBand="0"/>
      </w:tblPr>
      <w:tblGrid>
        <w:gridCol w:w="3360"/>
        <w:gridCol w:w="2018"/>
        <w:gridCol w:w="1727"/>
        <w:gridCol w:w="1563"/>
      </w:tblGrid>
      <w:tr w:rsidR="00EB3D94" w:rsidRPr="00EB3D94" w14:paraId="799CC529" w14:textId="77777777" w:rsidTr="001C40F2">
        <w:trPr>
          <w:trHeight w:val="268"/>
        </w:trPr>
        <w:tc>
          <w:tcPr>
            <w:tcW w:w="3360" w:type="dxa"/>
            <w:shd w:val="clear" w:color="auto" w:fill="auto"/>
          </w:tcPr>
          <w:p w14:paraId="4C288924" w14:textId="77777777" w:rsidR="00642DC3" w:rsidRPr="00EB3D94" w:rsidRDefault="00642DC3" w:rsidP="00C96793">
            <w:pPr>
              <w:pStyle w:val="TableParagraph"/>
              <w:numPr>
                <w:ilvl w:val="0"/>
                <w:numId w:val="51"/>
              </w:numPr>
              <w:tabs>
                <w:tab w:val="left" w:pos="334"/>
              </w:tabs>
              <w:spacing w:line="240" w:lineRule="auto"/>
              <w:rPr>
                <w:rFonts w:ascii="Arial" w:hAnsi="Arial" w:cs="Arial"/>
                <w:lang w:val="es-ES"/>
              </w:rPr>
            </w:pPr>
            <w:r w:rsidRPr="00EB3D94">
              <w:rPr>
                <w:rFonts w:ascii="Arial" w:hAnsi="Arial" w:cs="Arial"/>
                <w:lang w:val="es-ES"/>
              </w:rPr>
              <w:t>Año</w:t>
            </w:r>
            <w:r w:rsidRPr="00EB3D94">
              <w:rPr>
                <w:rFonts w:ascii="Arial" w:hAnsi="Arial" w:cs="Arial"/>
                <w:spacing w:val="-2"/>
                <w:lang w:val="es-ES"/>
              </w:rPr>
              <w:t xml:space="preserve"> </w:t>
            </w:r>
            <w:r w:rsidRPr="00EB3D94">
              <w:rPr>
                <w:rFonts w:ascii="Arial" w:hAnsi="Arial" w:cs="Arial"/>
                <w:lang w:val="es-ES"/>
              </w:rPr>
              <w:t>202</w:t>
            </w:r>
            <w:r w:rsidR="00C96793" w:rsidRPr="00EB3D94">
              <w:rPr>
                <w:rFonts w:ascii="Arial" w:hAnsi="Arial" w:cs="Arial"/>
                <w:lang w:val="es-ES"/>
              </w:rPr>
              <w:t>5</w:t>
            </w:r>
          </w:p>
        </w:tc>
        <w:tc>
          <w:tcPr>
            <w:tcW w:w="2018" w:type="dxa"/>
            <w:shd w:val="clear" w:color="auto" w:fill="auto"/>
          </w:tcPr>
          <w:p w14:paraId="4A22032B" w14:textId="77777777" w:rsidR="00642DC3" w:rsidRPr="00EB3D94" w:rsidRDefault="00642DC3" w:rsidP="00C96793">
            <w:pPr>
              <w:pStyle w:val="TableParagraph"/>
              <w:spacing w:line="240" w:lineRule="auto"/>
              <w:ind w:left="0"/>
              <w:jc w:val="right"/>
              <w:rPr>
                <w:rFonts w:ascii="Arial" w:hAnsi="Arial" w:cs="Arial"/>
                <w:lang w:val="es-ES"/>
              </w:rPr>
            </w:pPr>
            <w:r w:rsidRPr="00EB3D94">
              <w:rPr>
                <w:rFonts w:ascii="Arial" w:hAnsi="Arial" w:cs="Arial"/>
                <w:w w:val="90"/>
                <w:lang w:val="es-ES"/>
              </w:rPr>
              <w:t>718.750,00</w:t>
            </w:r>
            <w:r w:rsidRPr="00EB3D94">
              <w:rPr>
                <w:rFonts w:ascii="Arial" w:hAnsi="Arial" w:cs="Arial"/>
                <w:spacing w:val="20"/>
                <w:w w:val="90"/>
                <w:lang w:val="es-ES"/>
              </w:rPr>
              <w:t xml:space="preserve"> </w:t>
            </w:r>
            <w:r w:rsidRPr="00EB3D94">
              <w:rPr>
                <w:rFonts w:ascii="Arial" w:hAnsi="Arial" w:cs="Arial"/>
                <w:w w:val="90"/>
                <w:lang w:val="es-ES"/>
              </w:rPr>
              <w:t>€</w:t>
            </w:r>
          </w:p>
        </w:tc>
        <w:tc>
          <w:tcPr>
            <w:tcW w:w="1727" w:type="dxa"/>
            <w:shd w:val="clear" w:color="auto" w:fill="auto"/>
          </w:tcPr>
          <w:p w14:paraId="15E06157" w14:textId="77777777" w:rsidR="00642DC3" w:rsidRPr="00EB3D94" w:rsidRDefault="00642DC3" w:rsidP="00C96793">
            <w:pPr>
              <w:pStyle w:val="TableParagraph"/>
              <w:spacing w:line="240" w:lineRule="auto"/>
              <w:ind w:left="0"/>
              <w:jc w:val="right"/>
              <w:rPr>
                <w:rFonts w:ascii="Arial" w:hAnsi="Arial" w:cs="Arial"/>
                <w:lang w:val="es-ES"/>
              </w:rPr>
            </w:pPr>
            <w:r w:rsidRPr="00EB3D94">
              <w:rPr>
                <w:rFonts w:ascii="Arial" w:hAnsi="Arial" w:cs="Arial"/>
                <w:w w:val="90"/>
                <w:lang w:val="es-ES"/>
              </w:rPr>
              <w:t>114.583,33</w:t>
            </w:r>
            <w:r w:rsidRPr="00EB3D94">
              <w:rPr>
                <w:rFonts w:ascii="Arial" w:hAnsi="Arial" w:cs="Arial"/>
                <w:spacing w:val="17"/>
                <w:w w:val="90"/>
                <w:lang w:val="es-ES"/>
              </w:rPr>
              <w:t xml:space="preserve"> </w:t>
            </w:r>
            <w:r w:rsidRPr="00EB3D94">
              <w:rPr>
                <w:rFonts w:ascii="Arial" w:hAnsi="Arial" w:cs="Arial"/>
                <w:w w:val="90"/>
                <w:lang w:val="es-ES"/>
              </w:rPr>
              <w:t>€</w:t>
            </w:r>
          </w:p>
        </w:tc>
        <w:tc>
          <w:tcPr>
            <w:tcW w:w="1563" w:type="dxa"/>
            <w:shd w:val="clear" w:color="auto" w:fill="auto"/>
          </w:tcPr>
          <w:p w14:paraId="5C02FC7A" w14:textId="77777777" w:rsidR="00642DC3" w:rsidRPr="00EB3D94" w:rsidRDefault="00642DC3" w:rsidP="00C96793">
            <w:pPr>
              <w:pStyle w:val="TableParagraph"/>
              <w:spacing w:line="240" w:lineRule="auto"/>
              <w:ind w:left="0"/>
              <w:jc w:val="right"/>
              <w:rPr>
                <w:rFonts w:ascii="Arial" w:hAnsi="Arial" w:cs="Arial"/>
                <w:lang w:val="es-ES"/>
              </w:rPr>
            </w:pPr>
            <w:r w:rsidRPr="00EB3D94">
              <w:rPr>
                <w:rFonts w:ascii="Arial" w:hAnsi="Arial" w:cs="Arial"/>
                <w:w w:val="90"/>
                <w:lang w:val="es-ES"/>
              </w:rPr>
              <w:t>833.333,33</w:t>
            </w:r>
            <w:r w:rsidRPr="00EB3D94">
              <w:rPr>
                <w:rFonts w:ascii="Arial" w:hAnsi="Arial" w:cs="Arial"/>
                <w:spacing w:val="17"/>
                <w:w w:val="90"/>
                <w:lang w:val="es-ES"/>
              </w:rPr>
              <w:t xml:space="preserve"> </w:t>
            </w:r>
            <w:r w:rsidRPr="00EB3D94">
              <w:rPr>
                <w:rFonts w:ascii="Arial" w:hAnsi="Arial" w:cs="Arial"/>
                <w:w w:val="90"/>
                <w:lang w:val="es-ES"/>
              </w:rPr>
              <w:t>€</w:t>
            </w:r>
          </w:p>
        </w:tc>
      </w:tr>
      <w:tr w:rsidR="00EB3D94" w:rsidRPr="00EB3D94" w14:paraId="221BD972" w14:textId="77777777" w:rsidTr="001C40F2">
        <w:trPr>
          <w:trHeight w:val="267"/>
        </w:trPr>
        <w:tc>
          <w:tcPr>
            <w:tcW w:w="3360" w:type="dxa"/>
            <w:shd w:val="clear" w:color="auto" w:fill="auto"/>
          </w:tcPr>
          <w:p w14:paraId="0E44A4DE" w14:textId="77777777" w:rsidR="00642DC3" w:rsidRPr="00EB3D94" w:rsidRDefault="00642DC3" w:rsidP="00C96793">
            <w:pPr>
              <w:pStyle w:val="TableParagraph"/>
              <w:numPr>
                <w:ilvl w:val="0"/>
                <w:numId w:val="50"/>
              </w:numPr>
              <w:tabs>
                <w:tab w:val="left" w:pos="334"/>
              </w:tabs>
              <w:spacing w:line="240" w:lineRule="auto"/>
              <w:rPr>
                <w:rFonts w:ascii="Arial" w:hAnsi="Arial" w:cs="Arial"/>
                <w:lang w:val="es-ES"/>
              </w:rPr>
            </w:pPr>
            <w:r w:rsidRPr="00EB3D94">
              <w:rPr>
                <w:rFonts w:ascii="Arial" w:hAnsi="Arial" w:cs="Arial"/>
                <w:lang w:val="es-ES"/>
              </w:rPr>
              <w:t>Año</w:t>
            </w:r>
            <w:r w:rsidRPr="00EB3D94">
              <w:rPr>
                <w:rFonts w:ascii="Arial" w:hAnsi="Arial" w:cs="Arial"/>
                <w:spacing w:val="-2"/>
                <w:lang w:val="es-ES"/>
              </w:rPr>
              <w:t xml:space="preserve"> </w:t>
            </w:r>
            <w:r w:rsidRPr="00EB3D94">
              <w:rPr>
                <w:rFonts w:ascii="Arial" w:hAnsi="Arial" w:cs="Arial"/>
                <w:lang w:val="es-ES"/>
              </w:rPr>
              <w:t>202</w:t>
            </w:r>
            <w:r w:rsidR="00C96793" w:rsidRPr="00EB3D94">
              <w:rPr>
                <w:rFonts w:ascii="Arial" w:hAnsi="Arial" w:cs="Arial"/>
                <w:lang w:val="es-ES"/>
              </w:rPr>
              <w:t>6</w:t>
            </w:r>
          </w:p>
        </w:tc>
        <w:tc>
          <w:tcPr>
            <w:tcW w:w="2018" w:type="dxa"/>
            <w:shd w:val="clear" w:color="auto" w:fill="auto"/>
          </w:tcPr>
          <w:p w14:paraId="7A758C92" w14:textId="77777777" w:rsidR="00642DC3" w:rsidRPr="00EB3D94" w:rsidRDefault="00DF0796" w:rsidP="00C96793">
            <w:pPr>
              <w:pStyle w:val="TableParagraph"/>
              <w:spacing w:line="240" w:lineRule="auto"/>
              <w:ind w:left="189"/>
              <w:jc w:val="right"/>
              <w:rPr>
                <w:rFonts w:ascii="Arial" w:hAnsi="Arial" w:cs="Arial"/>
                <w:lang w:val="es-ES"/>
              </w:rPr>
            </w:pPr>
            <w:r w:rsidRPr="00EB3D94">
              <w:rPr>
                <w:rFonts w:ascii="Arial" w:hAnsi="Arial" w:cs="Arial"/>
                <w:w w:val="90"/>
                <w:lang w:val="es-ES"/>
              </w:rPr>
              <w:t xml:space="preserve">  </w:t>
            </w:r>
            <w:r w:rsidR="00642DC3" w:rsidRPr="00EB3D94">
              <w:rPr>
                <w:rFonts w:ascii="Arial" w:hAnsi="Arial" w:cs="Arial"/>
                <w:w w:val="90"/>
                <w:lang w:val="es-ES"/>
              </w:rPr>
              <w:t>1.006.250,00</w:t>
            </w:r>
            <w:r w:rsidR="00642DC3" w:rsidRPr="00EB3D94">
              <w:rPr>
                <w:rFonts w:ascii="Arial" w:hAnsi="Arial" w:cs="Arial"/>
                <w:spacing w:val="24"/>
                <w:w w:val="90"/>
                <w:lang w:val="es-ES"/>
              </w:rPr>
              <w:t xml:space="preserve"> </w:t>
            </w:r>
            <w:r w:rsidR="00642DC3" w:rsidRPr="00EB3D94">
              <w:rPr>
                <w:rFonts w:ascii="Arial" w:hAnsi="Arial" w:cs="Arial"/>
                <w:w w:val="90"/>
                <w:lang w:val="es-ES"/>
              </w:rPr>
              <w:t>€</w:t>
            </w:r>
          </w:p>
        </w:tc>
        <w:tc>
          <w:tcPr>
            <w:tcW w:w="1727" w:type="dxa"/>
            <w:shd w:val="clear" w:color="auto" w:fill="auto"/>
          </w:tcPr>
          <w:p w14:paraId="0A9EB886" w14:textId="77777777" w:rsidR="00642DC3" w:rsidRPr="00EB3D94" w:rsidRDefault="00642DC3" w:rsidP="00C96793">
            <w:pPr>
              <w:pStyle w:val="TableParagraph"/>
              <w:spacing w:line="240" w:lineRule="auto"/>
              <w:ind w:left="0"/>
              <w:jc w:val="right"/>
              <w:rPr>
                <w:rFonts w:ascii="Arial" w:hAnsi="Arial" w:cs="Arial"/>
                <w:lang w:val="es-ES"/>
              </w:rPr>
            </w:pPr>
            <w:r w:rsidRPr="00EB3D94">
              <w:rPr>
                <w:rFonts w:ascii="Arial" w:hAnsi="Arial" w:cs="Arial"/>
                <w:w w:val="90"/>
                <w:lang w:val="es-ES"/>
              </w:rPr>
              <w:t>160.416,67</w:t>
            </w:r>
            <w:r w:rsidRPr="00EB3D94">
              <w:rPr>
                <w:rFonts w:ascii="Arial" w:hAnsi="Arial" w:cs="Arial"/>
                <w:spacing w:val="19"/>
                <w:w w:val="90"/>
                <w:lang w:val="es-ES"/>
              </w:rPr>
              <w:t xml:space="preserve"> </w:t>
            </w:r>
            <w:r w:rsidRPr="00EB3D94">
              <w:rPr>
                <w:rFonts w:ascii="Arial" w:hAnsi="Arial" w:cs="Arial"/>
                <w:w w:val="90"/>
                <w:lang w:val="es-ES"/>
              </w:rPr>
              <w:t>€</w:t>
            </w:r>
          </w:p>
        </w:tc>
        <w:tc>
          <w:tcPr>
            <w:tcW w:w="1563" w:type="dxa"/>
            <w:shd w:val="clear" w:color="auto" w:fill="auto"/>
          </w:tcPr>
          <w:p w14:paraId="0619AD59" w14:textId="77777777" w:rsidR="00642DC3" w:rsidRPr="00EB3D94" w:rsidRDefault="00642DC3" w:rsidP="00C96793">
            <w:pPr>
              <w:pStyle w:val="TableParagraph"/>
              <w:spacing w:line="240" w:lineRule="auto"/>
              <w:ind w:left="0"/>
              <w:jc w:val="right"/>
              <w:rPr>
                <w:rFonts w:ascii="Arial" w:hAnsi="Arial" w:cs="Arial"/>
                <w:lang w:val="es-ES"/>
              </w:rPr>
            </w:pPr>
            <w:r w:rsidRPr="00EB3D94">
              <w:rPr>
                <w:rFonts w:ascii="Arial" w:hAnsi="Arial" w:cs="Arial"/>
                <w:w w:val="90"/>
                <w:lang w:val="es-ES"/>
              </w:rPr>
              <w:t>1.166.666,67</w:t>
            </w:r>
            <w:r w:rsidRPr="00EB3D94">
              <w:rPr>
                <w:rFonts w:ascii="Arial" w:hAnsi="Arial" w:cs="Arial"/>
                <w:spacing w:val="24"/>
                <w:w w:val="90"/>
                <w:lang w:val="es-ES"/>
              </w:rPr>
              <w:t xml:space="preserve"> </w:t>
            </w:r>
            <w:r w:rsidRPr="00EB3D94">
              <w:rPr>
                <w:rFonts w:ascii="Arial" w:hAnsi="Arial" w:cs="Arial"/>
                <w:w w:val="90"/>
                <w:lang w:val="es-ES"/>
              </w:rPr>
              <w:t>€</w:t>
            </w:r>
          </w:p>
        </w:tc>
      </w:tr>
      <w:tr w:rsidR="00EB3D94" w:rsidRPr="00EB3D94" w14:paraId="49804756" w14:textId="77777777" w:rsidTr="001C40F2">
        <w:trPr>
          <w:trHeight w:val="267"/>
        </w:trPr>
        <w:tc>
          <w:tcPr>
            <w:tcW w:w="3360" w:type="dxa"/>
            <w:shd w:val="clear" w:color="auto" w:fill="auto"/>
          </w:tcPr>
          <w:p w14:paraId="2171A10A" w14:textId="77777777" w:rsidR="00642DC3" w:rsidRPr="00EB3D94" w:rsidRDefault="00642DC3" w:rsidP="00C96793">
            <w:pPr>
              <w:pStyle w:val="TableParagraph"/>
              <w:numPr>
                <w:ilvl w:val="0"/>
                <w:numId w:val="49"/>
              </w:numPr>
              <w:tabs>
                <w:tab w:val="left" w:pos="334"/>
              </w:tabs>
              <w:spacing w:line="240" w:lineRule="auto"/>
              <w:rPr>
                <w:rFonts w:ascii="Arial" w:hAnsi="Arial" w:cs="Arial"/>
                <w:lang w:val="es-ES"/>
              </w:rPr>
            </w:pPr>
            <w:r w:rsidRPr="00EB3D94">
              <w:rPr>
                <w:rFonts w:ascii="Arial" w:hAnsi="Arial" w:cs="Arial"/>
                <w:lang w:val="es-ES"/>
              </w:rPr>
              <w:t>Año</w:t>
            </w:r>
            <w:r w:rsidRPr="00EB3D94">
              <w:rPr>
                <w:rFonts w:ascii="Arial" w:hAnsi="Arial" w:cs="Arial"/>
                <w:spacing w:val="-4"/>
                <w:lang w:val="es-ES"/>
              </w:rPr>
              <w:t xml:space="preserve"> </w:t>
            </w:r>
            <w:r w:rsidRPr="00EB3D94">
              <w:rPr>
                <w:rFonts w:ascii="Arial" w:hAnsi="Arial" w:cs="Arial"/>
                <w:lang w:val="es-ES"/>
              </w:rPr>
              <w:t>202</w:t>
            </w:r>
            <w:r w:rsidR="00C96793" w:rsidRPr="00EB3D94">
              <w:rPr>
                <w:rFonts w:ascii="Arial" w:hAnsi="Arial" w:cs="Arial"/>
                <w:lang w:val="es-ES"/>
              </w:rPr>
              <w:t>6</w:t>
            </w:r>
            <w:r w:rsidRPr="00EB3D94">
              <w:rPr>
                <w:rFonts w:ascii="Arial" w:hAnsi="Arial" w:cs="Arial"/>
                <w:spacing w:val="-1"/>
                <w:lang w:val="es-ES"/>
              </w:rPr>
              <w:t xml:space="preserve"> </w:t>
            </w:r>
            <w:r w:rsidRPr="00EB3D94">
              <w:rPr>
                <w:rFonts w:ascii="Arial" w:hAnsi="Arial" w:cs="Arial"/>
                <w:lang w:val="es-ES"/>
              </w:rPr>
              <w:t>(posible</w:t>
            </w:r>
            <w:r w:rsidRPr="00EB3D94">
              <w:rPr>
                <w:rFonts w:ascii="Arial" w:hAnsi="Arial" w:cs="Arial"/>
                <w:spacing w:val="-1"/>
                <w:lang w:val="es-ES"/>
              </w:rPr>
              <w:t xml:space="preserve"> </w:t>
            </w:r>
            <w:r w:rsidRPr="00EB3D94">
              <w:rPr>
                <w:rFonts w:ascii="Arial" w:hAnsi="Arial" w:cs="Arial"/>
                <w:lang w:val="es-ES"/>
              </w:rPr>
              <w:t>prórroga)</w:t>
            </w:r>
          </w:p>
        </w:tc>
        <w:tc>
          <w:tcPr>
            <w:tcW w:w="2018" w:type="dxa"/>
            <w:shd w:val="clear" w:color="auto" w:fill="auto"/>
          </w:tcPr>
          <w:p w14:paraId="1F3BC012" w14:textId="77777777" w:rsidR="00642DC3" w:rsidRPr="00EB3D94" w:rsidRDefault="00DF0796" w:rsidP="00C96793">
            <w:pPr>
              <w:pStyle w:val="TableParagraph"/>
              <w:spacing w:line="240" w:lineRule="auto"/>
              <w:ind w:left="0"/>
              <w:jc w:val="right"/>
              <w:rPr>
                <w:rFonts w:ascii="Arial" w:hAnsi="Arial" w:cs="Arial"/>
                <w:lang w:val="es-ES"/>
              </w:rPr>
            </w:pPr>
            <w:r w:rsidRPr="00EB3D94">
              <w:rPr>
                <w:rFonts w:ascii="Arial" w:hAnsi="Arial" w:cs="Arial"/>
                <w:w w:val="90"/>
                <w:lang w:val="es-ES"/>
              </w:rPr>
              <w:t xml:space="preserve">       </w:t>
            </w:r>
            <w:r w:rsidR="00642DC3" w:rsidRPr="00EB3D94">
              <w:rPr>
                <w:rFonts w:ascii="Arial" w:hAnsi="Arial" w:cs="Arial"/>
                <w:w w:val="90"/>
                <w:lang w:val="es-ES"/>
              </w:rPr>
              <w:t>718.750,00</w:t>
            </w:r>
            <w:r w:rsidR="00642DC3" w:rsidRPr="00EB3D94">
              <w:rPr>
                <w:rFonts w:ascii="Arial" w:hAnsi="Arial" w:cs="Arial"/>
                <w:spacing w:val="19"/>
                <w:w w:val="90"/>
                <w:lang w:val="es-ES"/>
              </w:rPr>
              <w:t xml:space="preserve"> </w:t>
            </w:r>
            <w:r w:rsidR="00642DC3" w:rsidRPr="00EB3D94">
              <w:rPr>
                <w:rFonts w:ascii="Arial" w:hAnsi="Arial" w:cs="Arial"/>
                <w:w w:val="90"/>
                <w:lang w:val="es-ES"/>
              </w:rPr>
              <w:t>€</w:t>
            </w:r>
          </w:p>
        </w:tc>
        <w:tc>
          <w:tcPr>
            <w:tcW w:w="1727" w:type="dxa"/>
            <w:shd w:val="clear" w:color="auto" w:fill="auto"/>
          </w:tcPr>
          <w:p w14:paraId="5244384C" w14:textId="77777777" w:rsidR="00642DC3" w:rsidRPr="00EB3D94" w:rsidRDefault="00642DC3" w:rsidP="00C96793">
            <w:pPr>
              <w:pStyle w:val="TableParagraph"/>
              <w:spacing w:line="240" w:lineRule="auto"/>
              <w:ind w:left="0"/>
              <w:jc w:val="right"/>
              <w:rPr>
                <w:rFonts w:ascii="Arial" w:hAnsi="Arial" w:cs="Arial"/>
                <w:lang w:val="es-ES"/>
              </w:rPr>
            </w:pPr>
            <w:r w:rsidRPr="00EB3D94">
              <w:rPr>
                <w:rFonts w:ascii="Arial" w:hAnsi="Arial" w:cs="Arial"/>
                <w:w w:val="90"/>
                <w:lang w:val="es-ES"/>
              </w:rPr>
              <w:t>114.583,33</w:t>
            </w:r>
            <w:r w:rsidRPr="00EB3D94">
              <w:rPr>
                <w:rFonts w:ascii="Arial" w:hAnsi="Arial" w:cs="Arial"/>
                <w:spacing w:val="17"/>
                <w:w w:val="90"/>
                <w:lang w:val="es-ES"/>
              </w:rPr>
              <w:t xml:space="preserve"> </w:t>
            </w:r>
            <w:r w:rsidRPr="00EB3D94">
              <w:rPr>
                <w:rFonts w:ascii="Arial" w:hAnsi="Arial" w:cs="Arial"/>
                <w:w w:val="90"/>
                <w:lang w:val="es-ES"/>
              </w:rPr>
              <w:t>€</w:t>
            </w:r>
          </w:p>
        </w:tc>
        <w:tc>
          <w:tcPr>
            <w:tcW w:w="1563" w:type="dxa"/>
            <w:shd w:val="clear" w:color="auto" w:fill="auto"/>
          </w:tcPr>
          <w:p w14:paraId="1E309992" w14:textId="77777777" w:rsidR="00642DC3" w:rsidRPr="00EB3D94" w:rsidRDefault="00642DC3" w:rsidP="00C96793">
            <w:pPr>
              <w:pStyle w:val="TableParagraph"/>
              <w:spacing w:line="240" w:lineRule="auto"/>
              <w:ind w:left="0"/>
              <w:jc w:val="right"/>
              <w:rPr>
                <w:rFonts w:ascii="Arial" w:hAnsi="Arial" w:cs="Arial"/>
                <w:lang w:val="es-ES"/>
              </w:rPr>
            </w:pPr>
            <w:r w:rsidRPr="00EB3D94">
              <w:rPr>
                <w:rFonts w:ascii="Arial" w:hAnsi="Arial" w:cs="Arial"/>
                <w:w w:val="90"/>
                <w:lang w:val="es-ES"/>
              </w:rPr>
              <w:t>833.333,33</w:t>
            </w:r>
            <w:r w:rsidRPr="00EB3D94">
              <w:rPr>
                <w:rFonts w:ascii="Arial" w:hAnsi="Arial" w:cs="Arial"/>
                <w:spacing w:val="17"/>
                <w:w w:val="90"/>
                <w:lang w:val="es-ES"/>
              </w:rPr>
              <w:t xml:space="preserve"> </w:t>
            </w:r>
            <w:r w:rsidRPr="00EB3D94">
              <w:rPr>
                <w:rFonts w:ascii="Arial" w:hAnsi="Arial" w:cs="Arial"/>
                <w:w w:val="90"/>
                <w:lang w:val="es-ES"/>
              </w:rPr>
              <w:t>€</w:t>
            </w:r>
          </w:p>
        </w:tc>
      </w:tr>
      <w:tr w:rsidR="00EB3D94" w:rsidRPr="00EB3D94" w14:paraId="5233590C" w14:textId="77777777" w:rsidTr="001C40F2">
        <w:trPr>
          <w:trHeight w:val="269"/>
        </w:trPr>
        <w:tc>
          <w:tcPr>
            <w:tcW w:w="3360" w:type="dxa"/>
            <w:shd w:val="clear" w:color="auto" w:fill="auto"/>
          </w:tcPr>
          <w:p w14:paraId="593D8B27" w14:textId="77777777" w:rsidR="00642DC3" w:rsidRPr="00EB3D94" w:rsidRDefault="00642DC3" w:rsidP="00C96793">
            <w:pPr>
              <w:pStyle w:val="TableParagraph"/>
              <w:numPr>
                <w:ilvl w:val="0"/>
                <w:numId w:val="48"/>
              </w:numPr>
              <w:tabs>
                <w:tab w:val="left" w:pos="334"/>
              </w:tabs>
              <w:spacing w:line="240" w:lineRule="auto"/>
              <w:rPr>
                <w:rFonts w:ascii="Arial" w:hAnsi="Arial" w:cs="Arial"/>
                <w:lang w:val="es-ES"/>
              </w:rPr>
            </w:pPr>
            <w:r w:rsidRPr="00EB3D94">
              <w:rPr>
                <w:rFonts w:ascii="Arial" w:hAnsi="Arial" w:cs="Arial"/>
                <w:lang w:val="es-ES"/>
              </w:rPr>
              <w:t>Año</w:t>
            </w:r>
            <w:r w:rsidRPr="00EB3D94">
              <w:rPr>
                <w:rFonts w:ascii="Arial" w:hAnsi="Arial" w:cs="Arial"/>
                <w:spacing w:val="-4"/>
                <w:lang w:val="es-ES"/>
              </w:rPr>
              <w:t xml:space="preserve"> </w:t>
            </w:r>
            <w:r w:rsidRPr="00EB3D94">
              <w:rPr>
                <w:rFonts w:ascii="Arial" w:hAnsi="Arial" w:cs="Arial"/>
                <w:lang w:val="es-ES"/>
              </w:rPr>
              <w:t>202</w:t>
            </w:r>
            <w:r w:rsidR="00C96793" w:rsidRPr="00EB3D94">
              <w:rPr>
                <w:rFonts w:ascii="Arial" w:hAnsi="Arial" w:cs="Arial"/>
                <w:lang w:val="es-ES"/>
              </w:rPr>
              <w:t>7</w:t>
            </w:r>
            <w:r w:rsidRPr="00EB3D94">
              <w:rPr>
                <w:rFonts w:ascii="Arial" w:hAnsi="Arial" w:cs="Arial"/>
                <w:spacing w:val="-1"/>
                <w:lang w:val="es-ES"/>
              </w:rPr>
              <w:t xml:space="preserve"> </w:t>
            </w:r>
            <w:r w:rsidRPr="00EB3D94">
              <w:rPr>
                <w:rFonts w:ascii="Arial" w:hAnsi="Arial" w:cs="Arial"/>
                <w:lang w:val="es-ES"/>
              </w:rPr>
              <w:t>(posible</w:t>
            </w:r>
            <w:r w:rsidRPr="00EB3D94">
              <w:rPr>
                <w:rFonts w:ascii="Arial" w:hAnsi="Arial" w:cs="Arial"/>
                <w:spacing w:val="-1"/>
                <w:lang w:val="es-ES"/>
              </w:rPr>
              <w:t xml:space="preserve"> </w:t>
            </w:r>
            <w:r w:rsidRPr="00EB3D94">
              <w:rPr>
                <w:rFonts w:ascii="Arial" w:hAnsi="Arial" w:cs="Arial"/>
                <w:lang w:val="es-ES"/>
              </w:rPr>
              <w:t>prórroga)</w:t>
            </w:r>
          </w:p>
        </w:tc>
        <w:tc>
          <w:tcPr>
            <w:tcW w:w="2018" w:type="dxa"/>
            <w:shd w:val="clear" w:color="auto" w:fill="auto"/>
          </w:tcPr>
          <w:p w14:paraId="29103A00" w14:textId="77777777" w:rsidR="00642DC3" w:rsidRPr="00EB3D94" w:rsidRDefault="00DF0796" w:rsidP="00C96793">
            <w:pPr>
              <w:pStyle w:val="TableParagraph"/>
              <w:spacing w:line="240" w:lineRule="auto"/>
              <w:ind w:left="240"/>
              <w:jc w:val="right"/>
              <w:rPr>
                <w:rFonts w:ascii="Arial" w:hAnsi="Arial" w:cs="Arial"/>
                <w:lang w:val="es-ES"/>
              </w:rPr>
            </w:pPr>
            <w:r w:rsidRPr="00EB3D94">
              <w:rPr>
                <w:rFonts w:ascii="Arial" w:hAnsi="Arial" w:cs="Arial"/>
                <w:w w:val="90"/>
                <w:lang w:val="es-ES"/>
              </w:rPr>
              <w:t xml:space="preserve"> </w:t>
            </w:r>
            <w:r w:rsidR="00642DC3" w:rsidRPr="00EB3D94">
              <w:rPr>
                <w:rFonts w:ascii="Arial" w:hAnsi="Arial" w:cs="Arial"/>
                <w:w w:val="90"/>
                <w:lang w:val="es-ES"/>
              </w:rPr>
              <w:t>1.006.250,00</w:t>
            </w:r>
            <w:r w:rsidR="00642DC3" w:rsidRPr="00EB3D94">
              <w:rPr>
                <w:rFonts w:ascii="Arial" w:hAnsi="Arial" w:cs="Arial"/>
                <w:spacing w:val="26"/>
                <w:w w:val="90"/>
                <w:lang w:val="es-ES"/>
              </w:rPr>
              <w:t xml:space="preserve"> </w:t>
            </w:r>
            <w:r w:rsidR="00642DC3" w:rsidRPr="00EB3D94">
              <w:rPr>
                <w:rFonts w:ascii="Arial" w:hAnsi="Arial" w:cs="Arial"/>
                <w:w w:val="90"/>
                <w:lang w:val="es-ES"/>
              </w:rPr>
              <w:t>€</w:t>
            </w:r>
          </w:p>
        </w:tc>
        <w:tc>
          <w:tcPr>
            <w:tcW w:w="1727" w:type="dxa"/>
            <w:shd w:val="clear" w:color="auto" w:fill="auto"/>
          </w:tcPr>
          <w:p w14:paraId="6E8DDBE0" w14:textId="77777777" w:rsidR="00642DC3" w:rsidRPr="00EB3D94" w:rsidRDefault="00642DC3" w:rsidP="00C96793">
            <w:pPr>
              <w:pStyle w:val="TableParagraph"/>
              <w:spacing w:line="240" w:lineRule="auto"/>
              <w:ind w:left="0"/>
              <w:jc w:val="right"/>
              <w:rPr>
                <w:rFonts w:ascii="Arial" w:hAnsi="Arial" w:cs="Arial"/>
                <w:lang w:val="es-ES"/>
              </w:rPr>
            </w:pPr>
            <w:r w:rsidRPr="00EB3D94">
              <w:rPr>
                <w:rFonts w:ascii="Arial" w:hAnsi="Arial" w:cs="Arial"/>
                <w:w w:val="90"/>
                <w:lang w:val="es-ES"/>
              </w:rPr>
              <w:t>160.416,67</w:t>
            </w:r>
            <w:r w:rsidRPr="00EB3D94">
              <w:rPr>
                <w:rFonts w:ascii="Arial" w:hAnsi="Arial" w:cs="Arial"/>
                <w:spacing w:val="17"/>
                <w:w w:val="90"/>
                <w:lang w:val="es-ES"/>
              </w:rPr>
              <w:t xml:space="preserve"> </w:t>
            </w:r>
            <w:r w:rsidRPr="00EB3D94">
              <w:rPr>
                <w:rFonts w:ascii="Arial" w:hAnsi="Arial" w:cs="Arial"/>
                <w:w w:val="90"/>
                <w:lang w:val="es-ES"/>
              </w:rPr>
              <w:t>€</w:t>
            </w:r>
          </w:p>
        </w:tc>
        <w:tc>
          <w:tcPr>
            <w:tcW w:w="1563" w:type="dxa"/>
            <w:shd w:val="clear" w:color="auto" w:fill="auto"/>
          </w:tcPr>
          <w:p w14:paraId="53392453" w14:textId="77777777" w:rsidR="00642DC3" w:rsidRPr="00EB3D94" w:rsidRDefault="00642DC3" w:rsidP="00C96793">
            <w:pPr>
              <w:pStyle w:val="TableParagraph"/>
              <w:spacing w:line="240" w:lineRule="auto"/>
              <w:ind w:left="0"/>
              <w:jc w:val="right"/>
              <w:rPr>
                <w:rFonts w:ascii="Arial" w:hAnsi="Arial" w:cs="Arial"/>
                <w:lang w:val="es-ES"/>
              </w:rPr>
            </w:pPr>
            <w:r w:rsidRPr="00EB3D94">
              <w:rPr>
                <w:rFonts w:ascii="Arial" w:hAnsi="Arial" w:cs="Arial"/>
                <w:w w:val="90"/>
                <w:lang w:val="es-ES"/>
              </w:rPr>
              <w:t>1.166.666,67</w:t>
            </w:r>
            <w:r w:rsidRPr="00EB3D94">
              <w:rPr>
                <w:rFonts w:ascii="Arial" w:hAnsi="Arial" w:cs="Arial"/>
                <w:spacing w:val="24"/>
                <w:w w:val="90"/>
                <w:lang w:val="es-ES"/>
              </w:rPr>
              <w:t xml:space="preserve"> </w:t>
            </w:r>
            <w:r w:rsidRPr="00EB3D94">
              <w:rPr>
                <w:rFonts w:ascii="Arial" w:hAnsi="Arial" w:cs="Arial"/>
                <w:w w:val="90"/>
                <w:lang w:val="es-ES"/>
              </w:rPr>
              <w:t>€</w:t>
            </w:r>
          </w:p>
        </w:tc>
      </w:tr>
      <w:tr w:rsidR="00EB3D94" w:rsidRPr="00EB3D94" w14:paraId="663D0111" w14:textId="77777777" w:rsidTr="00C96793">
        <w:trPr>
          <w:trHeight w:val="221"/>
        </w:trPr>
        <w:tc>
          <w:tcPr>
            <w:tcW w:w="3360" w:type="dxa"/>
            <w:shd w:val="clear" w:color="auto" w:fill="auto"/>
          </w:tcPr>
          <w:p w14:paraId="16EBF37C" w14:textId="77777777" w:rsidR="00C96793" w:rsidRPr="00EB3D94" w:rsidRDefault="00C96793" w:rsidP="00C96793">
            <w:pPr>
              <w:pStyle w:val="TableParagraph"/>
              <w:numPr>
                <w:ilvl w:val="0"/>
                <w:numId w:val="46"/>
              </w:numPr>
              <w:spacing w:line="240" w:lineRule="auto"/>
              <w:ind w:left="338" w:hanging="284"/>
              <w:rPr>
                <w:rFonts w:ascii="Arial" w:hAnsi="Arial" w:cs="Arial"/>
                <w:b/>
                <w:lang w:val="es-ES"/>
              </w:rPr>
            </w:pPr>
            <w:r w:rsidRPr="00EB3D94">
              <w:rPr>
                <w:rFonts w:ascii="Arial" w:hAnsi="Arial" w:cs="Arial"/>
                <w:lang w:val="es-ES"/>
              </w:rPr>
              <w:t>Año</w:t>
            </w:r>
            <w:r w:rsidRPr="00EB3D94">
              <w:rPr>
                <w:rFonts w:ascii="Arial" w:hAnsi="Arial" w:cs="Arial"/>
                <w:spacing w:val="-4"/>
                <w:lang w:val="es-ES"/>
              </w:rPr>
              <w:t xml:space="preserve"> </w:t>
            </w:r>
            <w:r w:rsidRPr="00EB3D94">
              <w:rPr>
                <w:rFonts w:ascii="Arial" w:hAnsi="Arial" w:cs="Arial"/>
                <w:lang w:val="es-ES"/>
              </w:rPr>
              <w:t>2027</w:t>
            </w:r>
            <w:r w:rsidRPr="00EB3D94">
              <w:rPr>
                <w:rFonts w:ascii="Arial" w:hAnsi="Arial" w:cs="Arial"/>
                <w:spacing w:val="-1"/>
                <w:lang w:val="es-ES"/>
              </w:rPr>
              <w:t xml:space="preserve"> </w:t>
            </w:r>
            <w:r w:rsidRPr="00EB3D94">
              <w:rPr>
                <w:rFonts w:ascii="Arial" w:hAnsi="Arial" w:cs="Arial"/>
                <w:lang w:val="es-ES"/>
              </w:rPr>
              <w:t>(posible</w:t>
            </w:r>
            <w:r w:rsidRPr="00EB3D94">
              <w:rPr>
                <w:rFonts w:ascii="Arial" w:hAnsi="Arial" w:cs="Arial"/>
                <w:spacing w:val="-1"/>
                <w:lang w:val="es-ES"/>
              </w:rPr>
              <w:t xml:space="preserve"> </w:t>
            </w:r>
            <w:r w:rsidRPr="00EB3D94">
              <w:rPr>
                <w:rFonts w:ascii="Arial" w:hAnsi="Arial" w:cs="Arial"/>
                <w:lang w:val="es-ES"/>
              </w:rPr>
              <w:t>prórroga)</w:t>
            </w:r>
          </w:p>
        </w:tc>
        <w:tc>
          <w:tcPr>
            <w:tcW w:w="2018" w:type="dxa"/>
            <w:shd w:val="clear" w:color="auto" w:fill="auto"/>
          </w:tcPr>
          <w:p w14:paraId="74E89284" w14:textId="77777777" w:rsidR="00C96793" w:rsidRPr="00EB3D94" w:rsidRDefault="00C96793" w:rsidP="00C96793">
            <w:pPr>
              <w:pStyle w:val="TableParagraph"/>
              <w:spacing w:line="240" w:lineRule="auto"/>
              <w:ind w:left="235"/>
              <w:jc w:val="right"/>
              <w:rPr>
                <w:rFonts w:ascii="Arial" w:hAnsi="Arial" w:cs="Arial"/>
                <w:b/>
                <w:lang w:val="es-ES"/>
              </w:rPr>
            </w:pPr>
            <w:r w:rsidRPr="00EB3D94">
              <w:rPr>
                <w:rFonts w:ascii="Arial" w:hAnsi="Arial" w:cs="Arial"/>
                <w:w w:val="90"/>
                <w:lang w:val="es-ES"/>
              </w:rPr>
              <w:t xml:space="preserve">       718.750,00</w:t>
            </w:r>
            <w:r w:rsidRPr="00EB3D94">
              <w:rPr>
                <w:rFonts w:ascii="Arial" w:hAnsi="Arial" w:cs="Arial"/>
                <w:spacing w:val="19"/>
                <w:w w:val="90"/>
                <w:lang w:val="es-ES"/>
              </w:rPr>
              <w:t xml:space="preserve"> </w:t>
            </w:r>
            <w:r w:rsidRPr="00EB3D94">
              <w:rPr>
                <w:rFonts w:ascii="Arial" w:hAnsi="Arial" w:cs="Arial"/>
                <w:w w:val="90"/>
                <w:lang w:val="es-ES"/>
              </w:rPr>
              <w:t>€</w:t>
            </w:r>
          </w:p>
        </w:tc>
        <w:tc>
          <w:tcPr>
            <w:tcW w:w="1727" w:type="dxa"/>
            <w:shd w:val="clear" w:color="auto" w:fill="auto"/>
          </w:tcPr>
          <w:p w14:paraId="1949D42E" w14:textId="77777777" w:rsidR="00C96793" w:rsidRPr="00EB3D94" w:rsidRDefault="00C96793" w:rsidP="00C96793">
            <w:pPr>
              <w:pStyle w:val="TableParagraph"/>
              <w:spacing w:line="240" w:lineRule="auto"/>
              <w:ind w:left="0"/>
              <w:jc w:val="right"/>
              <w:rPr>
                <w:rFonts w:ascii="Arial" w:hAnsi="Arial" w:cs="Arial"/>
                <w:b/>
                <w:lang w:val="es-ES"/>
              </w:rPr>
            </w:pPr>
            <w:r w:rsidRPr="00EB3D94">
              <w:rPr>
                <w:rFonts w:ascii="Arial" w:hAnsi="Arial" w:cs="Arial"/>
                <w:w w:val="90"/>
                <w:lang w:val="es-ES"/>
              </w:rPr>
              <w:t>114.583,33</w:t>
            </w:r>
            <w:r w:rsidRPr="00EB3D94">
              <w:rPr>
                <w:rFonts w:ascii="Arial" w:hAnsi="Arial" w:cs="Arial"/>
                <w:spacing w:val="17"/>
                <w:w w:val="90"/>
                <w:lang w:val="es-ES"/>
              </w:rPr>
              <w:t xml:space="preserve"> </w:t>
            </w:r>
            <w:r w:rsidRPr="00EB3D94">
              <w:rPr>
                <w:rFonts w:ascii="Arial" w:hAnsi="Arial" w:cs="Arial"/>
                <w:w w:val="90"/>
                <w:lang w:val="es-ES"/>
              </w:rPr>
              <w:t>€</w:t>
            </w:r>
          </w:p>
        </w:tc>
        <w:tc>
          <w:tcPr>
            <w:tcW w:w="1563" w:type="dxa"/>
            <w:shd w:val="clear" w:color="auto" w:fill="auto"/>
          </w:tcPr>
          <w:p w14:paraId="405DB6DD" w14:textId="77777777" w:rsidR="00C96793" w:rsidRPr="00EB3D94" w:rsidRDefault="00C96793" w:rsidP="00C96793">
            <w:pPr>
              <w:pStyle w:val="TableParagraph"/>
              <w:spacing w:line="240" w:lineRule="auto"/>
              <w:ind w:left="0"/>
              <w:jc w:val="right"/>
              <w:rPr>
                <w:rFonts w:ascii="Arial" w:hAnsi="Arial" w:cs="Arial"/>
                <w:b/>
                <w:lang w:val="es-ES"/>
              </w:rPr>
            </w:pPr>
            <w:r w:rsidRPr="00EB3D94">
              <w:rPr>
                <w:rFonts w:ascii="Arial" w:hAnsi="Arial" w:cs="Arial"/>
                <w:w w:val="90"/>
                <w:lang w:val="es-ES"/>
              </w:rPr>
              <w:t>833.333,33</w:t>
            </w:r>
            <w:r w:rsidRPr="00EB3D94">
              <w:rPr>
                <w:rFonts w:ascii="Arial" w:hAnsi="Arial" w:cs="Arial"/>
                <w:spacing w:val="17"/>
                <w:w w:val="90"/>
                <w:lang w:val="es-ES"/>
              </w:rPr>
              <w:t xml:space="preserve"> </w:t>
            </w:r>
            <w:r w:rsidRPr="00EB3D94">
              <w:rPr>
                <w:rFonts w:ascii="Arial" w:hAnsi="Arial" w:cs="Arial"/>
                <w:w w:val="90"/>
                <w:lang w:val="es-ES"/>
              </w:rPr>
              <w:t>€</w:t>
            </w:r>
          </w:p>
        </w:tc>
      </w:tr>
      <w:tr w:rsidR="00EB3D94" w:rsidRPr="00EB3D94" w14:paraId="11A97FEC" w14:textId="77777777" w:rsidTr="00C96793">
        <w:trPr>
          <w:trHeight w:val="221"/>
        </w:trPr>
        <w:tc>
          <w:tcPr>
            <w:tcW w:w="3360" w:type="dxa"/>
            <w:shd w:val="clear" w:color="auto" w:fill="auto"/>
          </w:tcPr>
          <w:p w14:paraId="4D5EDFA3" w14:textId="77777777" w:rsidR="00C96793" w:rsidRPr="00EB3D94" w:rsidRDefault="00C96793" w:rsidP="00C96793">
            <w:pPr>
              <w:pStyle w:val="TableParagraph"/>
              <w:numPr>
                <w:ilvl w:val="0"/>
                <w:numId w:val="46"/>
              </w:numPr>
              <w:spacing w:line="240" w:lineRule="auto"/>
              <w:ind w:left="338" w:hanging="284"/>
              <w:rPr>
                <w:rFonts w:ascii="Arial" w:hAnsi="Arial" w:cs="Arial"/>
                <w:b/>
                <w:lang w:val="es-ES"/>
              </w:rPr>
            </w:pPr>
            <w:r w:rsidRPr="00EB3D94">
              <w:rPr>
                <w:rFonts w:ascii="Arial" w:hAnsi="Arial" w:cs="Arial"/>
                <w:lang w:val="es-ES"/>
              </w:rPr>
              <w:t>Año</w:t>
            </w:r>
            <w:r w:rsidRPr="00EB3D94">
              <w:rPr>
                <w:rFonts w:ascii="Arial" w:hAnsi="Arial" w:cs="Arial"/>
                <w:spacing w:val="-4"/>
                <w:lang w:val="es-ES"/>
              </w:rPr>
              <w:t xml:space="preserve"> </w:t>
            </w:r>
            <w:r w:rsidRPr="00EB3D94">
              <w:rPr>
                <w:rFonts w:ascii="Arial" w:hAnsi="Arial" w:cs="Arial"/>
                <w:lang w:val="es-ES"/>
              </w:rPr>
              <w:t>2028</w:t>
            </w:r>
            <w:r w:rsidRPr="00EB3D94">
              <w:rPr>
                <w:rFonts w:ascii="Arial" w:hAnsi="Arial" w:cs="Arial"/>
                <w:spacing w:val="-1"/>
                <w:lang w:val="es-ES"/>
              </w:rPr>
              <w:t xml:space="preserve"> </w:t>
            </w:r>
            <w:r w:rsidRPr="00EB3D94">
              <w:rPr>
                <w:rFonts w:ascii="Arial" w:hAnsi="Arial" w:cs="Arial"/>
                <w:lang w:val="es-ES"/>
              </w:rPr>
              <w:t>(posible</w:t>
            </w:r>
            <w:r w:rsidRPr="00EB3D94">
              <w:rPr>
                <w:rFonts w:ascii="Arial" w:hAnsi="Arial" w:cs="Arial"/>
                <w:spacing w:val="-1"/>
                <w:lang w:val="es-ES"/>
              </w:rPr>
              <w:t xml:space="preserve"> </w:t>
            </w:r>
            <w:r w:rsidRPr="00EB3D94">
              <w:rPr>
                <w:rFonts w:ascii="Arial" w:hAnsi="Arial" w:cs="Arial"/>
                <w:lang w:val="es-ES"/>
              </w:rPr>
              <w:t>prórroga)</w:t>
            </w:r>
          </w:p>
        </w:tc>
        <w:tc>
          <w:tcPr>
            <w:tcW w:w="2018" w:type="dxa"/>
            <w:shd w:val="clear" w:color="auto" w:fill="auto"/>
          </w:tcPr>
          <w:p w14:paraId="4BB650B9" w14:textId="77777777" w:rsidR="00C96793" w:rsidRPr="00EB3D94" w:rsidRDefault="00C96793" w:rsidP="00C96793">
            <w:pPr>
              <w:pStyle w:val="TableParagraph"/>
              <w:spacing w:line="240" w:lineRule="auto"/>
              <w:ind w:left="235"/>
              <w:jc w:val="right"/>
              <w:rPr>
                <w:rFonts w:ascii="Arial" w:hAnsi="Arial" w:cs="Arial"/>
                <w:b/>
                <w:lang w:val="es-ES"/>
              </w:rPr>
            </w:pPr>
            <w:r w:rsidRPr="00EB3D94">
              <w:rPr>
                <w:rFonts w:ascii="Arial" w:hAnsi="Arial" w:cs="Arial"/>
                <w:w w:val="90"/>
                <w:lang w:val="es-ES"/>
              </w:rPr>
              <w:t xml:space="preserve"> 1.006.250,00</w:t>
            </w:r>
            <w:r w:rsidRPr="00EB3D94">
              <w:rPr>
                <w:rFonts w:ascii="Arial" w:hAnsi="Arial" w:cs="Arial"/>
                <w:spacing w:val="26"/>
                <w:w w:val="90"/>
                <w:lang w:val="es-ES"/>
              </w:rPr>
              <w:t xml:space="preserve"> </w:t>
            </w:r>
            <w:r w:rsidRPr="00EB3D94">
              <w:rPr>
                <w:rFonts w:ascii="Arial" w:hAnsi="Arial" w:cs="Arial"/>
                <w:w w:val="90"/>
                <w:lang w:val="es-ES"/>
              </w:rPr>
              <w:t>€</w:t>
            </w:r>
          </w:p>
        </w:tc>
        <w:tc>
          <w:tcPr>
            <w:tcW w:w="1727" w:type="dxa"/>
            <w:shd w:val="clear" w:color="auto" w:fill="auto"/>
          </w:tcPr>
          <w:p w14:paraId="2C43A140" w14:textId="77777777" w:rsidR="00C96793" w:rsidRPr="00EB3D94" w:rsidRDefault="00C96793" w:rsidP="00C96793">
            <w:pPr>
              <w:pStyle w:val="TableParagraph"/>
              <w:spacing w:line="240" w:lineRule="auto"/>
              <w:ind w:left="0"/>
              <w:jc w:val="right"/>
              <w:rPr>
                <w:rFonts w:ascii="Arial" w:hAnsi="Arial" w:cs="Arial"/>
                <w:b/>
                <w:lang w:val="es-ES"/>
              </w:rPr>
            </w:pPr>
            <w:r w:rsidRPr="00EB3D94">
              <w:rPr>
                <w:rFonts w:ascii="Arial" w:hAnsi="Arial" w:cs="Arial"/>
                <w:w w:val="90"/>
                <w:lang w:val="es-ES"/>
              </w:rPr>
              <w:t>160.416,67</w:t>
            </w:r>
            <w:r w:rsidRPr="00EB3D94">
              <w:rPr>
                <w:rFonts w:ascii="Arial" w:hAnsi="Arial" w:cs="Arial"/>
                <w:spacing w:val="17"/>
                <w:w w:val="90"/>
                <w:lang w:val="es-ES"/>
              </w:rPr>
              <w:t xml:space="preserve"> </w:t>
            </w:r>
            <w:r w:rsidRPr="00EB3D94">
              <w:rPr>
                <w:rFonts w:ascii="Arial" w:hAnsi="Arial" w:cs="Arial"/>
                <w:w w:val="90"/>
                <w:lang w:val="es-ES"/>
              </w:rPr>
              <w:t>€</w:t>
            </w:r>
          </w:p>
        </w:tc>
        <w:tc>
          <w:tcPr>
            <w:tcW w:w="1563" w:type="dxa"/>
            <w:shd w:val="clear" w:color="auto" w:fill="auto"/>
          </w:tcPr>
          <w:p w14:paraId="398DD823" w14:textId="77777777" w:rsidR="00C96793" w:rsidRPr="00EB3D94" w:rsidRDefault="00C96793" w:rsidP="00C96793">
            <w:pPr>
              <w:pStyle w:val="TableParagraph"/>
              <w:spacing w:line="240" w:lineRule="auto"/>
              <w:ind w:left="0"/>
              <w:jc w:val="right"/>
              <w:rPr>
                <w:rFonts w:ascii="Arial" w:hAnsi="Arial" w:cs="Arial"/>
                <w:b/>
                <w:lang w:val="es-ES"/>
              </w:rPr>
            </w:pPr>
            <w:r w:rsidRPr="00EB3D94">
              <w:rPr>
                <w:rFonts w:ascii="Arial" w:hAnsi="Arial" w:cs="Arial"/>
                <w:w w:val="90"/>
                <w:lang w:val="es-ES"/>
              </w:rPr>
              <w:t>1.166.666,67</w:t>
            </w:r>
            <w:r w:rsidRPr="00EB3D94">
              <w:rPr>
                <w:rFonts w:ascii="Arial" w:hAnsi="Arial" w:cs="Arial"/>
                <w:spacing w:val="24"/>
                <w:w w:val="90"/>
                <w:lang w:val="es-ES"/>
              </w:rPr>
              <w:t xml:space="preserve"> </w:t>
            </w:r>
            <w:r w:rsidRPr="00EB3D94">
              <w:rPr>
                <w:rFonts w:ascii="Arial" w:hAnsi="Arial" w:cs="Arial"/>
                <w:w w:val="90"/>
                <w:lang w:val="es-ES"/>
              </w:rPr>
              <w:t>€</w:t>
            </w:r>
          </w:p>
        </w:tc>
      </w:tr>
      <w:tr w:rsidR="00EB3D94" w:rsidRPr="00EB3D94" w14:paraId="43550B3C" w14:textId="77777777" w:rsidTr="001C40F2">
        <w:trPr>
          <w:trHeight w:val="221"/>
        </w:trPr>
        <w:tc>
          <w:tcPr>
            <w:tcW w:w="3360" w:type="dxa"/>
            <w:tcBorders>
              <w:bottom w:val="single" w:sz="12" w:space="0" w:color="000000"/>
            </w:tcBorders>
            <w:shd w:val="clear" w:color="auto" w:fill="auto"/>
          </w:tcPr>
          <w:p w14:paraId="2E9D45F8" w14:textId="77777777" w:rsidR="00C96793" w:rsidRPr="00EB3D94" w:rsidRDefault="00C96793" w:rsidP="00C96793">
            <w:pPr>
              <w:pStyle w:val="TableParagraph"/>
              <w:spacing w:line="240" w:lineRule="auto"/>
              <w:ind w:left="757"/>
              <w:rPr>
                <w:rFonts w:ascii="Arial" w:hAnsi="Arial" w:cs="Arial"/>
                <w:b/>
                <w:lang w:val="es-ES"/>
              </w:rPr>
            </w:pPr>
            <w:r w:rsidRPr="00EB3D94">
              <w:rPr>
                <w:rFonts w:ascii="Arial" w:hAnsi="Arial" w:cs="Arial"/>
                <w:b/>
                <w:lang w:val="es-ES"/>
              </w:rPr>
              <w:t>TOTAL</w:t>
            </w:r>
          </w:p>
        </w:tc>
        <w:tc>
          <w:tcPr>
            <w:tcW w:w="2018" w:type="dxa"/>
            <w:tcBorders>
              <w:bottom w:val="single" w:sz="12" w:space="0" w:color="000000"/>
            </w:tcBorders>
            <w:shd w:val="clear" w:color="auto" w:fill="auto"/>
          </w:tcPr>
          <w:p w14:paraId="62920EA3" w14:textId="77777777" w:rsidR="00C96793" w:rsidRPr="00EB3D94" w:rsidRDefault="00C96793" w:rsidP="00C96793">
            <w:pPr>
              <w:pStyle w:val="TableParagraph"/>
              <w:spacing w:line="240" w:lineRule="auto"/>
              <w:ind w:left="235"/>
              <w:jc w:val="right"/>
              <w:rPr>
                <w:rFonts w:ascii="Arial" w:hAnsi="Arial" w:cs="Arial"/>
                <w:b/>
                <w:lang w:val="es-ES"/>
              </w:rPr>
            </w:pPr>
            <w:r w:rsidRPr="00EB3D94">
              <w:rPr>
                <w:rFonts w:ascii="Arial" w:hAnsi="Arial" w:cs="Arial"/>
                <w:b/>
                <w:lang w:val="es-ES"/>
              </w:rPr>
              <w:t>5.175.000,00 €</w:t>
            </w:r>
          </w:p>
        </w:tc>
        <w:tc>
          <w:tcPr>
            <w:tcW w:w="1727" w:type="dxa"/>
            <w:tcBorders>
              <w:bottom w:val="single" w:sz="12" w:space="0" w:color="000000"/>
            </w:tcBorders>
            <w:shd w:val="clear" w:color="auto" w:fill="auto"/>
          </w:tcPr>
          <w:p w14:paraId="1848715D" w14:textId="77777777" w:rsidR="00C96793" w:rsidRPr="00EB3D94" w:rsidRDefault="00C96793" w:rsidP="00C96793">
            <w:pPr>
              <w:pStyle w:val="TableParagraph"/>
              <w:spacing w:line="240" w:lineRule="auto"/>
              <w:ind w:left="0"/>
              <w:jc w:val="right"/>
              <w:rPr>
                <w:rFonts w:ascii="Arial" w:hAnsi="Arial" w:cs="Arial"/>
                <w:b/>
                <w:lang w:val="es-ES"/>
              </w:rPr>
            </w:pPr>
            <w:r w:rsidRPr="00EB3D94">
              <w:rPr>
                <w:rFonts w:ascii="Arial" w:hAnsi="Arial" w:cs="Arial"/>
                <w:b/>
                <w:lang w:val="es-ES"/>
              </w:rPr>
              <w:t>825.000,00 €</w:t>
            </w:r>
          </w:p>
        </w:tc>
        <w:tc>
          <w:tcPr>
            <w:tcW w:w="1563" w:type="dxa"/>
            <w:tcBorders>
              <w:bottom w:val="single" w:sz="12" w:space="0" w:color="000000"/>
            </w:tcBorders>
            <w:shd w:val="clear" w:color="auto" w:fill="auto"/>
          </w:tcPr>
          <w:p w14:paraId="2E31B0B6" w14:textId="77777777" w:rsidR="00C96793" w:rsidRPr="00EB3D94" w:rsidRDefault="00C96793" w:rsidP="00C96793">
            <w:pPr>
              <w:pStyle w:val="TableParagraph"/>
              <w:spacing w:line="240" w:lineRule="auto"/>
              <w:ind w:left="0"/>
              <w:jc w:val="right"/>
              <w:rPr>
                <w:rFonts w:ascii="Arial" w:hAnsi="Arial" w:cs="Arial"/>
                <w:b/>
                <w:lang w:val="es-ES"/>
              </w:rPr>
            </w:pPr>
            <w:r w:rsidRPr="00EB3D94">
              <w:rPr>
                <w:rFonts w:ascii="Arial" w:hAnsi="Arial" w:cs="Arial"/>
                <w:b/>
                <w:lang w:val="es-ES"/>
              </w:rPr>
              <w:t>6.000.000,00 €</w:t>
            </w:r>
          </w:p>
        </w:tc>
      </w:tr>
    </w:tbl>
    <w:p w14:paraId="309CE3D3" w14:textId="77777777" w:rsidR="00D056D4" w:rsidRPr="00EB3D94" w:rsidRDefault="00382D8F" w:rsidP="00C96793">
      <w:pPr>
        <w:pStyle w:val="Textindependent2"/>
        <w:spacing w:after="0" w:line="240" w:lineRule="auto"/>
        <w:jc w:val="both"/>
        <w:outlineLvl w:val="0"/>
        <w:rPr>
          <w:rFonts w:cs="Arial"/>
          <w:szCs w:val="22"/>
          <w:lang w:val="es-ES"/>
        </w:rPr>
      </w:pPr>
      <w:r w:rsidRPr="00EB3D94">
        <w:rPr>
          <w:rFonts w:cs="Arial"/>
          <w:szCs w:val="22"/>
          <w:lang w:val="es-ES"/>
        </w:rPr>
        <w:tab/>
        <w:t xml:space="preserve">    </w:t>
      </w:r>
    </w:p>
    <w:p w14:paraId="0DDCE621" w14:textId="565F2B3A" w:rsidR="00642DC3" w:rsidRPr="00EB3D94" w:rsidRDefault="00642DC3" w:rsidP="00BC4866">
      <w:pPr>
        <w:pStyle w:val="Textindependent"/>
        <w:spacing w:before="1"/>
        <w:rPr>
          <w:rFonts w:cs="Arial"/>
          <w:lang w:val="es-ES"/>
        </w:rPr>
      </w:pPr>
      <w:r w:rsidRPr="00EB3D94">
        <w:rPr>
          <w:rFonts w:cs="Arial"/>
          <w:lang w:val="es-ES"/>
        </w:rPr>
        <w:t>El</w:t>
      </w:r>
      <w:r w:rsidRPr="00EB3D94">
        <w:rPr>
          <w:rFonts w:cs="Arial"/>
          <w:spacing w:val="1"/>
          <w:lang w:val="es-ES"/>
        </w:rPr>
        <w:t xml:space="preserve"> </w:t>
      </w:r>
      <w:r w:rsidRPr="00EB3D94">
        <w:rPr>
          <w:rFonts w:cs="Arial"/>
          <w:b/>
          <w:lang w:val="es-ES"/>
        </w:rPr>
        <w:t>presupuesto</w:t>
      </w:r>
      <w:r w:rsidRPr="00EB3D94">
        <w:rPr>
          <w:rFonts w:cs="Arial"/>
          <w:b/>
          <w:spacing w:val="1"/>
          <w:lang w:val="es-ES"/>
        </w:rPr>
        <w:t xml:space="preserve"> </w:t>
      </w:r>
      <w:r w:rsidRPr="00EB3D94">
        <w:rPr>
          <w:rFonts w:cs="Arial"/>
          <w:b/>
          <w:lang w:val="es-ES"/>
        </w:rPr>
        <w:t>de</w:t>
      </w:r>
      <w:r w:rsidRPr="00EB3D94">
        <w:rPr>
          <w:rFonts w:cs="Arial"/>
          <w:b/>
          <w:spacing w:val="1"/>
          <w:lang w:val="es-ES"/>
        </w:rPr>
        <w:t xml:space="preserve"> </w:t>
      </w:r>
      <w:r w:rsidRPr="00EB3D94">
        <w:rPr>
          <w:rFonts w:cs="Arial"/>
          <w:b/>
          <w:lang w:val="es-ES"/>
        </w:rPr>
        <w:t>licitación</w:t>
      </w:r>
      <w:r w:rsidRPr="00EB3D94">
        <w:rPr>
          <w:rFonts w:cs="Arial"/>
          <w:spacing w:val="1"/>
          <w:lang w:val="es-ES"/>
        </w:rPr>
        <w:t xml:space="preserve"> </w:t>
      </w:r>
      <w:r w:rsidRPr="00EB3D94">
        <w:rPr>
          <w:rFonts w:cs="Arial"/>
          <w:lang w:val="es-ES"/>
        </w:rPr>
        <w:t>formulado</w:t>
      </w:r>
      <w:r w:rsidRPr="00EB3D94">
        <w:rPr>
          <w:rFonts w:cs="Arial"/>
          <w:spacing w:val="1"/>
          <w:lang w:val="es-ES"/>
        </w:rPr>
        <w:t xml:space="preserve"> </w:t>
      </w:r>
      <w:r w:rsidRPr="00EB3D94">
        <w:rPr>
          <w:rFonts w:cs="Arial"/>
          <w:lang w:val="es-ES"/>
        </w:rPr>
        <w:t>por</w:t>
      </w:r>
      <w:r w:rsidRPr="00EB3D94">
        <w:rPr>
          <w:rFonts w:cs="Arial"/>
          <w:spacing w:val="1"/>
          <w:lang w:val="es-ES"/>
        </w:rPr>
        <w:t xml:space="preserve"> </w:t>
      </w:r>
      <w:r w:rsidRPr="00EB3D94">
        <w:rPr>
          <w:rFonts w:cs="Arial"/>
          <w:lang w:val="es-ES"/>
        </w:rPr>
        <w:t>la Administración</w:t>
      </w:r>
      <w:r w:rsidRPr="00EB3D94">
        <w:rPr>
          <w:rFonts w:cs="Arial"/>
          <w:spacing w:val="1"/>
          <w:lang w:val="es-ES"/>
        </w:rPr>
        <w:t xml:space="preserve"> </w:t>
      </w:r>
      <w:r w:rsidRPr="00EB3D94">
        <w:rPr>
          <w:rFonts w:cs="Arial"/>
          <w:lang w:val="es-ES"/>
        </w:rPr>
        <w:t>para</w:t>
      </w:r>
      <w:r w:rsidR="00982820" w:rsidRPr="00EB3D94">
        <w:rPr>
          <w:rFonts w:cs="Arial"/>
          <w:spacing w:val="1"/>
          <w:lang w:val="es-ES"/>
        </w:rPr>
        <w:t xml:space="preserve"> </w:t>
      </w:r>
      <w:r w:rsidRPr="00EB3D94">
        <w:rPr>
          <w:rFonts w:cs="Arial"/>
          <w:lang w:val="es-ES"/>
        </w:rPr>
        <w:t>este</w:t>
      </w:r>
      <w:r w:rsidRPr="00EB3D94">
        <w:rPr>
          <w:rFonts w:cs="Arial"/>
          <w:spacing w:val="1"/>
          <w:lang w:val="es-ES"/>
        </w:rPr>
        <w:t xml:space="preserve"> </w:t>
      </w:r>
      <w:r w:rsidRPr="00EB3D94">
        <w:rPr>
          <w:rFonts w:cs="Arial"/>
          <w:lang w:val="es-ES"/>
        </w:rPr>
        <w:t>contrato</w:t>
      </w:r>
      <w:r w:rsidRPr="00EB3D94">
        <w:rPr>
          <w:rFonts w:cs="Arial"/>
          <w:spacing w:val="1"/>
          <w:lang w:val="es-ES"/>
        </w:rPr>
        <w:t xml:space="preserve"> </w:t>
      </w:r>
      <w:r w:rsidRPr="00EB3D94">
        <w:rPr>
          <w:rFonts w:cs="Arial"/>
          <w:lang w:val="es-ES"/>
        </w:rPr>
        <w:t>es</w:t>
      </w:r>
      <w:r w:rsidRPr="00EB3D94">
        <w:rPr>
          <w:rFonts w:cs="Arial"/>
          <w:spacing w:val="1"/>
          <w:lang w:val="es-ES"/>
        </w:rPr>
        <w:t xml:space="preserve"> </w:t>
      </w:r>
      <w:r w:rsidRPr="00EB3D94">
        <w:rPr>
          <w:rFonts w:cs="Arial"/>
          <w:lang w:val="es-ES"/>
        </w:rPr>
        <w:t>de</w:t>
      </w:r>
      <w:r w:rsidRPr="00EB3D94">
        <w:rPr>
          <w:rFonts w:cs="Arial"/>
          <w:spacing w:val="1"/>
          <w:lang w:val="es-ES"/>
        </w:rPr>
        <w:t xml:space="preserve"> </w:t>
      </w:r>
      <w:r w:rsidRPr="00EB3D94">
        <w:rPr>
          <w:rFonts w:cs="Arial"/>
          <w:lang w:val="es-ES"/>
        </w:rPr>
        <w:t>2.000.000,00€,</w:t>
      </w:r>
      <w:r w:rsidRPr="00EB3D94">
        <w:rPr>
          <w:rFonts w:cs="Arial"/>
          <w:spacing w:val="-3"/>
          <w:lang w:val="es-ES"/>
        </w:rPr>
        <w:t xml:space="preserve"> </w:t>
      </w:r>
      <w:r w:rsidRPr="00EB3D94">
        <w:rPr>
          <w:rFonts w:cs="Arial"/>
          <w:lang w:val="es-ES"/>
        </w:rPr>
        <w:t>IVA</w:t>
      </w:r>
      <w:r w:rsidRPr="00EB3D94">
        <w:rPr>
          <w:rFonts w:cs="Arial"/>
          <w:spacing w:val="-2"/>
          <w:lang w:val="es-ES"/>
        </w:rPr>
        <w:t xml:space="preserve"> </w:t>
      </w:r>
      <w:r w:rsidRPr="00EB3D94">
        <w:rPr>
          <w:rFonts w:cs="Arial"/>
          <w:lang w:val="es-ES"/>
        </w:rPr>
        <w:t>exento,</w:t>
      </w:r>
      <w:r w:rsidRPr="00EB3D94">
        <w:rPr>
          <w:rFonts w:cs="Arial"/>
          <w:spacing w:val="-1"/>
          <w:lang w:val="es-ES"/>
        </w:rPr>
        <w:t xml:space="preserve"> </w:t>
      </w:r>
      <w:r w:rsidRPr="00EB3D94">
        <w:rPr>
          <w:rFonts w:cs="Arial"/>
          <w:lang w:val="es-ES"/>
        </w:rPr>
        <w:t xml:space="preserve">de acuerdo </w:t>
      </w:r>
      <w:proofErr w:type="gramStart"/>
      <w:r w:rsidRPr="00EB3D94">
        <w:rPr>
          <w:rFonts w:cs="Arial"/>
          <w:lang w:val="es-ES"/>
        </w:rPr>
        <w:t>con</w:t>
      </w:r>
      <w:r w:rsidRPr="00EB3D94">
        <w:rPr>
          <w:rFonts w:cs="Arial"/>
          <w:spacing w:val="-2"/>
          <w:lang w:val="es-ES"/>
        </w:rPr>
        <w:t xml:space="preserve">  </w:t>
      </w:r>
      <w:r w:rsidRPr="00EB3D94">
        <w:rPr>
          <w:rFonts w:cs="Arial"/>
          <w:lang w:val="es-ES"/>
        </w:rPr>
        <w:t>la</w:t>
      </w:r>
      <w:proofErr w:type="gramEnd"/>
      <w:r w:rsidRPr="00EB3D94">
        <w:rPr>
          <w:rFonts w:cs="Arial"/>
          <w:spacing w:val="-2"/>
          <w:lang w:val="es-ES"/>
        </w:rPr>
        <w:t xml:space="preserve"> </w:t>
      </w:r>
      <w:r w:rsidRPr="00EB3D94">
        <w:rPr>
          <w:rFonts w:cs="Arial"/>
          <w:lang w:val="es-ES"/>
        </w:rPr>
        <w:t>distribución siguiente:</w:t>
      </w:r>
    </w:p>
    <w:p w14:paraId="6E75369C" w14:textId="77777777" w:rsidR="00642DC3" w:rsidRPr="00EB3D94" w:rsidRDefault="00642DC3" w:rsidP="00BC4866">
      <w:pPr>
        <w:pStyle w:val="Textindependent"/>
        <w:spacing w:before="10"/>
        <w:rPr>
          <w:rFonts w:cs="Arial"/>
          <w:sz w:val="21"/>
          <w:lang w:val="es-ES"/>
        </w:rPr>
      </w:pPr>
    </w:p>
    <w:p w14:paraId="21BCE879" w14:textId="4D7ADB5E" w:rsidR="00642DC3" w:rsidRPr="00EB3D94" w:rsidRDefault="00642DC3" w:rsidP="00BC4866">
      <w:pPr>
        <w:pStyle w:val="Textindependent"/>
        <w:tabs>
          <w:tab w:val="left" w:pos="6314"/>
          <w:tab w:val="left" w:pos="8282"/>
        </w:tabs>
        <w:spacing w:before="1"/>
        <w:ind w:left="4248"/>
        <w:rPr>
          <w:rFonts w:cs="Arial"/>
          <w:lang w:val="es-ES"/>
        </w:rPr>
      </w:pPr>
      <w:r w:rsidRPr="00EB3D94">
        <w:rPr>
          <w:rFonts w:cs="Arial"/>
          <w:u w:val="single"/>
          <w:lang w:val="es-ES"/>
        </w:rPr>
        <w:t>Importe Lot</w:t>
      </w:r>
      <w:r w:rsidR="00982820" w:rsidRPr="00EB3D94">
        <w:rPr>
          <w:rFonts w:cs="Arial"/>
          <w:u w:val="single"/>
          <w:lang w:val="es-ES"/>
        </w:rPr>
        <w:t>e</w:t>
      </w:r>
      <w:r w:rsidRPr="00EB3D94">
        <w:rPr>
          <w:rFonts w:cs="Arial"/>
          <w:spacing w:val="1"/>
          <w:u w:val="single"/>
          <w:lang w:val="es-ES"/>
        </w:rPr>
        <w:t xml:space="preserve"> </w:t>
      </w:r>
      <w:r w:rsidRPr="00EB3D94">
        <w:rPr>
          <w:rFonts w:cs="Arial"/>
          <w:u w:val="single"/>
          <w:lang w:val="es-ES"/>
        </w:rPr>
        <w:t>1</w:t>
      </w:r>
      <w:r w:rsidRPr="00EB3D94">
        <w:rPr>
          <w:rFonts w:cs="Arial"/>
          <w:lang w:val="es-ES"/>
        </w:rPr>
        <w:tab/>
      </w:r>
      <w:r w:rsidRPr="00EB3D94">
        <w:rPr>
          <w:rFonts w:cs="Arial"/>
          <w:u w:val="single"/>
          <w:lang w:val="es-ES"/>
        </w:rPr>
        <w:t>Importe</w:t>
      </w:r>
      <w:r w:rsidRPr="00EB3D94">
        <w:rPr>
          <w:rFonts w:cs="Arial"/>
          <w:spacing w:val="-1"/>
          <w:u w:val="single"/>
          <w:lang w:val="es-ES"/>
        </w:rPr>
        <w:t xml:space="preserve"> </w:t>
      </w:r>
      <w:r w:rsidRPr="00EB3D94">
        <w:rPr>
          <w:rFonts w:cs="Arial"/>
          <w:u w:val="single"/>
          <w:lang w:val="es-ES"/>
        </w:rPr>
        <w:t>Lot</w:t>
      </w:r>
      <w:r w:rsidR="00982820" w:rsidRPr="00EB3D94">
        <w:rPr>
          <w:rFonts w:cs="Arial"/>
          <w:u w:val="single"/>
          <w:lang w:val="es-ES"/>
        </w:rPr>
        <w:t>e</w:t>
      </w:r>
      <w:r w:rsidRPr="00EB3D94">
        <w:rPr>
          <w:rFonts w:cs="Arial"/>
          <w:spacing w:val="-2"/>
          <w:u w:val="single"/>
          <w:lang w:val="es-ES"/>
        </w:rPr>
        <w:t xml:space="preserve"> </w:t>
      </w:r>
      <w:r w:rsidRPr="00EB3D94">
        <w:rPr>
          <w:rFonts w:cs="Arial"/>
          <w:u w:val="single"/>
          <w:lang w:val="es-ES"/>
        </w:rPr>
        <w:t>2</w:t>
      </w:r>
      <w:r w:rsidRPr="00EB3D94">
        <w:rPr>
          <w:rFonts w:cs="Arial"/>
          <w:lang w:val="es-ES"/>
        </w:rPr>
        <w:tab/>
      </w:r>
      <w:r w:rsidRPr="00EB3D94">
        <w:rPr>
          <w:rFonts w:cs="Arial"/>
          <w:u w:val="single"/>
          <w:lang w:val="es-ES"/>
        </w:rPr>
        <w:t>TOTAL</w:t>
      </w:r>
    </w:p>
    <w:p w14:paraId="672F2FB7" w14:textId="77777777" w:rsidR="00642DC3" w:rsidRPr="00EB3D94" w:rsidRDefault="00642DC3" w:rsidP="00BC4866">
      <w:pPr>
        <w:pStyle w:val="Textindependent"/>
        <w:spacing w:before="1"/>
        <w:rPr>
          <w:rFonts w:cs="Arial"/>
          <w:lang w:val="es-ES"/>
        </w:rPr>
      </w:pPr>
    </w:p>
    <w:tbl>
      <w:tblPr>
        <w:tblW w:w="8734" w:type="dxa"/>
        <w:tblInd w:w="480" w:type="dxa"/>
        <w:tblLayout w:type="fixed"/>
        <w:tblCellMar>
          <w:left w:w="0" w:type="dxa"/>
          <w:right w:w="0" w:type="dxa"/>
        </w:tblCellMar>
        <w:tblLook w:val="01E0" w:firstRow="1" w:lastRow="1" w:firstColumn="1" w:lastColumn="1" w:noHBand="0" w:noVBand="0"/>
      </w:tblPr>
      <w:tblGrid>
        <w:gridCol w:w="2525"/>
        <w:gridCol w:w="2894"/>
        <w:gridCol w:w="1756"/>
        <w:gridCol w:w="1559"/>
      </w:tblGrid>
      <w:tr w:rsidR="00B073FC" w:rsidRPr="00EB3D94" w14:paraId="2F817DF0" w14:textId="77777777" w:rsidTr="001C40F2">
        <w:trPr>
          <w:trHeight w:val="268"/>
        </w:trPr>
        <w:tc>
          <w:tcPr>
            <w:tcW w:w="2525" w:type="dxa"/>
            <w:shd w:val="clear" w:color="auto" w:fill="auto"/>
          </w:tcPr>
          <w:p w14:paraId="18465D71" w14:textId="77777777" w:rsidR="00642DC3" w:rsidRPr="00EB3D94" w:rsidRDefault="00642DC3" w:rsidP="00C96793">
            <w:pPr>
              <w:pStyle w:val="TableParagraph"/>
              <w:numPr>
                <w:ilvl w:val="0"/>
                <w:numId w:val="53"/>
              </w:numPr>
              <w:tabs>
                <w:tab w:val="left" w:pos="334"/>
              </w:tabs>
              <w:spacing w:line="240" w:lineRule="auto"/>
              <w:rPr>
                <w:rFonts w:ascii="Arial" w:hAnsi="Arial" w:cs="Arial"/>
                <w:lang w:val="es-ES"/>
              </w:rPr>
            </w:pPr>
            <w:r w:rsidRPr="00EB3D94">
              <w:rPr>
                <w:rFonts w:ascii="Arial" w:hAnsi="Arial" w:cs="Arial"/>
                <w:lang w:val="es-ES"/>
              </w:rPr>
              <w:t>Año</w:t>
            </w:r>
            <w:r w:rsidRPr="00EB3D94">
              <w:rPr>
                <w:rFonts w:ascii="Arial" w:hAnsi="Arial" w:cs="Arial"/>
                <w:spacing w:val="-2"/>
                <w:lang w:val="es-ES"/>
              </w:rPr>
              <w:t xml:space="preserve"> </w:t>
            </w:r>
            <w:r w:rsidRPr="00EB3D94">
              <w:rPr>
                <w:rFonts w:ascii="Arial" w:hAnsi="Arial" w:cs="Arial"/>
                <w:lang w:val="es-ES"/>
              </w:rPr>
              <w:t>202</w:t>
            </w:r>
            <w:r w:rsidR="00C96793" w:rsidRPr="00EB3D94">
              <w:rPr>
                <w:rFonts w:ascii="Arial" w:hAnsi="Arial" w:cs="Arial"/>
                <w:lang w:val="es-ES"/>
              </w:rPr>
              <w:t>5</w:t>
            </w:r>
          </w:p>
        </w:tc>
        <w:tc>
          <w:tcPr>
            <w:tcW w:w="2894" w:type="dxa"/>
            <w:shd w:val="clear" w:color="auto" w:fill="auto"/>
          </w:tcPr>
          <w:p w14:paraId="5E7B8959" w14:textId="77777777" w:rsidR="00642DC3" w:rsidRPr="00EB3D94" w:rsidRDefault="00642DC3" w:rsidP="00C96793">
            <w:pPr>
              <w:pStyle w:val="TableParagraph"/>
              <w:spacing w:line="240" w:lineRule="auto"/>
              <w:ind w:left="0"/>
              <w:jc w:val="right"/>
              <w:rPr>
                <w:rFonts w:ascii="Arial" w:hAnsi="Arial" w:cs="Arial"/>
                <w:lang w:val="es-ES"/>
              </w:rPr>
            </w:pPr>
            <w:r w:rsidRPr="00EB3D94">
              <w:rPr>
                <w:rFonts w:ascii="Arial" w:hAnsi="Arial" w:cs="Arial"/>
                <w:w w:val="90"/>
                <w:lang w:val="es-ES"/>
              </w:rPr>
              <w:t>718.750,00</w:t>
            </w:r>
            <w:r w:rsidRPr="00EB3D94">
              <w:rPr>
                <w:rFonts w:ascii="Arial" w:hAnsi="Arial" w:cs="Arial"/>
                <w:spacing w:val="17"/>
                <w:w w:val="90"/>
                <w:lang w:val="es-ES"/>
              </w:rPr>
              <w:t xml:space="preserve"> </w:t>
            </w:r>
            <w:r w:rsidRPr="00EB3D94">
              <w:rPr>
                <w:rFonts w:ascii="Arial" w:hAnsi="Arial" w:cs="Arial"/>
                <w:w w:val="90"/>
                <w:lang w:val="es-ES"/>
              </w:rPr>
              <w:t>€</w:t>
            </w:r>
          </w:p>
        </w:tc>
        <w:tc>
          <w:tcPr>
            <w:tcW w:w="1756" w:type="dxa"/>
            <w:shd w:val="clear" w:color="auto" w:fill="auto"/>
          </w:tcPr>
          <w:p w14:paraId="4450F83E" w14:textId="77777777" w:rsidR="00642DC3" w:rsidRPr="00EB3D94" w:rsidRDefault="00642DC3" w:rsidP="00C96793">
            <w:pPr>
              <w:pStyle w:val="TableParagraph"/>
              <w:spacing w:line="240" w:lineRule="auto"/>
              <w:ind w:left="0"/>
              <w:jc w:val="right"/>
              <w:rPr>
                <w:rFonts w:ascii="Arial" w:hAnsi="Arial" w:cs="Arial"/>
                <w:lang w:val="es-ES"/>
              </w:rPr>
            </w:pPr>
            <w:r w:rsidRPr="00EB3D94">
              <w:rPr>
                <w:rFonts w:ascii="Arial" w:hAnsi="Arial" w:cs="Arial"/>
                <w:w w:val="90"/>
                <w:lang w:val="es-ES"/>
              </w:rPr>
              <w:t>114.583,33</w:t>
            </w:r>
            <w:r w:rsidRPr="00EB3D94">
              <w:rPr>
                <w:rFonts w:ascii="Arial" w:hAnsi="Arial" w:cs="Arial"/>
                <w:spacing w:val="16"/>
                <w:w w:val="90"/>
                <w:lang w:val="es-ES"/>
              </w:rPr>
              <w:t xml:space="preserve"> </w:t>
            </w:r>
            <w:r w:rsidRPr="00EB3D94">
              <w:rPr>
                <w:rFonts w:ascii="Arial" w:hAnsi="Arial" w:cs="Arial"/>
                <w:w w:val="90"/>
                <w:lang w:val="es-ES"/>
              </w:rPr>
              <w:t>€</w:t>
            </w:r>
          </w:p>
        </w:tc>
        <w:tc>
          <w:tcPr>
            <w:tcW w:w="1559" w:type="dxa"/>
            <w:shd w:val="clear" w:color="auto" w:fill="auto"/>
          </w:tcPr>
          <w:p w14:paraId="7150455A" w14:textId="77777777" w:rsidR="00642DC3" w:rsidRPr="00EB3D94" w:rsidRDefault="00642DC3" w:rsidP="00C96793">
            <w:pPr>
              <w:pStyle w:val="TableParagraph"/>
              <w:spacing w:line="240" w:lineRule="auto"/>
              <w:ind w:left="0"/>
              <w:jc w:val="right"/>
              <w:rPr>
                <w:rFonts w:ascii="Arial" w:hAnsi="Arial" w:cs="Arial"/>
                <w:lang w:val="es-ES"/>
              </w:rPr>
            </w:pPr>
            <w:r w:rsidRPr="00EB3D94">
              <w:rPr>
                <w:rFonts w:ascii="Arial" w:hAnsi="Arial" w:cs="Arial"/>
                <w:w w:val="90"/>
                <w:lang w:val="es-ES"/>
              </w:rPr>
              <w:t>833.333,33</w:t>
            </w:r>
            <w:r w:rsidRPr="00EB3D94">
              <w:rPr>
                <w:rFonts w:ascii="Arial" w:hAnsi="Arial" w:cs="Arial"/>
                <w:spacing w:val="19"/>
                <w:w w:val="90"/>
                <w:lang w:val="es-ES"/>
              </w:rPr>
              <w:t xml:space="preserve"> </w:t>
            </w:r>
            <w:r w:rsidRPr="00EB3D94">
              <w:rPr>
                <w:rFonts w:ascii="Arial" w:hAnsi="Arial" w:cs="Arial"/>
                <w:w w:val="90"/>
                <w:lang w:val="es-ES"/>
              </w:rPr>
              <w:t>€</w:t>
            </w:r>
          </w:p>
        </w:tc>
      </w:tr>
      <w:tr w:rsidR="00B073FC" w:rsidRPr="00EB3D94" w14:paraId="25013E9A" w14:textId="77777777" w:rsidTr="001C40F2">
        <w:trPr>
          <w:trHeight w:val="269"/>
        </w:trPr>
        <w:tc>
          <w:tcPr>
            <w:tcW w:w="2525" w:type="dxa"/>
            <w:shd w:val="clear" w:color="auto" w:fill="auto"/>
          </w:tcPr>
          <w:p w14:paraId="15C93DED" w14:textId="77777777" w:rsidR="00642DC3" w:rsidRPr="00EB3D94" w:rsidRDefault="00642DC3" w:rsidP="00C96793">
            <w:pPr>
              <w:pStyle w:val="TableParagraph"/>
              <w:numPr>
                <w:ilvl w:val="0"/>
                <w:numId w:val="52"/>
              </w:numPr>
              <w:tabs>
                <w:tab w:val="left" w:pos="334"/>
              </w:tabs>
              <w:spacing w:line="240" w:lineRule="auto"/>
              <w:rPr>
                <w:rFonts w:ascii="Arial" w:hAnsi="Arial" w:cs="Arial"/>
                <w:lang w:val="es-ES"/>
              </w:rPr>
            </w:pPr>
            <w:r w:rsidRPr="00EB3D94">
              <w:rPr>
                <w:rFonts w:ascii="Arial" w:hAnsi="Arial" w:cs="Arial"/>
                <w:lang w:val="es-ES"/>
              </w:rPr>
              <w:t>Año</w:t>
            </w:r>
            <w:r w:rsidRPr="00EB3D94">
              <w:rPr>
                <w:rFonts w:ascii="Arial" w:hAnsi="Arial" w:cs="Arial"/>
                <w:spacing w:val="-2"/>
                <w:lang w:val="es-ES"/>
              </w:rPr>
              <w:t xml:space="preserve"> </w:t>
            </w:r>
            <w:r w:rsidRPr="00EB3D94">
              <w:rPr>
                <w:rFonts w:ascii="Arial" w:hAnsi="Arial" w:cs="Arial"/>
                <w:lang w:val="es-ES"/>
              </w:rPr>
              <w:t>202</w:t>
            </w:r>
            <w:r w:rsidR="00C96793" w:rsidRPr="00EB3D94">
              <w:rPr>
                <w:rFonts w:ascii="Arial" w:hAnsi="Arial" w:cs="Arial"/>
                <w:lang w:val="es-ES"/>
              </w:rPr>
              <w:t>6</w:t>
            </w:r>
          </w:p>
        </w:tc>
        <w:tc>
          <w:tcPr>
            <w:tcW w:w="2894" w:type="dxa"/>
            <w:shd w:val="clear" w:color="auto" w:fill="auto"/>
          </w:tcPr>
          <w:p w14:paraId="6459697D" w14:textId="77777777" w:rsidR="00642DC3" w:rsidRPr="00EB3D94" w:rsidRDefault="00642DC3" w:rsidP="00C96793">
            <w:pPr>
              <w:pStyle w:val="TableParagraph"/>
              <w:spacing w:line="240" w:lineRule="auto"/>
              <w:ind w:left="0"/>
              <w:jc w:val="right"/>
              <w:rPr>
                <w:rFonts w:ascii="Arial" w:hAnsi="Arial" w:cs="Arial"/>
                <w:lang w:val="es-ES"/>
              </w:rPr>
            </w:pPr>
            <w:r w:rsidRPr="00EB3D94">
              <w:rPr>
                <w:rFonts w:ascii="Arial" w:hAnsi="Arial" w:cs="Arial"/>
                <w:w w:val="90"/>
                <w:lang w:val="es-ES"/>
              </w:rPr>
              <w:t>1.006.250,00</w:t>
            </w:r>
            <w:r w:rsidRPr="00EB3D94">
              <w:rPr>
                <w:rFonts w:ascii="Arial" w:hAnsi="Arial" w:cs="Arial"/>
                <w:spacing w:val="26"/>
                <w:w w:val="90"/>
                <w:lang w:val="es-ES"/>
              </w:rPr>
              <w:t xml:space="preserve"> </w:t>
            </w:r>
            <w:r w:rsidRPr="00EB3D94">
              <w:rPr>
                <w:rFonts w:ascii="Arial" w:hAnsi="Arial" w:cs="Arial"/>
                <w:w w:val="90"/>
                <w:lang w:val="es-ES"/>
              </w:rPr>
              <w:t>€</w:t>
            </w:r>
          </w:p>
        </w:tc>
        <w:tc>
          <w:tcPr>
            <w:tcW w:w="1756" w:type="dxa"/>
            <w:shd w:val="clear" w:color="auto" w:fill="auto"/>
          </w:tcPr>
          <w:p w14:paraId="5530C9AF" w14:textId="77777777" w:rsidR="00642DC3" w:rsidRPr="00EB3D94" w:rsidRDefault="00642DC3" w:rsidP="00C96793">
            <w:pPr>
              <w:pStyle w:val="TableParagraph"/>
              <w:spacing w:line="240" w:lineRule="auto"/>
              <w:ind w:left="0"/>
              <w:jc w:val="right"/>
              <w:rPr>
                <w:rFonts w:ascii="Arial" w:hAnsi="Arial" w:cs="Arial"/>
                <w:lang w:val="es-ES"/>
              </w:rPr>
            </w:pPr>
            <w:r w:rsidRPr="00EB3D94">
              <w:rPr>
                <w:rFonts w:ascii="Arial" w:hAnsi="Arial" w:cs="Arial"/>
                <w:w w:val="90"/>
                <w:lang w:val="es-ES"/>
              </w:rPr>
              <w:t>160.416,67</w:t>
            </w:r>
            <w:r w:rsidRPr="00EB3D94">
              <w:rPr>
                <w:rFonts w:ascii="Arial" w:hAnsi="Arial" w:cs="Arial"/>
                <w:spacing w:val="19"/>
                <w:w w:val="90"/>
                <w:lang w:val="es-ES"/>
              </w:rPr>
              <w:t xml:space="preserve"> </w:t>
            </w:r>
            <w:r w:rsidRPr="00EB3D94">
              <w:rPr>
                <w:rFonts w:ascii="Arial" w:hAnsi="Arial" w:cs="Arial"/>
                <w:w w:val="90"/>
                <w:lang w:val="es-ES"/>
              </w:rPr>
              <w:t>€</w:t>
            </w:r>
          </w:p>
        </w:tc>
        <w:tc>
          <w:tcPr>
            <w:tcW w:w="1559" w:type="dxa"/>
            <w:shd w:val="clear" w:color="auto" w:fill="auto"/>
          </w:tcPr>
          <w:p w14:paraId="4BB62048" w14:textId="77777777" w:rsidR="00642DC3" w:rsidRPr="00EB3D94" w:rsidRDefault="00642DC3" w:rsidP="00C96793">
            <w:pPr>
              <w:pStyle w:val="TableParagraph"/>
              <w:spacing w:line="240" w:lineRule="auto"/>
              <w:ind w:left="0"/>
              <w:jc w:val="right"/>
              <w:rPr>
                <w:rFonts w:ascii="Arial" w:hAnsi="Arial" w:cs="Arial"/>
                <w:lang w:val="es-ES"/>
              </w:rPr>
            </w:pPr>
            <w:r w:rsidRPr="00EB3D94">
              <w:rPr>
                <w:rFonts w:ascii="Arial" w:hAnsi="Arial" w:cs="Arial"/>
                <w:w w:val="90"/>
                <w:lang w:val="es-ES"/>
              </w:rPr>
              <w:t>1.166.666,67</w:t>
            </w:r>
            <w:r w:rsidRPr="00EB3D94">
              <w:rPr>
                <w:rFonts w:ascii="Arial" w:hAnsi="Arial" w:cs="Arial"/>
                <w:spacing w:val="25"/>
                <w:w w:val="90"/>
                <w:lang w:val="es-ES"/>
              </w:rPr>
              <w:t xml:space="preserve"> </w:t>
            </w:r>
            <w:r w:rsidRPr="00EB3D94">
              <w:rPr>
                <w:rFonts w:ascii="Arial" w:hAnsi="Arial" w:cs="Arial"/>
                <w:w w:val="90"/>
                <w:lang w:val="es-ES"/>
              </w:rPr>
              <w:t>€</w:t>
            </w:r>
          </w:p>
        </w:tc>
      </w:tr>
      <w:tr w:rsidR="00883E62" w:rsidRPr="00EB3D94" w14:paraId="27065AD1" w14:textId="77777777" w:rsidTr="001C40F2">
        <w:trPr>
          <w:trHeight w:val="221"/>
        </w:trPr>
        <w:tc>
          <w:tcPr>
            <w:tcW w:w="2525" w:type="dxa"/>
            <w:tcBorders>
              <w:bottom w:val="single" w:sz="12" w:space="0" w:color="000000"/>
            </w:tcBorders>
            <w:shd w:val="clear" w:color="auto" w:fill="auto"/>
          </w:tcPr>
          <w:p w14:paraId="3BCB689F" w14:textId="77777777" w:rsidR="00642DC3" w:rsidRPr="00EB3D94" w:rsidRDefault="00642DC3" w:rsidP="00C96793">
            <w:pPr>
              <w:pStyle w:val="TableParagraph"/>
              <w:spacing w:line="240" w:lineRule="auto"/>
              <w:ind w:left="757"/>
              <w:rPr>
                <w:rFonts w:ascii="Arial" w:hAnsi="Arial" w:cs="Arial"/>
                <w:b/>
                <w:lang w:val="es-ES"/>
              </w:rPr>
            </w:pPr>
            <w:r w:rsidRPr="00EB3D94">
              <w:rPr>
                <w:rFonts w:ascii="Arial" w:hAnsi="Arial" w:cs="Arial"/>
                <w:b/>
                <w:lang w:val="es-ES"/>
              </w:rPr>
              <w:t>TOTAL</w:t>
            </w:r>
          </w:p>
        </w:tc>
        <w:tc>
          <w:tcPr>
            <w:tcW w:w="2894" w:type="dxa"/>
            <w:tcBorders>
              <w:bottom w:val="single" w:sz="12" w:space="0" w:color="000000"/>
            </w:tcBorders>
            <w:shd w:val="clear" w:color="auto" w:fill="auto"/>
          </w:tcPr>
          <w:p w14:paraId="05796AF7" w14:textId="77777777" w:rsidR="00642DC3" w:rsidRPr="00EB3D94" w:rsidRDefault="00642DC3" w:rsidP="00C96793">
            <w:pPr>
              <w:pStyle w:val="TableParagraph"/>
              <w:spacing w:line="240" w:lineRule="auto"/>
              <w:ind w:left="0"/>
              <w:jc w:val="right"/>
              <w:rPr>
                <w:rFonts w:ascii="Arial" w:hAnsi="Arial" w:cs="Arial"/>
                <w:b/>
                <w:lang w:val="es-ES"/>
              </w:rPr>
            </w:pPr>
            <w:r w:rsidRPr="00EB3D94">
              <w:rPr>
                <w:rFonts w:ascii="Arial" w:hAnsi="Arial" w:cs="Arial"/>
                <w:b/>
                <w:lang w:val="es-ES"/>
              </w:rPr>
              <w:t>1.725.000,00</w:t>
            </w:r>
            <w:r w:rsidRPr="00EB3D94">
              <w:rPr>
                <w:rFonts w:ascii="Arial" w:hAnsi="Arial" w:cs="Arial"/>
                <w:b/>
                <w:spacing w:val="-5"/>
                <w:lang w:val="es-ES"/>
              </w:rPr>
              <w:t xml:space="preserve"> </w:t>
            </w:r>
            <w:r w:rsidRPr="00EB3D94">
              <w:rPr>
                <w:rFonts w:ascii="Arial" w:hAnsi="Arial" w:cs="Arial"/>
                <w:b/>
                <w:lang w:val="es-ES"/>
              </w:rPr>
              <w:t>€</w:t>
            </w:r>
          </w:p>
        </w:tc>
        <w:tc>
          <w:tcPr>
            <w:tcW w:w="1756" w:type="dxa"/>
            <w:tcBorders>
              <w:bottom w:val="single" w:sz="12" w:space="0" w:color="000000"/>
            </w:tcBorders>
            <w:shd w:val="clear" w:color="auto" w:fill="auto"/>
          </w:tcPr>
          <w:p w14:paraId="1E0938FC" w14:textId="77777777" w:rsidR="00642DC3" w:rsidRPr="00EB3D94" w:rsidRDefault="00642DC3" w:rsidP="00C96793">
            <w:pPr>
              <w:pStyle w:val="TableParagraph"/>
              <w:spacing w:line="240" w:lineRule="auto"/>
              <w:ind w:left="0"/>
              <w:jc w:val="right"/>
              <w:rPr>
                <w:rFonts w:ascii="Arial" w:hAnsi="Arial" w:cs="Arial"/>
                <w:b/>
                <w:lang w:val="es-ES"/>
              </w:rPr>
            </w:pPr>
            <w:r w:rsidRPr="00EB3D94">
              <w:rPr>
                <w:rFonts w:ascii="Arial" w:hAnsi="Arial" w:cs="Arial"/>
                <w:b/>
                <w:lang w:val="es-ES"/>
              </w:rPr>
              <w:t>275.000,00</w:t>
            </w:r>
            <w:r w:rsidRPr="00EB3D94">
              <w:rPr>
                <w:rFonts w:ascii="Arial" w:hAnsi="Arial" w:cs="Arial"/>
                <w:b/>
                <w:spacing w:val="-3"/>
                <w:lang w:val="es-ES"/>
              </w:rPr>
              <w:t xml:space="preserve"> </w:t>
            </w:r>
            <w:r w:rsidRPr="00EB3D94">
              <w:rPr>
                <w:rFonts w:ascii="Arial" w:hAnsi="Arial" w:cs="Arial"/>
                <w:b/>
                <w:lang w:val="es-ES"/>
              </w:rPr>
              <w:t>€</w:t>
            </w:r>
          </w:p>
        </w:tc>
        <w:tc>
          <w:tcPr>
            <w:tcW w:w="1559" w:type="dxa"/>
            <w:tcBorders>
              <w:bottom w:val="single" w:sz="12" w:space="0" w:color="000000"/>
            </w:tcBorders>
            <w:shd w:val="clear" w:color="auto" w:fill="auto"/>
          </w:tcPr>
          <w:p w14:paraId="62DBD850" w14:textId="77777777" w:rsidR="00642DC3" w:rsidRPr="00EB3D94" w:rsidRDefault="00642DC3" w:rsidP="00C96793">
            <w:pPr>
              <w:pStyle w:val="TableParagraph"/>
              <w:spacing w:line="240" w:lineRule="auto"/>
              <w:ind w:left="0"/>
              <w:jc w:val="right"/>
              <w:rPr>
                <w:rFonts w:ascii="Arial" w:hAnsi="Arial" w:cs="Arial"/>
                <w:b/>
                <w:lang w:val="es-ES"/>
              </w:rPr>
            </w:pPr>
            <w:r w:rsidRPr="00EB3D94">
              <w:rPr>
                <w:rFonts w:ascii="Arial" w:hAnsi="Arial" w:cs="Arial"/>
                <w:b/>
                <w:lang w:val="es-ES"/>
              </w:rPr>
              <w:t>2.000.000,00</w:t>
            </w:r>
            <w:r w:rsidRPr="00EB3D94">
              <w:rPr>
                <w:rFonts w:ascii="Arial" w:hAnsi="Arial" w:cs="Arial"/>
                <w:b/>
                <w:spacing w:val="-3"/>
                <w:lang w:val="es-ES"/>
              </w:rPr>
              <w:t xml:space="preserve"> </w:t>
            </w:r>
            <w:r w:rsidRPr="00EB3D94">
              <w:rPr>
                <w:rFonts w:ascii="Arial" w:hAnsi="Arial" w:cs="Arial"/>
                <w:b/>
                <w:lang w:val="es-ES"/>
              </w:rPr>
              <w:t>€</w:t>
            </w:r>
          </w:p>
        </w:tc>
      </w:tr>
    </w:tbl>
    <w:p w14:paraId="39D6D107" w14:textId="77777777" w:rsidR="00526DCD" w:rsidRPr="00EB3D94" w:rsidRDefault="00526DCD" w:rsidP="00C96793">
      <w:pPr>
        <w:pStyle w:val="Textindependent2"/>
        <w:spacing w:after="0" w:line="240" w:lineRule="auto"/>
        <w:jc w:val="both"/>
        <w:outlineLvl w:val="0"/>
        <w:rPr>
          <w:rFonts w:cs="Arial"/>
          <w:szCs w:val="22"/>
          <w:lang w:val="es-ES"/>
        </w:rPr>
      </w:pPr>
    </w:p>
    <w:p w14:paraId="011DCFDD" w14:textId="77777777" w:rsidR="00E33867" w:rsidRPr="00EB3D94" w:rsidRDefault="00E33867" w:rsidP="00BC4866">
      <w:pPr>
        <w:jc w:val="both"/>
        <w:rPr>
          <w:rFonts w:cs="Arial"/>
          <w:szCs w:val="22"/>
          <w:lang w:val="es-ES"/>
        </w:rPr>
      </w:pPr>
      <w:r w:rsidRPr="00EB3D94">
        <w:rPr>
          <w:rFonts w:cs="Arial"/>
          <w:szCs w:val="22"/>
          <w:lang w:val="es-ES"/>
        </w:rPr>
        <w:t>La oferta económica relativa al coste de mantenimiento del servicio se especificará con referencia al coste mensual máximo que no podrá exceder los 950 euros mensuales por Enti</w:t>
      </w:r>
      <w:r w:rsidR="009B096E" w:rsidRPr="00EB3D94">
        <w:rPr>
          <w:rFonts w:cs="Arial"/>
          <w:szCs w:val="22"/>
          <w:lang w:val="es-ES"/>
        </w:rPr>
        <w:t>dad Pública</w:t>
      </w:r>
      <w:r w:rsidRPr="00EB3D94">
        <w:rPr>
          <w:rFonts w:cs="Arial"/>
          <w:szCs w:val="22"/>
          <w:lang w:val="es-ES"/>
        </w:rPr>
        <w:t>.</w:t>
      </w:r>
    </w:p>
    <w:p w14:paraId="6FBC0E59" w14:textId="77777777" w:rsidR="00E33867" w:rsidRPr="00EB3D94" w:rsidRDefault="00E33867" w:rsidP="00BC4866">
      <w:pPr>
        <w:jc w:val="both"/>
        <w:rPr>
          <w:rFonts w:cs="Arial"/>
          <w:szCs w:val="22"/>
          <w:lang w:val="es-ES"/>
        </w:rPr>
      </w:pPr>
    </w:p>
    <w:p w14:paraId="1C7F6DF6" w14:textId="77777777" w:rsidR="00F51616" w:rsidRPr="00EB3D94" w:rsidRDefault="00F51616" w:rsidP="00BC4866">
      <w:pPr>
        <w:jc w:val="both"/>
        <w:rPr>
          <w:rFonts w:cs="Arial"/>
          <w:szCs w:val="22"/>
          <w:lang w:val="es-ES"/>
        </w:rPr>
      </w:pPr>
      <w:r w:rsidRPr="00EB3D94">
        <w:rPr>
          <w:rFonts w:cs="Arial"/>
          <w:szCs w:val="22"/>
          <w:lang w:val="es-ES"/>
        </w:rPr>
        <w:t>Este es el precio máximo que pueden ofertar las empresas que contribuyan a la licitación del contrato e incluye cualquier gasto necesario para la ejecución del objeto contractual, como coste del servicio de mantenimiento.</w:t>
      </w:r>
    </w:p>
    <w:p w14:paraId="5FAA3E86" w14:textId="77777777" w:rsidR="00F51616" w:rsidRPr="00EB3D94" w:rsidRDefault="00F51616" w:rsidP="00BC4866">
      <w:pPr>
        <w:jc w:val="both"/>
        <w:rPr>
          <w:rFonts w:cs="Arial"/>
          <w:szCs w:val="22"/>
          <w:lang w:val="es-ES"/>
        </w:rPr>
      </w:pPr>
    </w:p>
    <w:p w14:paraId="212D7173" w14:textId="77777777" w:rsidR="00C96793" w:rsidRPr="00EB3D94" w:rsidRDefault="00F51616" w:rsidP="00BC4DBB">
      <w:pPr>
        <w:pStyle w:val="CM25"/>
        <w:spacing w:line="276" w:lineRule="atLeast"/>
        <w:jc w:val="both"/>
        <w:rPr>
          <w:sz w:val="22"/>
          <w:szCs w:val="22"/>
          <w:lang w:val="es-ES"/>
        </w:rPr>
      </w:pPr>
      <w:r w:rsidRPr="00EB3D94">
        <w:rPr>
          <w:sz w:val="22"/>
          <w:szCs w:val="22"/>
          <w:lang w:val="es-ES"/>
        </w:rPr>
        <w:t>Visto el objeto del contrato este expediente está exento de IVA.</w:t>
      </w:r>
    </w:p>
    <w:p w14:paraId="6766094A" w14:textId="77777777" w:rsidR="00F51616" w:rsidRPr="00EB3D94" w:rsidRDefault="008705DE" w:rsidP="00BC4866">
      <w:pPr>
        <w:pStyle w:val="CM25"/>
        <w:spacing w:after="0"/>
        <w:jc w:val="both"/>
        <w:rPr>
          <w:rFonts w:cs="Arial"/>
          <w:b/>
          <w:bCs/>
          <w:sz w:val="22"/>
          <w:szCs w:val="22"/>
          <w:lang w:val="es-ES"/>
        </w:rPr>
      </w:pPr>
      <w:r w:rsidRPr="00EB3D94">
        <w:rPr>
          <w:rFonts w:cs="Arial"/>
          <w:b/>
          <w:bCs/>
          <w:sz w:val="22"/>
          <w:szCs w:val="22"/>
          <w:lang w:val="es-ES"/>
        </w:rPr>
        <w:t>Cuart</w:t>
      </w:r>
      <w:r w:rsidR="00315E14" w:rsidRPr="00EB3D94">
        <w:rPr>
          <w:rFonts w:cs="Arial"/>
          <w:b/>
          <w:bCs/>
          <w:sz w:val="22"/>
          <w:szCs w:val="22"/>
          <w:lang w:val="es-ES"/>
        </w:rPr>
        <w:t>a</w:t>
      </w:r>
      <w:r w:rsidR="007C78A5" w:rsidRPr="00EB3D94">
        <w:rPr>
          <w:rFonts w:cs="Arial"/>
          <w:b/>
          <w:bCs/>
          <w:sz w:val="22"/>
          <w:szCs w:val="22"/>
          <w:lang w:val="es-ES"/>
        </w:rPr>
        <w:t xml:space="preserve">. </w:t>
      </w:r>
      <w:r w:rsidR="007C78A5" w:rsidRPr="00EB3D94">
        <w:rPr>
          <w:rFonts w:cs="Arial"/>
          <w:b/>
          <w:bCs/>
          <w:sz w:val="22"/>
          <w:szCs w:val="22"/>
          <w:u w:val="single"/>
          <w:lang w:val="es-ES"/>
        </w:rPr>
        <w:t>Existencia de crédito</w:t>
      </w:r>
      <w:r w:rsidR="007C78A5" w:rsidRPr="00EB3D94">
        <w:rPr>
          <w:rFonts w:cs="Arial"/>
          <w:b/>
          <w:bCs/>
          <w:sz w:val="22"/>
          <w:szCs w:val="22"/>
          <w:lang w:val="es-ES"/>
        </w:rPr>
        <w:t xml:space="preserve"> </w:t>
      </w:r>
    </w:p>
    <w:p w14:paraId="507F44C8" w14:textId="77777777" w:rsidR="004645A5" w:rsidRPr="00EB3D94" w:rsidRDefault="004645A5" w:rsidP="00BC4866">
      <w:pPr>
        <w:pStyle w:val="Default"/>
        <w:rPr>
          <w:color w:val="auto"/>
          <w:lang w:val="es-ES"/>
        </w:rPr>
      </w:pPr>
    </w:p>
    <w:p w14:paraId="3D7E91E3" w14:textId="7D3E80C8" w:rsidR="0025216B" w:rsidRPr="00EB3D94" w:rsidRDefault="0025216B" w:rsidP="00BC4866">
      <w:pPr>
        <w:pStyle w:val="CM25"/>
        <w:spacing w:line="276" w:lineRule="atLeast"/>
        <w:jc w:val="both"/>
        <w:rPr>
          <w:sz w:val="22"/>
          <w:szCs w:val="22"/>
          <w:lang w:val="es-ES"/>
        </w:rPr>
      </w:pPr>
      <w:r w:rsidRPr="00EB3D94">
        <w:rPr>
          <w:sz w:val="22"/>
          <w:szCs w:val="22"/>
          <w:lang w:val="es-ES"/>
        </w:rPr>
        <w:t xml:space="preserve">Se han cumplido todos los trámites reglamentarios para asegurar la existencia de crédito para el pago del objeto del contrato. La partida presupuestaria a la cual se imputa este crédito es la DT01 </w:t>
      </w:r>
      <w:r w:rsidR="00C729D0" w:rsidRPr="00EB3D94">
        <w:rPr>
          <w:sz w:val="22"/>
          <w:szCs w:val="22"/>
          <w:lang w:val="es-ES"/>
        </w:rPr>
        <w:t xml:space="preserve">D/226008900/9110 </w:t>
      </w:r>
      <w:r w:rsidRPr="00EB3D94">
        <w:rPr>
          <w:sz w:val="22"/>
          <w:szCs w:val="22"/>
          <w:lang w:val="es-ES"/>
        </w:rPr>
        <w:t>– Otros gastos diversos</w:t>
      </w:r>
      <w:proofErr w:type="gramStart"/>
      <w:r w:rsidRPr="00EB3D94">
        <w:rPr>
          <w:sz w:val="22"/>
          <w:szCs w:val="22"/>
          <w:lang w:val="es-ES"/>
        </w:rPr>
        <w:t>-  de</w:t>
      </w:r>
      <w:proofErr w:type="gramEnd"/>
      <w:r w:rsidRPr="00EB3D94">
        <w:rPr>
          <w:sz w:val="22"/>
          <w:szCs w:val="22"/>
          <w:lang w:val="es-ES"/>
        </w:rPr>
        <w:t xml:space="preserve"> la sección Deuda.</w:t>
      </w:r>
    </w:p>
    <w:p w14:paraId="3BAF7427" w14:textId="77777777" w:rsidR="00C729D0" w:rsidRPr="00EB3D94" w:rsidRDefault="00C729D0" w:rsidP="00BC4866">
      <w:pPr>
        <w:pStyle w:val="Pargrafdellista"/>
        <w:ind w:left="0"/>
        <w:jc w:val="both"/>
        <w:rPr>
          <w:rFonts w:cs="Arial"/>
          <w:snapToGrid w:val="0"/>
          <w:szCs w:val="22"/>
          <w:lang w:val="es-ES"/>
        </w:rPr>
      </w:pPr>
      <w:r w:rsidRPr="00EB3D94">
        <w:rPr>
          <w:rFonts w:cs="Arial"/>
          <w:snapToGrid w:val="0"/>
          <w:szCs w:val="22"/>
          <w:lang w:val="es-ES"/>
        </w:rPr>
        <w:t xml:space="preserve">En aplicación del establecido en el artículo 36 del Texto refundido de la Ley de finanzas públicas de Cataluña, aprobado por el Decreto Legislativo 3/2002, de 24 de diciembre, se han realizado las actuaciones necesarias para asegurar </w:t>
      </w:r>
      <w:r w:rsidR="00DD68CD" w:rsidRPr="00EB3D94">
        <w:rPr>
          <w:rFonts w:cs="Arial"/>
          <w:snapToGrid w:val="0"/>
          <w:szCs w:val="22"/>
          <w:lang w:val="es-ES"/>
        </w:rPr>
        <w:t>el crédito para la anualidad 202</w:t>
      </w:r>
      <w:r w:rsidR="006024DF" w:rsidRPr="00EB3D94">
        <w:rPr>
          <w:rFonts w:cs="Arial"/>
          <w:snapToGrid w:val="0"/>
          <w:szCs w:val="22"/>
          <w:lang w:val="es-ES"/>
        </w:rPr>
        <w:t>6</w:t>
      </w:r>
      <w:r w:rsidRPr="00EB3D94">
        <w:rPr>
          <w:rFonts w:cs="Arial"/>
          <w:snapToGrid w:val="0"/>
          <w:szCs w:val="22"/>
          <w:lang w:val="es-ES"/>
        </w:rPr>
        <w:t>.</w:t>
      </w:r>
    </w:p>
    <w:p w14:paraId="5507C8F8" w14:textId="77777777" w:rsidR="004645A5" w:rsidRPr="00EB3D94" w:rsidRDefault="004645A5" w:rsidP="00BC4866">
      <w:pPr>
        <w:pStyle w:val="Default"/>
        <w:rPr>
          <w:color w:val="auto"/>
          <w:lang w:val="es-ES"/>
        </w:rPr>
      </w:pPr>
    </w:p>
    <w:p w14:paraId="3424B5E4" w14:textId="77777777" w:rsidR="00457AC1" w:rsidRPr="00EB3D94" w:rsidRDefault="00457AC1" w:rsidP="00BC4866">
      <w:pPr>
        <w:pStyle w:val="Default"/>
        <w:rPr>
          <w:color w:val="auto"/>
          <w:lang w:val="es-ES"/>
        </w:rPr>
      </w:pPr>
    </w:p>
    <w:p w14:paraId="0BCA3CD9" w14:textId="77777777" w:rsidR="00457AC1" w:rsidRPr="00EB3D94" w:rsidRDefault="00457AC1" w:rsidP="00BC4866">
      <w:pPr>
        <w:pStyle w:val="Default"/>
        <w:rPr>
          <w:color w:val="auto"/>
          <w:lang w:val="es-ES"/>
        </w:rPr>
      </w:pPr>
    </w:p>
    <w:p w14:paraId="26B5B2E7" w14:textId="77777777" w:rsidR="007C78A5" w:rsidRPr="00EB3D94" w:rsidRDefault="008705DE" w:rsidP="00BC4866">
      <w:pPr>
        <w:pStyle w:val="CM25"/>
        <w:jc w:val="both"/>
        <w:rPr>
          <w:rFonts w:cs="Arial"/>
          <w:sz w:val="22"/>
          <w:szCs w:val="22"/>
          <w:lang w:val="es-ES"/>
        </w:rPr>
      </w:pPr>
      <w:r w:rsidRPr="00EB3D94">
        <w:rPr>
          <w:rFonts w:cs="Arial"/>
          <w:b/>
          <w:bCs/>
          <w:sz w:val="22"/>
          <w:szCs w:val="22"/>
          <w:lang w:val="es-ES"/>
        </w:rPr>
        <w:lastRenderedPageBreak/>
        <w:t>Qui</w:t>
      </w:r>
      <w:r w:rsidR="00315E14" w:rsidRPr="00EB3D94">
        <w:rPr>
          <w:rFonts w:cs="Arial"/>
          <w:b/>
          <w:bCs/>
          <w:sz w:val="22"/>
          <w:szCs w:val="22"/>
          <w:lang w:val="es-ES"/>
        </w:rPr>
        <w:t>nta</w:t>
      </w:r>
      <w:r w:rsidR="007C78A5" w:rsidRPr="00EB3D94">
        <w:rPr>
          <w:rFonts w:cs="Arial"/>
          <w:b/>
          <w:bCs/>
          <w:sz w:val="22"/>
          <w:szCs w:val="22"/>
          <w:lang w:val="es-ES"/>
        </w:rPr>
        <w:t xml:space="preserve">. </w:t>
      </w:r>
      <w:r w:rsidR="007C78A5" w:rsidRPr="00EB3D94">
        <w:rPr>
          <w:rFonts w:cs="Arial"/>
          <w:b/>
          <w:bCs/>
          <w:sz w:val="22"/>
          <w:szCs w:val="22"/>
          <w:u w:val="single"/>
          <w:lang w:val="es-ES"/>
        </w:rPr>
        <w:t xml:space="preserve">Plazo </w:t>
      </w:r>
      <w:r w:rsidR="00B52410" w:rsidRPr="00EB3D94">
        <w:rPr>
          <w:rFonts w:cs="Arial"/>
          <w:b/>
          <w:bCs/>
          <w:sz w:val="22"/>
          <w:szCs w:val="22"/>
          <w:u w:val="single"/>
          <w:lang w:val="es-ES"/>
        </w:rPr>
        <w:t>ejecución del</w:t>
      </w:r>
      <w:r w:rsidR="007C78A5" w:rsidRPr="00EB3D94">
        <w:rPr>
          <w:rFonts w:cs="Arial"/>
          <w:b/>
          <w:bCs/>
          <w:sz w:val="22"/>
          <w:szCs w:val="22"/>
          <w:u w:val="single"/>
          <w:lang w:val="es-ES"/>
        </w:rPr>
        <w:t xml:space="preserve"> contrato.</w:t>
      </w:r>
    </w:p>
    <w:p w14:paraId="239D1579" w14:textId="048978FF" w:rsidR="00526DCD" w:rsidRPr="00EB3D94" w:rsidRDefault="00B52410" w:rsidP="00BC4866">
      <w:pPr>
        <w:jc w:val="both"/>
        <w:rPr>
          <w:szCs w:val="22"/>
          <w:lang w:val="es-ES"/>
        </w:rPr>
      </w:pPr>
      <w:r w:rsidRPr="00EB3D94">
        <w:rPr>
          <w:szCs w:val="22"/>
          <w:lang w:val="es-ES"/>
        </w:rPr>
        <w:t>El objeto del contrato empezará a ser ejecutado</w:t>
      </w:r>
      <w:r w:rsidR="005A3015" w:rsidRPr="00EB3D94">
        <w:rPr>
          <w:szCs w:val="22"/>
          <w:lang w:val="es-ES"/>
        </w:rPr>
        <w:t xml:space="preserve">, previa formalización </w:t>
      </w:r>
      <w:proofErr w:type="gramStart"/>
      <w:r w:rsidR="005A3015" w:rsidRPr="00EB3D94">
        <w:rPr>
          <w:szCs w:val="22"/>
          <w:lang w:val="es-ES"/>
        </w:rPr>
        <w:t>del mismo</w:t>
      </w:r>
      <w:proofErr w:type="gramEnd"/>
      <w:r w:rsidR="005A3015" w:rsidRPr="00EB3D94">
        <w:rPr>
          <w:szCs w:val="22"/>
          <w:lang w:val="es-ES"/>
        </w:rPr>
        <w:t xml:space="preserve">, el 18 de julio de 2025 </w:t>
      </w:r>
      <w:r w:rsidR="00205F21" w:rsidRPr="00EB3D94">
        <w:rPr>
          <w:szCs w:val="22"/>
          <w:lang w:val="es-ES"/>
        </w:rPr>
        <w:t xml:space="preserve">dado que el servicio no puede interrumpirse y el </w:t>
      </w:r>
      <w:r w:rsidR="00187DF7" w:rsidRPr="00EB3D94">
        <w:rPr>
          <w:szCs w:val="22"/>
          <w:lang w:val="es-ES"/>
        </w:rPr>
        <w:t>19</w:t>
      </w:r>
      <w:r w:rsidR="00205F21" w:rsidRPr="00EB3D94">
        <w:rPr>
          <w:szCs w:val="22"/>
          <w:lang w:val="es-ES"/>
        </w:rPr>
        <w:t xml:space="preserve"> de julio de 202</w:t>
      </w:r>
      <w:r w:rsidR="00187DF7" w:rsidRPr="00EB3D94">
        <w:rPr>
          <w:szCs w:val="22"/>
          <w:lang w:val="es-ES"/>
        </w:rPr>
        <w:t>5</w:t>
      </w:r>
      <w:r w:rsidR="00205F21" w:rsidRPr="00EB3D94">
        <w:rPr>
          <w:szCs w:val="22"/>
          <w:lang w:val="es-ES"/>
        </w:rPr>
        <w:t xml:space="preserve"> (fecha en que tendría que iniciarse el nuevo contrato) es inhábil</w:t>
      </w:r>
      <w:r w:rsidR="005A3015" w:rsidRPr="00EB3D94">
        <w:rPr>
          <w:szCs w:val="22"/>
          <w:lang w:val="es-ES"/>
        </w:rPr>
        <w:t xml:space="preserve"> y el plazo inicial de duración será de un año a contar desde esta fecha.</w:t>
      </w:r>
    </w:p>
    <w:p w14:paraId="5C4D765B" w14:textId="77777777" w:rsidR="00205F21" w:rsidRPr="00EB3D94" w:rsidRDefault="00205F21" w:rsidP="00BC4866">
      <w:pPr>
        <w:jc w:val="both"/>
        <w:rPr>
          <w:szCs w:val="22"/>
          <w:lang w:val="es-ES"/>
        </w:rPr>
      </w:pPr>
    </w:p>
    <w:p w14:paraId="22C27221" w14:textId="14448387" w:rsidR="00DD68CD" w:rsidRPr="00EB3D94" w:rsidRDefault="00DD68CD" w:rsidP="00BC4866">
      <w:pPr>
        <w:pStyle w:val="Default"/>
        <w:jc w:val="both"/>
        <w:rPr>
          <w:color w:val="auto"/>
          <w:sz w:val="22"/>
          <w:szCs w:val="22"/>
          <w:lang w:val="es-ES"/>
        </w:rPr>
      </w:pPr>
      <w:r w:rsidRPr="00EB3D94">
        <w:rPr>
          <w:color w:val="auto"/>
          <w:sz w:val="22"/>
          <w:szCs w:val="22"/>
          <w:lang w:val="es-ES"/>
        </w:rPr>
        <w:t>El contrato se podrá prorrogar</w:t>
      </w:r>
      <w:r w:rsidR="00982820" w:rsidRPr="00EB3D94">
        <w:rPr>
          <w:color w:val="auto"/>
          <w:sz w:val="22"/>
          <w:szCs w:val="22"/>
          <w:lang w:val="es-ES"/>
        </w:rPr>
        <w:t xml:space="preserve"> por dos </w:t>
      </w:r>
      <w:r w:rsidRPr="00EB3D94">
        <w:rPr>
          <w:color w:val="auto"/>
          <w:sz w:val="22"/>
          <w:szCs w:val="22"/>
          <w:lang w:val="es-ES"/>
        </w:rPr>
        <w:t>añ</w:t>
      </w:r>
      <w:r w:rsidR="00187DF7" w:rsidRPr="00EB3D94">
        <w:rPr>
          <w:color w:val="auto"/>
          <w:sz w:val="22"/>
          <w:szCs w:val="22"/>
          <w:lang w:val="es-ES"/>
        </w:rPr>
        <w:t>os (prórrogas anuales)</w:t>
      </w:r>
      <w:r w:rsidRPr="00EB3D94">
        <w:rPr>
          <w:color w:val="auto"/>
          <w:sz w:val="22"/>
          <w:szCs w:val="22"/>
          <w:lang w:val="es-ES"/>
        </w:rPr>
        <w:t xml:space="preserve"> de forma expresa, por acuerdo de ambas partes y si no existe denuncia previa con tres meses de antelación</w:t>
      </w:r>
      <w:r w:rsidR="00982820" w:rsidRPr="00EB3D94">
        <w:rPr>
          <w:color w:val="auto"/>
          <w:sz w:val="22"/>
          <w:szCs w:val="22"/>
          <w:lang w:val="es-ES"/>
        </w:rPr>
        <w:t xml:space="preserve"> por alguna </w:t>
      </w:r>
      <w:r w:rsidRPr="00EB3D94">
        <w:rPr>
          <w:color w:val="auto"/>
          <w:sz w:val="22"/>
          <w:szCs w:val="22"/>
          <w:lang w:val="es-ES"/>
        </w:rPr>
        <w:t>de las partes.</w:t>
      </w:r>
    </w:p>
    <w:p w14:paraId="18A11323" w14:textId="77777777" w:rsidR="00DD68CD" w:rsidRPr="00EB3D94" w:rsidRDefault="00DD68CD" w:rsidP="00BC4866">
      <w:pPr>
        <w:pStyle w:val="Default"/>
        <w:jc w:val="both"/>
        <w:rPr>
          <w:color w:val="auto"/>
          <w:sz w:val="22"/>
          <w:szCs w:val="22"/>
          <w:lang w:val="es-ES"/>
        </w:rPr>
      </w:pPr>
    </w:p>
    <w:p w14:paraId="7667F390" w14:textId="603368E2" w:rsidR="00DD68CD" w:rsidRPr="00EB3D94" w:rsidRDefault="00982820" w:rsidP="00BC4866">
      <w:pPr>
        <w:pStyle w:val="Default"/>
        <w:jc w:val="both"/>
        <w:rPr>
          <w:color w:val="auto"/>
          <w:sz w:val="22"/>
          <w:szCs w:val="22"/>
          <w:lang w:val="es-ES"/>
        </w:rPr>
      </w:pPr>
      <w:r w:rsidRPr="00EB3D94">
        <w:rPr>
          <w:color w:val="auto"/>
          <w:sz w:val="22"/>
          <w:szCs w:val="22"/>
          <w:lang w:val="es-ES"/>
        </w:rPr>
        <w:t>Por lo que respecta</w:t>
      </w:r>
      <w:r w:rsidR="00DD68CD" w:rsidRPr="00EB3D94">
        <w:rPr>
          <w:color w:val="auto"/>
          <w:sz w:val="22"/>
          <w:szCs w:val="22"/>
          <w:lang w:val="es-ES"/>
        </w:rPr>
        <w:t xml:space="preserve"> a la finalización del servicio, a la finalización del contrato, con el objetivo de garantizar la continuidad del servicio, las entidades adjudicatarias que no vuelvan a ser adjudicatarias del servicio, se comprometen a prestar el servicio dentro de un plazo máximo de 3 meses más desde la finalización del plazo de ejecución del contrato, hasta que las nuevas entidades adjudicatarias estén en disposición de prestar el servicio. </w:t>
      </w:r>
    </w:p>
    <w:p w14:paraId="0CF7D0F4" w14:textId="77777777" w:rsidR="00DD68CD" w:rsidRPr="00EB3D94" w:rsidRDefault="00DD68CD" w:rsidP="00BC4866">
      <w:pPr>
        <w:pStyle w:val="Default"/>
        <w:jc w:val="both"/>
        <w:rPr>
          <w:color w:val="auto"/>
          <w:sz w:val="22"/>
          <w:szCs w:val="22"/>
          <w:lang w:val="es-ES"/>
        </w:rPr>
      </w:pPr>
    </w:p>
    <w:p w14:paraId="1A17DB03" w14:textId="77777777" w:rsidR="00490D87" w:rsidRPr="00EB3D94" w:rsidRDefault="00DD68CD" w:rsidP="00BC4866">
      <w:pPr>
        <w:pStyle w:val="Textindependent"/>
        <w:rPr>
          <w:szCs w:val="22"/>
          <w:lang w:val="es-ES"/>
        </w:rPr>
      </w:pPr>
      <w:r w:rsidRPr="00EB3D94">
        <w:rPr>
          <w:szCs w:val="22"/>
          <w:lang w:val="es-ES"/>
        </w:rPr>
        <w:t>En caso de que se ejerza la opción de prórroga no se contempla la actualización de precios.</w:t>
      </w:r>
    </w:p>
    <w:p w14:paraId="2039C8AD" w14:textId="77777777" w:rsidR="00DD68CD" w:rsidRPr="00EB3D94" w:rsidRDefault="00DD68CD" w:rsidP="00BC4866">
      <w:pPr>
        <w:pStyle w:val="Textindependent"/>
        <w:rPr>
          <w:szCs w:val="22"/>
          <w:lang w:val="es-ES"/>
        </w:rPr>
      </w:pPr>
    </w:p>
    <w:p w14:paraId="63D44C5E" w14:textId="77777777" w:rsidR="007C78A5" w:rsidRPr="00EB3D94" w:rsidRDefault="008705DE" w:rsidP="00BC4866">
      <w:pPr>
        <w:pStyle w:val="CM25"/>
        <w:spacing w:line="276" w:lineRule="atLeast"/>
        <w:jc w:val="both"/>
        <w:rPr>
          <w:rFonts w:cs="Arial"/>
          <w:sz w:val="22"/>
          <w:szCs w:val="22"/>
          <w:lang w:val="es-ES"/>
        </w:rPr>
      </w:pPr>
      <w:r w:rsidRPr="00EB3D94">
        <w:rPr>
          <w:rFonts w:cs="Arial"/>
          <w:b/>
          <w:bCs/>
          <w:sz w:val="22"/>
          <w:szCs w:val="22"/>
          <w:lang w:val="es-ES"/>
        </w:rPr>
        <w:t>Sex</w:t>
      </w:r>
      <w:r w:rsidR="007C78A5" w:rsidRPr="00EB3D94">
        <w:rPr>
          <w:rFonts w:cs="Arial"/>
          <w:b/>
          <w:bCs/>
          <w:sz w:val="22"/>
          <w:szCs w:val="22"/>
          <w:lang w:val="es-ES"/>
        </w:rPr>
        <w:t xml:space="preserve">ta: </w:t>
      </w:r>
      <w:r w:rsidR="007C78A5" w:rsidRPr="00EB3D94">
        <w:rPr>
          <w:rFonts w:cs="Arial"/>
          <w:b/>
          <w:bCs/>
          <w:sz w:val="22"/>
          <w:szCs w:val="22"/>
          <w:u w:val="single"/>
          <w:lang w:val="es-ES"/>
        </w:rPr>
        <w:t>Capacidad</w:t>
      </w:r>
      <w:r w:rsidR="00900BF8" w:rsidRPr="00EB3D94">
        <w:rPr>
          <w:rFonts w:cs="Arial"/>
          <w:b/>
          <w:bCs/>
          <w:sz w:val="22"/>
          <w:szCs w:val="22"/>
          <w:u w:val="single"/>
          <w:lang w:val="es-ES"/>
        </w:rPr>
        <w:t xml:space="preserve"> y solvencia del empresario </w:t>
      </w:r>
      <w:r w:rsidR="007C78A5" w:rsidRPr="00EB3D94">
        <w:rPr>
          <w:rFonts w:cs="Arial"/>
          <w:b/>
          <w:bCs/>
          <w:sz w:val="22"/>
          <w:szCs w:val="22"/>
          <w:u w:val="single"/>
          <w:lang w:val="es-ES"/>
        </w:rPr>
        <w:t>para contratar</w:t>
      </w:r>
      <w:r w:rsidR="007C78A5" w:rsidRPr="00EB3D94">
        <w:rPr>
          <w:rFonts w:cs="Arial"/>
          <w:b/>
          <w:bCs/>
          <w:sz w:val="22"/>
          <w:szCs w:val="22"/>
          <w:lang w:val="es-ES"/>
        </w:rPr>
        <w:t xml:space="preserve"> </w:t>
      </w:r>
    </w:p>
    <w:p w14:paraId="6282A2D7" w14:textId="77777777" w:rsidR="00900BF8" w:rsidRPr="00EB3D94" w:rsidRDefault="00900BF8" w:rsidP="00BC4866">
      <w:pPr>
        <w:pStyle w:val="CM25"/>
        <w:numPr>
          <w:ilvl w:val="0"/>
          <w:numId w:val="2"/>
        </w:numPr>
        <w:spacing w:line="276" w:lineRule="atLeast"/>
        <w:jc w:val="both"/>
        <w:rPr>
          <w:rFonts w:cs="Arial"/>
          <w:b/>
          <w:sz w:val="22"/>
          <w:szCs w:val="22"/>
          <w:lang w:val="es-ES"/>
        </w:rPr>
      </w:pPr>
      <w:r w:rsidRPr="00EB3D94">
        <w:rPr>
          <w:rFonts w:cs="Arial"/>
          <w:b/>
          <w:sz w:val="22"/>
          <w:szCs w:val="22"/>
          <w:lang w:val="es-ES"/>
        </w:rPr>
        <w:t>Aptitud y capacidad</w:t>
      </w:r>
    </w:p>
    <w:p w14:paraId="48ADF323" w14:textId="7A1FB385" w:rsidR="00900BF8" w:rsidRPr="00EB3D94" w:rsidRDefault="00900BF8" w:rsidP="00BC4866">
      <w:pPr>
        <w:pStyle w:val="CM25"/>
        <w:spacing w:after="0"/>
        <w:jc w:val="both"/>
        <w:rPr>
          <w:rFonts w:cs="Arial"/>
          <w:b/>
          <w:bCs/>
          <w:sz w:val="22"/>
          <w:szCs w:val="22"/>
          <w:lang w:val="es-ES"/>
        </w:rPr>
      </w:pPr>
      <w:r w:rsidRPr="00EB3D94">
        <w:rPr>
          <w:rFonts w:cs="Arial"/>
          <w:sz w:val="22"/>
          <w:szCs w:val="22"/>
          <w:lang w:val="es-ES"/>
        </w:rPr>
        <w:t>Están facultadas para suscribir este contrato las personas físicas o jurídicas, españolas o extranjeras, en que tengan plena capacidad de obrar, de acuerd</w:t>
      </w:r>
      <w:r w:rsidR="00D4654E" w:rsidRPr="00EB3D94">
        <w:rPr>
          <w:rFonts w:cs="Arial"/>
          <w:sz w:val="22"/>
          <w:szCs w:val="22"/>
          <w:lang w:val="es-ES"/>
        </w:rPr>
        <w:t xml:space="preserve">o con lo que prevé el artículo </w:t>
      </w:r>
      <w:r w:rsidR="001A177E" w:rsidRPr="00EB3D94">
        <w:rPr>
          <w:rFonts w:cs="Arial"/>
          <w:sz w:val="22"/>
          <w:szCs w:val="22"/>
          <w:lang w:val="es-ES"/>
        </w:rPr>
        <w:t>65 LCSP</w:t>
      </w:r>
      <w:r w:rsidRPr="00EB3D94">
        <w:rPr>
          <w:rFonts w:cs="Arial"/>
          <w:sz w:val="22"/>
          <w:szCs w:val="22"/>
          <w:lang w:val="es-ES"/>
        </w:rPr>
        <w:t xml:space="preserve">; que no </w:t>
      </w:r>
      <w:r w:rsidR="001A177E" w:rsidRPr="00EB3D94">
        <w:rPr>
          <w:rFonts w:cs="Arial"/>
          <w:sz w:val="22"/>
          <w:szCs w:val="22"/>
          <w:lang w:val="es-ES"/>
        </w:rPr>
        <w:t>estén incursas en alguna prohibición</w:t>
      </w:r>
      <w:r w:rsidRPr="00EB3D94">
        <w:rPr>
          <w:rFonts w:cs="Arial"/>
          <w:sz w:val="22"/>
          <w:szCs w:val="22"/>
          <w:lang w:val="es-ES"/>
        </w:rPr>
        <w:t xml:space="preserve"> de con</w:t>
      </w:r>
      <w:r w:rsidR="001A177E" w:rsidRPr="00EB3D94">
        <w:rPr>
          <w:rFonts w:cs="Arial"/>
          <w:sz w:val="22"/>
          <w:szCs w:val="22"/>
          <w:lang w:val="es-ES"/>
        </w:rPr>
        <w:t>tratar recogidas en el artículo 71</w:t>
      </w:r>
      <w:r w:rsidRPr="00EB3D94">
        <w:rPr>
          <w:rFonts w:cs="Arial"/>
          <w:sz w:val="22"/>
          <w:szCs w:val="22"/>
          <w:lang w:val="es-ES"/>
        </w:rPr>
        <w:t xml:space="preserve"> </w:t>
      </w:r>
      <w:r w:rsidR="00D4654E" w:rsidRPr="00EB3D94">
        <w:rPr>
          <w:rFonts w:cs="Arial"/>
          <w:sz w:val="22"/>
          <w:szCs w:val="22"/>
          <w:lang w:val="es-ES"/>
        </w:rPr>
        <w:t>LCSP</w:t>
      </w:r>
      <w:r w:rsidR="0076435B" w:rsidRPr="00EB3D94">
        <w:rPr>
          <w:rFonts w:cs="Arial"/>
          <w:sz w:val="22"/>
          <w:szCs w:val="22"/>
          <w:lang w:val="es-ES"/>
        </w:rPr>
        <w:t>, lo cual pueden acreditar</w:t>
      </w:r>
      <w:r w:rsidR="00982820" w:rsidRPr="00EB3D94">
        <w:rPr>
          <w:rFonts w:cs="Arial"/>
          <w:sz w:val="22"/>
          <w:szCs w:val="22"/>
          <w:lang w:val="es-ES"/>
        </w:rPr>
        <w:t xml:space="preserve"> por </w:t>
      </w:r>
      <w:r w:rsidR="0076435B" w:rsidRPr="00EB3D94">
        <w:rPr>
          <w:rFonts w:cs="Arial"/>
          <w:vanish/>
          <w:sz w:val="22"/>
          <w:szCs w:val="22"/>
          <w:lang w:val="es-ES"/>
        </w:rPr>
        <w:t>&lt;A[por|para]&gt;</w:t>
      </w:r>
      <w:r w:rsidR="0076435B" w:rsidRPr="00EB3D94">
        <w:rPr>
          <w:rFonts w:cs="Arial"/>
          <w:sz w:val="22"/>
          <w:szCs w:val="22"/>
          <w:lang w:val="es-ES"/>
        </w:rPr>
        <w:t>cualquiera de los medios establecidos en el artículo 85 LCSP</w:t>
      </w:r>
      <w:r w:rsidR="001A177E" w:rsidRPr="00EB3D94">
        <w:rPr>
          <w:rFonts w:cs="Arial"/>
          <w:sz w:val="22"/>
          <w:szCs w:val="22"/>
          <w:lang w:val="es-ES"/>
        </w:rPr>
        <w:t xml:space="preserve">; y </w:t>
      </w:r>
      <w:r w:rsidRPr="00EB3D94">
        <w:rPr>
          <w:rFonts w:cs="Arial"/>
          <w:sz w:val="22"/>
          <w:szCs w:val="22"/>
          <w:lang w:val="es-ES"/>
        </w:rPr>
        <w:t xml:space="preserve">acrediten la solvencia económica y financiera y técnica o profesional conforme al que se requiera en </w:t>
      </w:r>
      <w:r w:rsidR="001444AE" w:rsidRPr="00EB3D94">
        <w:rPr>
          <w:rFonts w:cs="Arial"/>
          <w:b/>
          <w:bCs/>
          <w:sz w:val="22"/>
          <w:szCs w:val="22"/>
          <w:lang w:val="es-ES"/>
        </w:rPr>
        <w:t>la cl</w:t>
      </w:r>
      <w:r w:rsidR="009B78F1" w:rsidRPr="00EB3D94">
        <w:rPr>
          <w:rFonts w:cs="Arial"/>
          <w:b/>
          <w:bCs/>
          <w:sz w:val="22"/>
          <w:szCs w:val="22"/>
          <w:lang w:val="es-ES"/>
        </w:rPr>
        <w:t xml:space="preserve">áusula séptima </w:t>
      </w:r>
      <w:r w:rsidR="001444AE" w:rsidRPr="00EB3D94">
        <w:rPr>
          <w:rFonts w:cs="Arial"/>
          <w:b/>
          <w:bCs/>
          <w:sz w:val="22"/>
          <w:szCs w:val="22"/>
          <w:lang w:val="es-ES"/>
        </w:rPr>
        <w:t>de est</w:t>
      </w:r>
      <w:r w:rsidR="00982820" w:rsidRPr="00EB3D94">
        <w:rPr>
          <w:rFonts w:cs="Arial"/>
          <w:b/>
          <w:bCs/>
          <w:sz w:val="22"/>
          <w:szCs w:val="22"/>
          <w:lang w:val="es-ES"/>
        </w:rPr>
        <w:t>e pliego</w:t>
      </w:r>
      <w:r w:rsidR="00861554" w:rsidRPr="00EB3D94">
        <w:rPr>
          <w:rFonts w:cs="Arial"/>
          <w:b/>
          <w:bCs/>
          <w:sz w:val="22"/>
          <w:szCs w:val="22"/>
          <w:lang w:val="es-ES"/>
        </w:rPr>
        <w:t xml:space="preserve"> </w:t>
      </w:r>
      <w:r w:rsidR="001444AE" w:rsidRPr="00EB3D94">
        <w:rPr>
          <w:rFonts w:cs="Arial"/>
          <w:sz w:val="22"/>
          <w:szCs w:val="22"/>
          <w:lang w:val="es-ES"/>
        </w:rPr>
        <w:t xml:space="preserve">y que disfruten </w:t>
      </w:r>
      <w:r w:rsidRPr="00EB3D94">
        <w:rPr>
          <w:rFonts w:cs="Arial"/>
          <w:sz w:val="22"/>
          <w:szCs w:val="22"/>
          <w:lang w:val="es-ES"/>
        </w:rPr>
        <w:t xml:space="preserve">de la habilitación empresarial o profesional que, si procede, sea exigible para llevar a cabo la actividad o prestación que constituya el objeto del contrato,  lo que se indicará </w:t>
      </w:r>
      <w:r w:rsidR="001444AE" w:rsidRPr="00EB3D94">
        <w:rPr>
          <w:rFonts w:cs="Arial"/>
          <w:sz w:val="22"/>
          <w:szCs w:val="22"/>
          <w:lang w:val="es-ES"/>
        </w:rPr>
        <w:t xml:space="preserve">también en </w:t>
      </w:r>
      <w:r w:rsidR="001444AE" w:rsidRPr="00EB3D94">
        <w:rPr>
          <w:rFonts w:cs="Arial"/>
          <w:b/>
          <w:bCs/>
          <w:sz w:val="22"/>
          <w:szCs w:val="22"/>
          <w:lang w:val="es-ES"/>
        </w:rPr>
        <w:t xml:space="preserve">la cláusula </w:t>
      </w:r>
      <w:r w:rsidR="009B78F1" w:rsidRPr="00EB3D94">
        <w:rPr>
          <w:rFonts w:cs="Arial"/>
          <w:b/>
          <w:bCs/>
          <w:sz w:val="22"/>
          <w:szCs w:val="22"/>
          <w:lang w:val="es-ES"/>
        </w:rPr>
        <w:t>séptima</w:t>
      </w:r>
      <w:r w:rsidR="001444AE" w:rsidRPr="00EB3D94">
        <w:rPr>
          <w:rFonts w:cs="Arial"/>
          <w:b/>
          <w:bCs/>
          <w:sz w:val="22"/>
          <w:szCs w:val="22"/>
          <w:lang w:val="es-ES"/>
        </w:rPr>
        <w:t xml:space="preserve">  de </w:t>
      </w:r>
      <w:r w:rsidR="00982820" w:rsidRPr="00EB3D94">
        <w:rPr>
          <w:rFonts w:cs="Arial"/>
          <w:b/>
          <w:bCs/>
          <w:sz w:val="22"/>
          <w:szCs w:val="22"/>
          <w:lang w:val="es-ES"/>
        </w:rPr>
        <w:t>este pliego.</w:t>
      </w:r>
    </w:p>
    <w:p w14:paraId="5455682B" w14:textId="77777777" w:rsidR="00B61069" w:rsidRPr="00EB3D94" w:rsidRDefault="00B61069" w:rsidP="00BC4866">
      <w:pPr>
        <w:pStyle w:val="Default"/>
        <w:rPr>
          <w:color w:val="auto"/>
          <w:lang w:val="es-ES"/>
        </w:rPr>
      </w:pPr>
    </w:p>
    <w:p w14:paraId="6B8A2D62" w14:textId="2D36ECD4" w:rsidR="0076435B" w:rsidRPr="00EB3D94" w:rsidRDefault="0076765E" w:rsidP="00BC4866">
      <w:pPr>
        <w:pStyle w:val="Default"/>
        <w:jc w:val="both"/>
        <w:rPr>
          <w:color w:val="auto"/>
          <w:sz w:val="22"/>
          <w:szCs w:val="22"/>
          <w:lang w:val="es-ES"/>
        </w:rPr>
      </w:pPr>
      <w:r w:rsidRPr="00EB3D94">
        <w:rPr>
          <w:color w:val="auto"/>
          <w:sz w:val="22"/>
          <w:szCs w:val="22"/>
          <w:lang w:val="es-ES"/>
        </w:rPr>
        <w:t xml:space="preserve">A fin de que las empresas </w:t>
      </w:r>
      <w:r w:rsidR="00E10E92" w:rsidRPr="00EB3D94">
        <w:rPr>
          <w:color w:val="auto"/>
          <w:sz w:val="22"/>
          <w:szCs w:val="22"/>
          <w:lang w:val="es-ES"/>
        </w:rPr>
        <w:t>puedan ser</w:t>
      </w:r>
      <w:r w:rsidRPr="00EB3D94">
        <w:rPr>
          <w:color w:val="auto"/>
          <w:sz w:val="22"/>
          <w:szCs w:val="22"/>
          <w:lang w:val="es-ES"/>
        </w:rPr>
        <w:t xml:space="preserve"> adjudicatarias </w:t>
      </w:r>
      <w:r w:rsidR="0076435B" w:rsidRPr="00EB3D94">
        <w:rPr>
          <w:color w:val="auto"/>
          <w:sz w:val="22"/>
          <w:szCs w:val="22"/>
          <w:lang w:val="es-ES"/>
        </w:rPr>
        <w:t xml:space="preserve">las prestaciones objeto de este </w:t>
      </w:r>
      <w:r w:rsidRPr="00EB3D94">
        <w:rPr>
          <w:color w:val="auto"/>
          <w:sz w:val="22"/>
          <w:szCs w:val="22"/>
          <w:lang w:val="es-ES"/>
        </w:rPr>
        <w:t>contrato</w:t>
      </w:r>
      <w:r w:rsidR="0076435B" w:rsidRPr="00EB3D94">
        <w:rPr>
          <w:color w:val="auto"/>
          <w:sz w:val="22"/>
          <w:szCs w:val="22"/>
          <w:lang w:val="es-ES"/>
        </w:rPr>
        <w:t xml:space="preserve"> </w:t>
      </w:r>
      <w:r w:rsidR="00A25938" w:rsidRPr="00EB3D94">
        <w:rPr>
          <w:color w:val="auto"/>
          <w:sz w:val="22"/>
          <w:szCs w:val="22"/>
          <w:lang w:val="es-ES"/>
        </w:rPr>
        <w:t xml:space="preserve">deben </w:t>
      </w:r>
      <w:r w:rsidR="0076435B" w:rsidRPr="00EB3D94">
        <w:rPr>
          <w:color w:val="auto"/>
          <w:sz w:val="22"/>
          <w:szCs w:val="22"/>
          <w:lang w:val="es-ES"/>
        </w:rPr>
        <w:t>estar comprendidas dentro de las finalidades, objeto o ámbito de actividad de las empresas licitadoras, según resulte de sus estatutos o de sus reglas fundacionales.</w:t>
      </w:r>
    </w:p>
    <w:p w14:paraId="2EFBFACB" w14:textId="77777777" w:rsidR="007C1803" w:rsidRPr="00EB3D94" w:rsidRDefault="007C1803" w:rsidP="00BC4866">
      <w:pPr>
        <w:pStyle w:val="Default"/>
        <w:jc w:val="both"/>
        <w:rPr>
          <w:color w:val="auto"/>
          <w:sz w:val="22"/>
          <w:szCs w:val="22"/>
          <w:lang w:val="es-ES"/>
        </w:rPr>
      </w:pPr>
    </w:p>
    <w:p w14:paraId="13D110B2" w14:textId="77777777" w:rsidR="007C1803" w:rsidRPr="00EB3D94" w:rsidRDefault="007C1803" w:rsidP="00BC4866">
      <w:pPr>
        <w:pStyle w:val="Default"/>
        <w:jc w:val="both"/>
        <w:rPr>
          <w:color w:val="auto"/>
          <w:sz w:val="22"/>
          <w:szCs w:val="22"/>
          <w:lang w:val="es-ES"/>
        </w:rPr>
      </w:pPr>
      <w:r w:rsidRPr="00EB3D94">
        <w:rPr>
          <w:color w:val="auto"/>
          <w:sz w:val="22"/>
          <w:szCs w:val="22"/>
          <w:u w:val="single"/>
          <w:lang w:val="es-ES"/>
        </w:rPr>
        <w:t xml:space="preserve">Las propuestas podrán ser presentadas por una única entidad financiera o </w:t>
      </w:r>
      <w:proofErr w:type="gramStart"/>
      <w:r w:rsidRPr="00EB3D94">
        <w:rPr>
          <w:color w:val="auto"/>
          <w:sz w:val="22"/>
          <w:szCs w:val="22"/>
          <w:u w:val="single"/>
          <w:lang w:val="es-ES"/>
        </w:rPr>
        <w:t>conjuntamente con</w:t>
      </w:r>
      <w:proofErr w:type="gramEnd"/>
      <w:r w:rsidRPr="00EB3D94">
        <w:rPr>
          <w:color w:val="auto"/>
          <w:sz w:val="22"/>
          <w:szCs w:val="22"/>
          <w:u w:val="single"/>
          <w:lang w:val="es-ES"/>
        </w:rPr>
        <w:t xml:space="preserve"> otra, siempre que formen parte del mismo grupo y se indique con cuál de ellas se efectuará la operativa de Cash-</w:t>
      </w:r>
      <w:proofErr w:type="spellStart"/>
      <w:r w:rsidRPr="00EB3D94">
        <w:rPr>
          <w:color w:val="auto"/>
          <w:sz w:val="22"/>
          <w:szCs w:val="22"/>
          <w:u w:val="single"/>
          <w:lang w:val="es-ES"/>
        </w:rPr>
        <w:t>pooling</w:t>
      </w:r>
      <w:proofErr w:type="spellEnd"/>
      <w:r w:rsidRPr="00EB3D94">
        <w:rPr>
          <w:color w:val="auto"/>
          <w:sz w:val="22"/>
          <w:szCs w:val="22"/>
          <w:lang w:val="es-ES"/>
        </w:rPr>
        <w:t>.</w:t>
      </w:r>
    </w:p>
    <w:p w14:paraId="567A3310" w14:textId="77777777" w:rsidR="0076435B" w:rsidRPr="00EB3D94" w:rsidRDefault="0076435B" w:rsidP="00BC4866">
      <w:pPr>
        <w:pStyle w:val="Default"/>
        <w:jc w:val="both"/>
        <w:rPr>
          <w:color w:val="auto"/>
          <w:sz w:val="22"/>
          <w:szCs w:val="22"/>
          <w:lang w:val="es-ES"/>
        </w:rPr>
      </w:pPr>
    </w:p>
    <w:p w14:paraId="2905C1B5" w14:textId="1055AAF4" w:rsidR="0076435B" w:rsidRPr="00EB3D94" w:rsidRDefault="0076435B" w:rsidP="00BC4866">
      <w:pPr>
        <w:pStyle w:val="Default"/>
        <w:jc w:val="both"/>
        <w:rPr>
          <w:color w:val="auto"/>
          <w:sz w:val="22"/>
          <w:szCs w:val="22"/>
          <w:lang w:val="es-ES"/>
        </w:rPr>
      </w:pPr>
      <w:r w:rsidRPr="00EB3D94">
        <w:rPr>
          <w:color w:val="auto"/>
          <w:sz w:val="22"/>
          <w:szCs w:val="22"/>
          <w:lang w:val="es-ES"/>
        </w:rPr>
        <w:t xml:space="preserve">Las circunstancias relativas a la capacidad, solvencia y ausencia de prohibiciones de contratar </w:t>
      </w:r>
      <w:r w:rsidR="00A25938" w:rsidRPr="00EB3D94">
        <w:rPr>
          <w:color w:val="auto"/>
          <w:sz w:val="22"/>
          <w:szCs w:val="22"/>
          <w:lang w:val="es-ES"/>
        </w:rPr>
        <w:t xml:space="preserve">deben </w:t>
      </w:r>
      <w:r w:rsidRPr="00EB3D94">
        <w:rPr>
          <w:color w:val="auto"/>
          <w:sz w:val="22"/>
          <w:szCs w:val="22"/>
          <w:lang w:val="es-ES"/>
        </w:rPr>
        <w:t>concurrir en la fecha final de presentación de ofertas y subsistir en el momento de la perfección del contrato.</w:t>
      </w:r>
    </w:p>
    <w:p w14:paraId="5CE50EE0" w14:textId="77777777" w:rsidR="00555F1E" w:rsidRPr="00EB3D94" w:rsidRDefault="00555F1E" w:rsidP="00BC4866">
      <w:pPr>
        <w:pStyle w:val="Default"/>
        <w:jc w:val="both"/>
        <w:rPr>
          <w:color w:val="auto"/>
          <w:sz w:val="22"/>
          <w:szCs w:val="22"/>
          <w:lang w:val="es-ES"/>
        </w:rPr>
      </w:pPr>
    </w:p>
    <w:p w14:paraId="5A788436" w14:textId="389467DB" w:rsidR="003B2CF8" w:rsidRPr="00EB3D94" w:rsidRDefault="0076765E" w:rsidP="00BC4866">
      <w:pPr>
        <w:pStyle w:val="Default"/>
        <w:jc w:val="both"/>
        <w:rPr>
          <w:color w:val="auto"/>
          <w:sz w:val="22"/>
          <w:szCs w:val="22"/>
          <w:lang w:val="es-ES"/>
        </w:rPr>
      </w:pPr>
      <w:r w:rsidRPr="00EB3D94">
        <w:rPr>
          <w:color w:val="auto"/>
          <w:sz w:val="22"/>
          <w:szCs w:val="22"/>
          <w:u w:val="single"/>
          <w:lang w:val="es-ES"/>
        </w:rPr>
        <w:t>La capacidad de obrar de las empresas no españolas de Estados miembros de la Unión Europea o signatarios del Acuerdo sobre Espacio Económico Europe</w:t>
      </w:r>
      <w:r w:rsidR="00982820" w:rsidRPr="00EB3D94">
        <w:rPr>
          <w:color w:val="auto"/>
          <w:sz w:val="22"/>
          <w:szCs w:val="22"/>
          <w:u w:val="single"/>
          <w:lang w:val="es-ES"/>
        </w:rPr>
        <w:t>o</w:t>
      </w:r>
      <w:r w:rsidRPr="00EB3D94">
        <w:rPr>
          <w:color w:val="auto"/>
          <w:sz w:val="22"/>
          <w:szCs w:val="22"/>
          <w:lang w:val="es-ES"/>
        </w:rPr>
        <w:t xml:space="preserve"> se </w:t>
      </w:r>
      <w:r w:rsidR="00982820" w:rsidRPr="00EB3D94">
        <w:rPr>
          <w:color w:val="auto"/>
          <w:sz w:val="22"/>
          <w:szCs w:val="22"/>
          <w:lang w:val="es-ES"/>
        </w:rPr>
        <w:t xml:space="preserve">debe </w:t>
      </w:r>
      <w:r w:rsidRPr="00EB3D94">
        <w:rPr>
          <w:color w:val="auto"/>
          <w:sz w:val="22"/>
          <w:szCs w:val="22"/>
          <w:lang w:val="es-ES"/>
        </w:rPr>
        <w:t xml:space="preserve">acreditar mediante la inscripción en los registros </w:t>
      </w:r>
      <w:r w:rsidR="003B2CF8" w:rsidRPr="00EB3D94">
        <w:rPr>
          <w:color w:val="auto"/>
          <w:sz w:val="22"/>
          <w:szCs w:val="22"/>
          <w:lang w:val="es-ES"/>
        </w:rPr>
        <w:t>profesionales o mercantiles adecuados de su Estado miembro de establecimiento o la presentación de una declaración jurada o una de las certificaciones que se indican en el anexo XI de la Directiva 2014/24/UE.</w:t>
      </w:r>
    </w:p>
    <w:p w14:paraId="5C74E77A" w14:textId="77777777" w:rsidR="003B2CF8" w:rsidRPr="00EB3D94" w:rsidRDefault="001A177E" w:rsidP="00BC4866">
      <w:pPr>
        <w:pStyle w:val="Default"/>
        <w:jc w:val="both"/>
        <w:rPr>
          <w:color w:val="auto"/>
          <w:sz w:val="22"/>
          <w:szCs w:val="22"/>
          <w:lang w:val="es-ES"/>
        </w:rPr>
      </w:pPr>
      <w:r w:rsidRPr="00EB3D94">
        <w:rPr>
          <w:color w:val="auto"/>
          <w:sz w:val="22"/>
          <w:szCs w:val="22"/>
          <w:lang w:val="es-ES"/>
        </w:rPr>
        <w:t xml:space="preserve"> </w:t>
      </w:r>
    </w:p>
    <w:p w14:paraId="0BE127B0" w14:textId="7555191D" w:rsidR="003B2CF8" w:rsidRPr="00EB3D94" w:rsidRDefault="005D2C11" w:rsidP="00BC4866">
      <w:pPr>
        <w:pStyle w:val="CM27"/>
        <w:spacing w:after="0"/>
        <w:jc w:val="both"/>
        <w:rPr>
          <w:rFonts w:cs="Arial"/>
          <w:sz w:val="22"/>
          <w:szCs w:val="22"/>
          <w:lang w:val="es-ES"/>
        </w:rPr>
      </w:pPr>
      <w:r w:rsidRPr="00EB3D94">
        <w:rPr>
          <w:rFonts w:cs="Arial"/>
          <w:sz w:val="22"/>
          <w:szCs w:val="22"/>
          <w:u w:val="single"/>
          <w:lang w:val="es-ES"/>
        </w:rPr>
        <w:t>Las empresas extranjeras de Estados no miembros de la Unión Europea</w:t>
      </w:r>
      <w:r w:rsidR="003B2CF8" w:rsidRPr="00EB3D94">
        <w:rPr>
          <w:rFonts w:cs="Arial"/>
          <w:sz w:val="22"/>
          <w:szCs w:val="22"/>
          <w:u w:val="single"/>
          <w:lang w:val="es-ES"/>
        </w:rPr>
        <w:t xml:space="preserve"> ni signatarios del Acuerdo sobre Espacio Económico Europeo</w:t>
      </w:r>
      <w:r w:rsidRPr="00EB3D94">
        <w:rPr>
          <w:rFonts w:cs="Arial"/>
          <w:sz w:val="22"/>
          <w:szCs w:val="22"/>
          <w:lang w:val="es-ES"/>
        </w:rPr>
        <w:t xml:space="preserve"> </w:t>
      </w:r>
      <w:r w:rsidR="00A25938" w:rsidRPr="00EB3D94">
        <w:rPr>
          <w:rFonts w:cs="Arial"/>
          <w:sz w:val="22"/>
          <w:szCs w:val="22"/>
          <w:lang w:val="es-ES"/>
        </w:rPr>
        <w:t xml:space="preserve">deben </w:t>
      </w:r>
      <w:r w:rsidRPr="00EB3D94">
        <w:rPr>
          <w:rFonts w:cs="Arial"/>
          <w:sz w:val="22"/>
          <w:szCs w:val="22"/>
          <w:lang w:val="es-ES"/>
        </w:rPr>
        <w:t xml:space="preserve">acreditar su capacidad de obrar mediante </w:t>
      </w:r>
      <w:r w:rsidR="003B2CF8" w:rsidRPr="00EB3D94">
        <w:rPr>
          <w:rFonts w:cs="Arial"/>
          <w:sz w:val="22"/>
          <w:szCs w:val="22"/>
          <w:lang w:val="es-ES"/>
        </w:rPr>
        <w:t xml:space="preserve">la aportación de un informe emitido por la misión diplomática permanente o por la oficina consular de España </w:t>
      </w:r>
      <w:r w:rsidR="00B073FC" w:rsidRPr="00EB3D94">
        <w:rPr>
          <w:rFonts w:cs="Arial"/>
          <w:sz w:val="22"/>
          <w:szCs w:val="22"/>
          <w:lang w:val="es-ES"/>
        </w:rPr>
        <w:t xml:space="preserve">del </w:t>
      </w:r>
      <w:r w:rsidR="00B073FC" w:rsidRPr="00EB3D94">
        <w:rPr>
          <w:rFonts w:cs="Arial"/>
          <w:sz w:val="22"/>
          <w:szCs w:val="22"/>
          <w:lang w:val="es-ES"/>
        </w:rPr>
        <w:lastRenderedPageBreak/>
        <w:t>lugar</w:t>
      </w:r>
      <w:r w:rsidR="003B2CF8" w:rsidRPr="00EB3D94">
        <w:rPr>
          <w:rFonts w:cs="Arial"/>
          <w:sz w:val="22"/>
          <w:szCs w:val="22"/>
          <w:lang w:val="es-ES"/>
        </w:rPr>
        <w:t xml:space="preserve"> del domicilio de la empresa, en el cual conste, previa acreditación</w:t>
      </w:r>
      <w:r w:rsidR="00B073FC" w:rsidRPr="00EB3D94">
        <w:rPr>
          <w:rFonts w:cs="Arial"/>
          <w:sz w:val="22"/>
          <w:szCs w:val="22"/>
          <w:lang w:val="es-ES"/>
        </w:rPr>
        <w:t xml:space="preserve"> por la </w:t>
      </w:r>
      <w:r w:rsidR="003B2CF8" w:rsidRPr="00EB3D94">
        <w:rPr>
          <w:rFonts w:cs="Arial"/>
          <w:sz w:val="22"/>
          <w:szCs w:val="22"/>
          <w:lang w:val="es-ES"/>
        </w:rPr>
        <w:t xml:space="preserve">empresa, que figuran inscritas en el registro local profesional, comercial o análogo, o, en su defecto, que actúan habitualmente en el tráfico local dentro del ámbito de las actividades que abarca el objeto del contrato. También </w:t>
      </w:r>
      <w:r w:rsidR="00A25938" w:rsidRPr="00EB3D94">
        <w:rPr>
          <w:rFonts w:cs="Arial"/>
          <w:sz w:val="22"/>
          <w:szCs w:val="22"/>
          <w:lang w:val="es-ES"/>
        </w:rPr>
        <w:t xml:space="preserve">deben </w:t>
      </w:r>
      <w:r w:rsidR="003B2CF8" w:rsidRPr="00EB3D94">
        <w:rPr>
          <w:rFonts w:cs="Arial"/>
          <w:sz w:val="22"/>
          <w:szCs w:val="22"/>
          <w:lang w:val="es-ES"/>
        </w:rPr>
        <w:t>aportar un informe de la misión diplomática permanente de España o de la Secretarí</w:t>
      </w:r>
      <w:r w:rsidR="009538B7" w:rsidRPr="00EB3D94">
        <w:rPr>
          <w:rFonts w:cs="Arial"/>
          <w:sz w:val="22"/>
          <w:szCs w:val="22"/>
          <w:lang w:val="es-ES"/>
        </w:rPr>
        <w:t>a</w:t>
      </w:r>
      <w:r w:rsidR="003B2CF8" w:rsidRPr="00EB3D94">
        <w:rPr>
          <w:rFonts w:cs="Arial"/>
          <w:sz w:val="22"/>
          <w:szCs w:val="22"/>
          <w:lang w:val="es-ES"/>
        </w:rPr>
        <w:t xml:space="preserve"> General de Comercio Exterior, que acredite que el Estado del cual son nacional</w:t>
      </w:r>
      <w:r w:rsidR="009538B7" w:rsidRPr="00EB3D94">
        <w:rPr>
          <w:rFonts w:cs="Arial"/>
          <w:sz w:val="22"/>
          <w:szCs w:val="22"/>
          <w:lang w:val="es-ES"/>
        </w:rPr>
        <w:t>es</w:t>
      </w:r>
      <w:r w:rsidR="003B2CF8" w:rsidRPr="00EB3D94">
        <w:rPr>
          <w:rFonts w:cs="Arial"/>
          <w:sz w:val="22"/>
          <w:szCs w:val="22"/>
          <w:lang w:val="es-ES"/>
        </w:rPr>
        <w:t xml:space="preserve"> ha firmado el Acuerdo sobre contratación pública de la Organización Mundial del Comercio (OMC) al tratarse de un contrato sujeto a regulación armonizada.</w:t>
      </w:r>
    </w:p>
    <w:p w14:paraId="57BC41C9" w14:textId="77777777" w:rsidR="004E1500" w:rsidRPr="00EB3D94" w:rsidRDefault="004E1500" w:rsidP="00BC4866">
      <w:pPr>
        <w:pStyle w:val="Default"/>
        <w:rPr>
          <w:color w:val="auto"/>
          <w:lang w:val="es-ES"/>
        </w:rPr>
      </w:pPr>
    </w:p>
    <w:p w14:paraId="6C34945C" w14:textId="77777777" w:rsidR="00840D46" w:rsidRPr="00EB3D94" w:rsidRDefault="005D2C11" w:rsidP="00BC4866">
      <w:pPr>
        <w:pStyle w:val="CM27"/>
        <w:spacing w:after="0"/>
        <w:jc w:val="both"/>
        <w:rPr>
          <w:rFonts w:cs="Arial"/>
          <w:sz w:val="22"/>
          <w:szCs w:val="22"/>
          <w:lang w:val="es-ES"/>
        </w:rPr>
      </w:pPr>
      <w:r w:rsidRPr="00EB3D94">
        <w:rPr>
          <w:rFonts w:cs="Arial"/>
          <w:sz w:val="22"/>
          <w:szCs w:val="22"/>
          <w:lang w:val="es-ES"/>
        </w:rPr>
        <w:t>La Administración puede contratar con uniones de empresarios que se constituyan temporalmente a este ef</w:t>
      </w:r>
      <w:r w:rsidR="00E10E92" w:rsidRPr="00EB3D94">
        <w:rPr>
          <w:rFonts w:cs="Arial"/>
          <w:sz w:val="22"/>
          <w:szCs w:val="22"/>
          <w:lang w:val="es-ES"/>
        </w:rPr>
        <w:t>ecto, sin que sea necesario</w:t>
      </w:r>
      <w:r w:rsidRPr="00EB3D94">
        <w:rPr>
          <w:rFonts w:cs="Arial"/>
          <w:sz w:val="22"/>
          <w:szCs w:val="22"/>
          <w:lang w:val="es-ES"/>
        </w:rPr>
        <w:t xml:space="preserve"> </w:t>
      </w:r>
      <w:r w:rsidR="001E1272" w:rsidRPr="00EB3D94">
        <w:rPr>
          <w:rFonts w:cs="Arial"/>
          <w:sz w:val="22"/>
          <w:szCs w:val="22"/>
          <w:lang w:val="es-ES"/>
        </w:rPr>
        <w:t xml:space="preserve">la formalización de </w:t>
      </w:r>
      <w:proofErr w:type="gramStart"/>
      <w:r w:rsidR="001E1272" w:rsidRPr="00EB3D94">
        <w:rPr>
          <w:rFonts w:cs="Arial"/>
          <w:sz w:val="22"/>
          <w:szCs w:val="22"/>
          <w:lang w:val="es-ES"/>
        </w:rPr>
        <w:t>las mismas</w:t>
      </w:r>
      <w:proofErr w:type="gramEnd"/>
      <w:r w:rsidRPr="00EB3D94">
        <w:rPr>
          <w:rFonts w:cs="Arial"/>
          <w:sz w:val="22"/>
          <w:szCs w:val="22"/>
          <w:lang w:val="es-ES"/>
        </w:rPr>
        <w:t xml:space="preserve"> en escr</w:t>
      </w:r>
      <w:r w:rsidR="001E1272" w:rsidRPr="00EB3D94">
        <w:rPr>
          <w:rFonts w:cs="Arial"/>
          <w:sz w:val="22"/>
          <w:szCs w:val="22"/>
          <w:lang w:val="es-ES"/>
        </w:rPr>
        <w:t xml:space="preserve">itura pública hasta que no se </w:t>
      </w:r>
      <w:r w:rsidRPr="00EB3D94">
        <w:rPr>
          <w:rFonts w:cs="Arial"/>
          <w:sz w:val="22"/>
          <w:szCs w:val="22"/>
          <w:lang w:val="es-ES"/>
        </w:rPr>
        <w:t xml:space="preserve">haya </w:t>
      </w:r>
      <w:r w:rsidR="001E1272" w:rsidRPr="00EB3D94">
        <w:rPr>
          <w:rFonts w:cs="Arial"/>
          <w:sz w:val="22"/>
          <w:szCs w:val="22"/>
          <w:lang w:val="es-ES"/>
        </w:rPr>
        <w:t>efectuado la adjudicación del</w:t>
      </w:r>
      <w:r w:rsidRPr="00EB3D94">
        <w:rPr>
          <w:rFonts w:cs="Arial"/>
          <w:sz w:val="22"/>
          <w:szCs w:val="22"/>
          <w:lang w:val="es-ES"/>
        </w:rPr>
        <w:t xml:space="preserve"> contrato</w:t>
      </w:r>
      <w:r w:rsidR="001E1272" w:rsidRPr="00EB3D94">
        <w:rPr>
          <w:rFonts w:cs="Arial"/>
          <w:sz w:val="22"/>
          <w:szCs w:val="22"/>
          <w:lang w:val="es-ES"/>
        </w:rPr>
        <w:t xml:space="preserve"> a su favor</w:t>
      </w:r>
      <w:r w:rsidRPr="00EB3D94">
        <w:rPr>
          <w:rFonts w:cs="Arial"/>
          <w:sz w:val="22"/>
          <w:szCs w:val="22"/>
          <w:lang w:val="es-ES"/>
        </w:rPr>
        <w:t xml:space="preserve">. </w:t>
      </w:r>
    </w:p>
    <w:p w14:paraId="382C6D2E" w14:textId="77777777" w:rsidR="00840D46" w:rsidRPr="00EB3D94" w:rsidRDefault="00840D46" w:rsidP="00BC4866">
      <w:pPr>
        <w:pStyle w:val="CM27"/>
        <w:spacing w:after="0"/>
        <w:jc w:val="both"/>
        <w:rPr>
          <w:rFonts w:cs="Arial"/>
          <w:sz w:val="22"/>
          <w:szCs w:val="22"/>
          <w:lang w:val="es-ES"/>
        </w:rPr>
      </w:pPr>
    </w:p>
    <w:p w14:paraId="1B655CF3" w14:textId="37AE1A28" w:rsidR="003B2CF8" w:rsidRPr="00EB3D94" w:rsidRDefault="00840D46" w:rsidP="00BC4866">
      <w:pPr>
        <w:pStyle w:val="CM27"/>
        <w:spacing w:after="0"/>
        <w:jc w:val="both"/>
        <w:rPr>
          <w:rFonts w:cs="Arial"/>
          <w:sz w:val="22"/>
          <w:szCs w:val="22"/>
          <w:lang w:val="es-ES"/>
        </w:rPr>
      </w:pPr>
      <w:r w:rsidRPr="00EB3D94">
        <w:rPr>
          <w:rFonts w:cs="Arial"/>
          <w:sz w:val="22"/>
          <w:szCs w:val="22"/>
          <w:lang w:val="es-ES"/>
        </w:rPr>
        <w:t>Estos empresarios quedarán</w:t>
      </w:r>
      <w:r w:rsidR="005D2C11" w:rsidRPr="00EB3D94">
        <w:rPr>
          <w:rFonts w:cs="Arial"/>
          <w:sz w:val="22"/>
          <w:szCs w:val="22"/>
          <w:lang w:val="es-ES"/>
        </w:rPr>
        <w:t xml:space="preserve"> obligados solidariame</w:t>
      </w:r>
      <w:r w:rsidRPr="00EB3D94">
        <w:rPr>
          <w:rFonts w:cs="Arial"/>
          <w:sz w:val="22"/>
          <w:szCs w:val="22"/>
          <w:lang w:val="es-ES"/>
        </w:rPr>
        <w:t xml:space="preserve">nte ante la Administración y </w:t>
      </w:r>
      <w:r w:rsidR="00A25938" w:rsidRPr="00EB3D94">
        <w:rPr>
          <w:rFonts w:cs="Arial"/>
          <w:sz w:val="22"/>
          <w:szCs w:val="22"/>
          <w:lang w:val="es-ES"/>
        </w:rPr>
        <w:t xml:space="preserve">deberán </w:t>
      </w:r>
      <w:r w:rsidR="005D2C11" w:rsidRPr="00EB3D94">
        <w:rPr>
          <w:rFonts w:cs="Arial"/>
          <w:sz w:val="22"/>
          <w:szCs w:val="22"/>
          <w:lang w:val="es-ES"/>
        </w:rPr>
        <w:t>nombrar un representante o apoderado único</w:t>
      </w:r>
      <w:r w:rsidRPr="00EB3D94">
        <w:rPr>
          <w:rFonts w:cs="Arial"/>
          <w:sz w:val="22"/>
          <w:szCs w:val="22"/>
          <w:lang w:val="es-ES"/>
        </w:rPr>
        <w:t xml:space="preserve"> de la unión</w:t>
      </w:r>
      <w:r w:rsidR="005D2C11" w:rsidRPr="00EB3D94">
        <w:rPr>
          <w:rFonts w:cs="Arial"/>
          <w:sz w:val="22"/>
          <w:szCs w:val="22"/>
          <w:lang w:val="es-ES"/>
        </w:rPr>
        <w:t xml:space="preserve"> con poderes suficientes para ejercer los derechos y cumplir las obligaciones que </w:t>
      </w:r>
      <w:r w:rsidRPr="00EB3D94">
        <w:rPr>
          <w:rFonts w:cs="Arial"/>
          <w:sz w:val="22"/>
          <w:szCs w:val="22"/>
          <w:lang w:val="es-ES"/>
        </w:rPr>
        <w:t>del contrato se deriven hasta la e</w:t>
      </w:r>
      <w:r w:rsidR="005D2C11" w:rsidRPr="00EB3D94">
        <w:rPr>
          <w:rFonts w:cs="Arial"/>
          <w:sz w:val="22"/>
          <w:szCs w:val="22"/>
          <w:lang w:val="es-ES"/>
        </w:rPr>
        <w:t>xtinción</w:t>
      </w:r>
      <w:r w:rsidRPr="00EB3D94">
        <w:rPr>
          <w:rFonts w:cs="Arial"/>
          <w:sz w:val="22"/>
          <w:szCs w:val="22"/>
          <w:lang w:val="es-ES"/>
        </w:rPr>
        <w:t xml:space="preserve"> de lo mismo</w:t>
      </w:r>
      <w:r w:rsidR="005D2C11" w:rsidRPr="00EB3D94">
        <w:rPr>
          <w:rFonts w:cs="Arial"/>
          <w:sz w:val="22"/>
          <w:szCs w:val="22"/>
          <w:lang w:val="es-ES"/>
        </w:rPr>
        <w:t xml:space="preserve">, sin perjuicio </w:t>
      </w:r>
      <w:r w:rsidRPr="00EB3D94">
        <w:rPr>
          <w:rFonts w:cs="Arial"/>
          <w:sz w:val="22"/>
          <w:szCs w:val="22"/>
          <w:lang w:val="es-ES"/>
        </w:rPr>
        <w:t>de la existencia de</w:t>
      </w:r>
      <w:r w:rsidR="005D2C11" w:rsidRPr="00EB3D94">
        <w:rPr>
          <w:rFonts w:cs="Arial"/>
          <w:sz w:val="22"/>
          <w:szCs w:val="22"/>
          <w:lang w:val="es-ES"/>
        </w:rPr>
        <w:t xml:space="preserve"> poderes mancomunados </w:t>
      </w:r>
      <w:r w:rsidRPr="00EB3D94">
        <w:rPr>
          <w:rFonts w:cs="Arial"/>
          <w:sz w:val="22"/>
          <w:szCs w:val="22"/>
          <w:lang w:val="es-ES"/>
        </w:rPr>
        <w:t xml:space="preserve">que puedan otorgar </w:t>
      </w:r>
      <w:r w:rsidR="005D2C11" w:rsidRPr="00EB3D94">
        <w:rPr>
          <w:rFonts w:cs="Arial"/>
          <w:sz w:val="22"/>
          <w:szCs w:val="22"/>
          <w:lang w:val="es-ES"/>
        </w:rPr>
        <w:t>pa</w:t>
      </w:r>
      <w:r w:rsidRPr="00EB3D94">
        <w:rPr>
          <w:rFonts w:cs="Arial"/>
          <w:sz w:val="22"/>
          <w:szCs w:val="22"/>
          <w:lang w:val="es-ES"/>
        </w:rPr>
        <w:t>ra cobros y pagos de</w:t>
      </w:r>
      <w:r w:rsidR="005D2C11" w:rsidRPr="00EB3D94">
        <w:rPr>
          <w:rFonts w:cs="Arial"/>
          <w:sz w:val="22"/>
          <w:szCs w:val="22"/>
          <w:lang w:val="es-ES"/>
        </w:rPr>
        <w:t xml:space="preserve"> cuan</w:t>
      </w:r>
      <w:r w:rsidR="003B2CF8" w:rsidRPr="00EB3D94">
        <w:rPr>
          <w:rFonts w:cs="Arial"/>
          <w:sz w:val="22"/>
          <w:szCs w:val="22"/>
          <w:lang w:val="es-ES"/>
        </w:rPr>
        <w:t>tía significativa.</w:t>
      </w:r>
    </w:p>
    <w:p w14:paraId="1AAB8496" w14:textId="77777777" w:rsidR="003B2CF8" w:rsidRPr="00EB3D94" w:rsidRDefault="003B2CF8" w:rsidP="00BC4866">
      <w:pPr>
        <w:pStyle w:val="Default"/>
        <w:rPr>
          <w:color w:val="auto"/>
          <w:lang w:val="es-ES"/>
        </w:rPr>
      </w:pPr>
    </w:p>
    <w:p w14:paraId="410A2BB5" w14:textId="1B05E312" w:rsidR="003B2CF8" w:rsidRPr="00EB3D94" w:rsidRDefault="003B2CF8" w:rsidP="00BC4866">
      <w:pPr>
        <w:pStyle w:val="Default"/>
        <w:rPr>
          <w:color w:val="auto"/>
          <w:sz w:val="22"/>
          <w:szCs w:val="22"/>
          <w:lang w:val="es-ES"/>
        </w:rPr>
      </w:pPr>
      <w:r w:rsidRPr="00EB3D94">
        <w:rPr>
          <w:color w:val="auto"/>
          <w:sz w:val="22"/>
          <w:szCs w:val="22"/>
          <w:lang w:val="es-ES"/>
        </w:rPr>
        <w:t xml:space="preserve">La duración de la UTE </w:t>
      </w:r>
      <w:r w:rsidR="00982820" w:rsidRPr="00EB3D94">
        <w:rPr>
          <w:color w:val="auto"/>
          <w:sz w:val="22"/>
          <w:szCs w:val="22"/>
          <w:lang w:val="es-ES"/>
        </w:rPr>
        <w:t xml:space="preserve">debe </w:t>
      </w:r>
      <w:r w:rsidRPr="00EB3D94">
        <w:rPr>
          <w:color w:val="auto"/>
          <w:sz w:val="22"/>
          <w:szCs w:val="22"/>
          <w:lang w:val="es-ES"/>
        </w:rPr>
        <w:t>coincidir, al menos, con la del contrato hasta su extinción.</w:t>
      </w:r>
    </w:p>
    <w:p w14:paraId="3E3BA7F4" w14:textId="77777777" w:rsidR="00840D46" w:rsidRPr="00EB3D94" w:rsidRDefault="00840D46" w:rsidP="00BC4866">
      <w:pPr>
        <w:pStyle w:val="Default"/>
        <w:rPr>
          <w:color w:val="auto"/>
          <w:sz w:val="22"/>
          <w:szCs w:val="22"/>
          <w:lang w:val="es-ES"/>
        </w:rPr>
      </w:pPr>
    </w:p>
    <w:p w14:paraId="11A71662" w14:textId="657A5E13" w:rsidR="00840D46" w:rsidRPr="00EB3D94" w:rsidRDefault="00840D46" w:rsidP="00BC4866">
      <w:pPr>
        <w:pStyle w:val="Default"/>
        <w:jc w:val="both"/>
        <w:rPr>
          <w:color w:val="auto"/>
          <w:sz w:val="22"/>
          <w:szCs w:val="22"/>
          <w:lang w:val="es-ES"/>
        </w:rPr>
      </w:pPr>
      <w:r w:rsidRPr="00EB3D94">
        <w:rPr>
          <w:color w:val="auto"/>
          <w:sz w:val="22"/>
          <w:szCs w:val="22"/>
          <w:lang w:val="es-ES"/>
        </w:rPr>
        <w:t xml:space="preserve">A efectos de la licitación, los empresarios que deseen concurrir integrados en una unión temporal </w:t>
      </w:r>
      <w:r w:rsidR="00A25938" w:rsidRPr="00EB3D94">
        <w:rPr>
          <w:color w:val="auto"/>
          <w:sz w:val="22"/>
          <w:szCs w:val="22"/>
          <w:lang w:val="es-ES"/>
        </w:rPr>
        <w:t xml:space="preserve">deberán </w:t>
      </w:r>
      <w:r w:rsidRPr="00EB3D94">
        <w:rPr>
          <w:color w:val="auto"/>
          <w:sz w:val="22"/>
          <w:szCs w:val="22"/>
          <w:lang w:val="es-ES"/>
        </w:rPr>
        <w:t>indicar los nombres y los circunstancias de los que la constituyan y la participación de cada uno, así como que asuman el compromiso de constituirse formalmente en una unión temporal en caso de resultar adjudicatarios del contrato.</w:t>
      </w:r>
    </w:p>
    <w:p w14:paraId="52125FCE" w14:textId="77777777" w:rsidR="004E1500" w:rsidRPr="00EB3D94" w:rsidRDefault="004E1500" w:rsidP="00BC4866">
      <w:pPr>
        <w:pStyle w:val="Default"/>
        <w:rPr>
          <w:color w:val="auto"/>
          <w:sz w:val="22"/>
          <w:szCs w:val="22"/>
          <w:lang w:val="es-ES"/>
        </w:rPr>
      </w:pPr>
    </w:p>
    <w:p w14:paraId="25F23023" w14:textId="77777777" w:rsidR="005D2C11" w:rsidRPr="00EB3D94" w:rsidRDefault="001517B1" w:rsidP="00BC4866">
      <w:pPr>
        <w:pStyle w:val="CM25"/>
        <w:spacing w:after="0"/>
        <w:jc w:val="both"/>
        <w:rPr>
          <w:rFonts w:cs="Arial"/>
          <w:sz w:val="22"/>
          <w:szCs w:val="22"/>
          <w:lang w:val="es-ES"/>
        </w:rPr>
      </w:pPr>
      <w:r w:rsidRPr="00EB3D94">
        <w:rPr>
          <w:rFonts w:cs="Arial"/>
          <w:sz w:val="22"/>
          <w:szCs w:val="22"/>
          <w:lang w:val="es-ES"/>
        </w:rPr>
        <w:t>Las empresas que hayan participado en la elaboración de las especificaciones técnicas o de los documentos preparatorios del contrato o hayan asesorado en el órgano de contratación durante la preparación del procedimiento de contratación, pueden participar en la licitación siempre que se garantice que su participación no falsea la competencia.</w:t>
      </w:r>
    </w:p>
    <w:p w14:paraId="572D816F" w14:textId="77777777" w:rsidR="004E1500" w:rsidRPr="00EB3D94" w:rsidRDefault="004E1500" w:rsidP="00BC4866">
      <w:pPr>
        <w:pStyle w:val="Default"/>
        <w:rPr>
          <w:color w:val="auto"/>
          <w:lang w:val="es-ES"/>
        </w:rPr>
      </w:pPr>
    </w:p>
    <w:p w14:paraId="07CB6D8C" w14:textId="45CB8C76" w:rsidR="00E33867" w:rsidRPr="00EB3D94" w:rsidRDefault="005D2C11" w:rsidP="00BC4866">
      <w:pPr>
        <w:pStyle w:val="Default"/>
        <w:jc w:val="both"/>
        <w:rPr>
          <w:color w:val="auto"/>
          <w:sz w:val="22"/>
          <w:szCs w:val="22"/>
          <w:lang w:val="es-ES"/>
        </w:rPr>
      </w:pPr>
      <w:r w:rsidRPr="00EB3D94">
        <w:rPr>
          <w:color w:val="auto"/>
          <w:sz w:val="22"/>
          <w:szCs w:val="22"/>
          <w:lang w:val="es-ES"/>
        </w:rPr>
        <w:t xml:space="preserve">Las empresas licitadoras o candidatas </w:t>
      </w:r>
      <w:r w:rsidR="00A25938" w:rsidRPr="00EB3D94">
        <w:rPr>
          <w:color w:val="auto"/>
          <w:sz w:val="22"/>
          <w:szCs w:val="22"/>
          <w:lang w:val="es-ES"/>
        </w:rPr>
        <w:t xml:space="preserve">deben </w:t>
      </w:r>
      <w:r w:rsidRPr="00EB3D94">
        <w:rPr>
          <w:color w:val="auto"/>
          <w:sz w:val="22"/>
          <w:szCs w:val="22"/>
          <w:lang w:val="es-ES"/>
        </w:rPr>
        <w:t xml:space="preserve">manifestar que han tenido en cuenta, </w:t>
      </w:r>
      <w:proofErr w:type="gramStart"/>
      <w:r w:rsidR="00E10E92" w:rsidRPr="00EB3D94">
        <w:rPr>
          <w:color w:val="auto"/>
          <w:sz w:val="22"/>
          <w:szCs w:val="22"/>
          <w:lang w:val="es-ES"/>
        </w:rPr>
        <w:t xml:space="preserve">al  </w:t>
      </w:r>
      <w:r w:rsidRPr="00EB3D94">
        <w:rPr>
          <w:color w:val="auto"/>
          <w:sz w:val="22"/>
          <w:szCs w:val="22"/>
          <w:lang w:val="es-ES"/>
        </w:rPr>
        <w:t>elaborar</w:t>
      </w:r>
      <w:proofErr w:type="gramEnd"/>
      <w:r w:rsidRPr="00EB3D94">
        <w:rPr>
          <w:color w:val="auto"/>
          <w:sz w:val="22"/>
          <w:szCs w:val="22"/>
          <w:lang w:val="es-ES"/>
        </w:rPr>
        <w:t xml:space="preserve"> las ofertas, las obligaciones derivadas de las disposiciones vigentes en materia de protección </w:t>
      </w:r>
      <w:r w:rsidR="00C176DF" w:rsidRPr="00EB3D94">
        <w:rPr>
          <w:color w:val="auto"/>
          <w:sz w:val="22"/>
          <w:szCs w:val="22"/>
          <w:lang w:val="es-ES"/>
        </w:rPr>
        <w:t>del empleo</w:t>
      </w:r>
      <w:r w:rsidRPr="00EB3D94">
        <w:rPr>
          <w:vanish/>
          <w:color w:val="auto"/>
          <w:sz w:val="22"/>
          <w:szCs w:val="22"/>
          <w:lang w:val="es-ES"/>
        </w:rPr>
        <w:t>&lt;A[empleo|ocupación]&gt;</w:t>
      </w:r>
      <w:r w:rsidRPr="00EB3D94">
        <w:rPr>
          <w:color w:val="auto"/>
          <w:sz w:val="22"/>
          <w:szCs w:val="22"/>
          <w:lang w:val="es-ES"/>
        </w:rPr>
        <w:t>, condiciones de trabajo y prevención de riesgos laborales y protección del medio ambiente.</w:t>
      </w:r>
      <w:r w:rsidR="00076B2E" w:rsidRPr="00EB3D94">
        <w:rPr>
          <w:color w:val="auto"/>
          <w:sz w:val="22"/>
          <w:szCs w:val="22"/>
          <w:lang w:val="es-ES"/>
        </w:rPr>
        <w:t xml:space="preserve"> </w:t>
      </w:r>
    </w:p>
    <w:p w14:paraId="22364EC1" w14:textId="77777777" w:rsidR="006425AA" w:rsidRPr="00EB3D94" w:rsidRDefault="006425AA" w:rsidP="00BC4866">
      <w:pPr>
        <w:pStyle w:val="Default"/>
        <w:jc w:val="both"/>
        <w:rPr>
          <w:color w:val="auto"/>
          <w:sz w:val="22"/>
          <w:szCs w:val="22"/>
          <w:lang w:val="es-ES"/>
        </w:rPr>
      </w:pPr>
    </w:p>
    <w:p w14:paraId="1878131D" w14:textId="77777777" w:rsidR="00900BF8" w:rsidRPr="00EB3D94" w:rsidRDefault="00C300F3" w:rsidP="00BC4866">
      <w:pPr>
        <w:pStyle w:val="CM25"/>
        <w:numPr>
          <w:ilvl w:val="0"/>
          <w:numId w:val="2"/>
        </w:numPr>
        <w:spacing w:line="276" w:lineRule="atLeast"/>
        <w:jc w:val="both"/>
        <w:rPr>
          <w:rFonts w:cs="Arial"/>
          <w:b/>
          <w:bCs/>
          <w:sz w:val="22"/>
          <w:szCs w:val="22"/>
          <w:lang w:val="es-ES"/>
        </w:rPr>
      </w:pPr>
      <w:r w:rsidRPr="00EB3D94">
        <w:rPr>
          <w:rFonts w:cs="Arial"/>
          <w:b/>
          <w:bCs/>
          <w:sz w:val="22"/>
          <w:szCs w:val="22"/>
          <w:lang w:val="es-ES"/>
        </w:rPr>
        <w:t xml:space="preserve">Solvencia y </w:t>
      </w:r>
      <w:r w:rsidR="00E10E92" w:rsidRPr="00EB3D94">
        <w:rPr>
          <w:rFonts w:cs="Arial"/>
          <w:b/>
          <w:bCs/>
          <w:sz w:val="22"/>
          <w:szCs w:val="22"/>
          <w:lang w:val="es-ES"/>
        </w:rPr>
        <w:t>c</w:t>
      </w:r>
      <w:r w:rsidR="00900BF8" w:rsidRPr="00EB3D94">
        <w:rPr>
          <w:rFonts w:cs="Arial"/>
          <w:b/>
          <w:bCs/>
          <w:sz w:val="22"/>
          <w:szCs w:val="22"/>
          <w:lang w:val="es-ES"/>
        </w:rPr>
        <w:t xml:space="preserve">lasificación </w:t>
      </w:r>
    </w:p>
    <w:p w14:paraId="51820092" w14:textId="2AE63909" w:rsidR="00B16731" w:rsidRPr="00EB3D94" w:rsidRDefault="00D21EE9" w:rsidP="00BC4866">
      <w:pPr>
        <w:tabs>
          <w:tab w:val="left" w:pos="0"/>
        </w:tabs>
        <w:suppressAutoHyphens/>
        <w:spacing w:after="120"/>
        <w:jc w:val="both"/>
        <w:rPr>
          <w:rFonts w:cs="Arial"/>
          <w:szCs w:val="22"/>
          <w:lang w:val="es-ES"/>
        </w:rPr>
      </w:pPr>
      <w:r w:rsidRPr="00EB3D94">
        <w:rPr>
          <w:rFonts w:cs="Arial"/>
          <w:szCs w:val="22"/>
          <w:lang w:val="es-ES"/>
        </w:rPr>
        <w:t xml:space="preserve">Los licitadores </w:t>
      </w:r>
      <w:r w:rsidR="00A25938" w:rsidRPr="00EB3D94">
        <w:rPr>
          <w:rFonts w:cs="Arial"/>
          <w:szCs w:val="22"/>
          <w:lang w:val="es-ES"/>
        </w:rPr>
        <w:t xml:space="preserve">deberán </w:t>
      </w:r>
      <w:r w:rsidRPr="00EB3D94">
        <w:rPr>
          <w:rFonts w:cs="Arial"/>
          <w:szCs w:val="22"/>
          <w:lang w:val="es-ES"/>
        </w:rPr>
        <w:t xml:space="preserve">acreditar que cumplen </w:t>
      </w:r>
      <w:r w:rsidR="001517B1" w:rsidRPr="00EB3D94">
        <w:rPr>
          <w:rFonts w:cs="Arial"/>
          <w:szCs w:val="22"/>
          <w:lang w:val="es-ES"/>
        </w:rPr>
        <w:t>los requisitos mínimos</w:t>
      </w:r>
      <w:r w:rsidRPr="00EB3D94">
        <w:rPr>
          <w:rFonts w:cs="Arial"/>
          <w:szCs w:val="22"/>
          <w:lang w:val="es-ES"/>
        </w:rPr>
        <w:t xml:space="preserve"> de solvencia económica, financiera y técnica o profesional que, </w:t>
      </w:r>
      <w:r w:rsidR="00B61069" w:rsidRPr="00EB3D94">
        <w:rPr>
          <w:rFonts w:cs="Arial"/>
          <w:szCs w:val="22"/>
          <w:lang w:val="es-ES"/>
        </w:rPr>
        <w:t>de acuerdo con los artículos 87</w:t>
      </w:r>
      <w:r w:rsidR="0076435B" w:rsidRPr="00EB3D94">
        <w:rPr>
          <w:rFonts w:cs="Arial"/>
          <w:szCs w:val="22"/>
          <w:lang w:val="es-ES"/>
        </w:rPr>
        <w:t xml:space="preserve"> y 90</w:t>
      </w:r>
      <w:r w:rsidRPr="00EB3D94">
        <w:rPr>
          <w:rFonts w:cs="Arial"/>
          <w:szCs w:val="22"/>
          <w:lang w:val="es-ES"/>
        </w:rPr>
        <w:t xml:space="preserve"> </w:t>
      </w:r>
      <w:r w:rsidR="00D4654E" w:rsidRPr="00EB3D94">
        <w:rPr>
          <w:rFonts w:cs="Arial"/>
          <w:szCs w:val="22"/>
          <w:lang w:val="es-ES"/>
        </w:rPr>
        <w:t>LCSP</w:t>
      </w:r>
      <w:r w:rsidRPr="00EB3D94">
        <w:rPr>
          <w:rFonts w:cs="Arial"/>
          <w:szCs w:val="22"/>
          <w:lang w:val="es-ES"/>
        </w:rPr>
        <w:t xml:space="preserve">, se determinan en </w:t>
      </w:r>
      <w:r w:rsidR="0062608C" w:rsidRPr="00EB3D94">
        <w:rPr>
          <w:b/>
          <w:bCs/>
          <w:szCs w:val="22"/>
          <w:lang w:val="es-ES"/>
        </w:rPr>
        <w:t xml:space="preserve">la cláusula séptima de </w:t>
      </w:r>
      <w:r w:rsidR="001E0739" w:rsidRPr="00EB3D94">
        <w:rPr>
          <w:b/>
          <w:bCs/>
          <w:szCs w:val="22"/>
          <w:lang w:val="es-ES"/>
        </w:rPr>
        <w:t>este pliego</w:t>
      </w:r>
      <w:r w:rsidR="0062608C" w:rsidRPr="00EB3D94">
        <w:rPr>
          <w:b/>
          <w:bCs/>
          <w:vanish/>
          <w:szCs w:val="22"/>
          <w:lang w:val="es-ES"/>
        </w:rPr>
        <w:t>&lt;A[pliegue|pliego]&gt;</w:t>
      </w:r>
    </w:p>
    <w:p w14:paraId="035CD45C" w14:textId="2B81FE39" w:rsidR="00784ACA" w:rsidRPr="00EB3D94" w:rsidRDefault="00784ACA" w:rsidP="00BC4866">
      <w:pPr>
        <w:pStyle w:val="Textindependent"/>
        <w:autoSpaceDE w:val="0"/>
        <w:autoSpaceDN w:val="0"/>
        <w:adjustRightInd w:val="0"/>
        <w:rPr>
          <w:rFonts w:cs="Arial"/>
          <w:szCs w:val="22"/>
          <w:lang w:val="es-ES"/>
        </w:rPr>
      </w:pPr>
      <w:r w:rsidRPr="00EB3D94">
        <w:rPr>
          <w:rFonts w:cs="Arial"/>
          <w:szCs w:val="22"/>
          <w:u w:val="single"/>
          <w:lang w:val="es-ES"/>
        </w:rPr>
        <w:t>En las uniones temporales de empresas</w:t>
      </w:r>
      <w:r w:rsidRPr="00EB3D94">
        <w:rPr>
          <w:rFonts w:cs="Arial"/>
          <w:szCs w:val="22"/>
          <w:lang w:val="es-ES"/>
        </w:rPr>
        <w:t xml:space="preserve">, todas las empresas que forman parte </w:t>
      </w:r>
      <w:r w:rsidR="00A25938" w:rsidRPr="00EB3D94">
        <w:rPr>
          <w:rFonts w:cs="Arial"/>
          <w:szCs w:val="22"/>
          <w:lang w:val="es-ES"/>
        </w:rPr>
        <w:t xml:space="preserve">deben </w:t>
      </w:r>
      <w:r w:rsidRPr="00EB3D94">
        <w:rPr>
          <w:rFonts w:cs="Arial"/>
          <w:szCs w:val="22"/>
          <w:lang w:val="es-ES"/>
        </w:rPr>
        <w:t>acreditar su solvencia, de conformidad con</w:t>
      </w:r>
      <w:r w:rsidR="0076435B" w:rsidRPr="00EB3D94">
        <w:rPr>
          <w:rFonts w:cs="Arial"/>
          <w:szCs w:val="22"/>
          <w:lang w:val="es-ES"/>
        </w:rPr>
        <w:t xml:space="preserve"> lo que disponen los artículos 87 y 90</w:t>
      </w:r>
      <w:r w:rsidRPr="00EB3D94">
        <w:rPr>
          <w:rFonts w:cs="Arial"/>
          <w:szCs w:val="22"/>
          <w:lang w:val="es-ES"/>
        </w:rPr>
        <w:t xml:space="preserve"> </w:t>
      </w:r>
      <w:r w:rsidR="00D4654E" w:rsidRPr="00EB3D94">
        <w:rPr>
          <w:rFonts w:cs="Arial"/>
          <w:szCs w:val="22"/>
          <w:lang w:val="es-ES"/>
        </w:rPr>
        <w:t>LCSP</w:t>
      </w:r>
      <w:r w:rsidRPr="00EB3D94">
        <w:rPr>
          <w:rFonts w:cs="Arial"/>
          <w:szCs w:val="22"/>
          <w:lang w:val="es-ES"/>
        </w:rPr>
        <w:t xml:space="preserve">. Con el fin de determinar la solvencia de la unión temporal, se acumula la acreditada por cada una de sus integrantes. </w:t>
      </w:r>
    </w:p>
    <w:p w14:paraId="1B4B6F71" w14:textId="77777777" w:rsidR="008934A0" w:rsidRPr="00EB3D94" w:rsidRDefault="008934A0" w:rsidP="00BC4866">
      <w:pPr>
        <w:pStyle w:val="Textindependent"/>
        <w:autoSpaceDE w:val="0"/>
        <w:autoSpaceDN w:val="0"/>
        <w:adjustRightInd w:val="0"/>
        <w:rPr>
          <w:rFonts w:cs="Arial"/>
          <w:szCs w:val="22"/>
          <w:lang w:val="es-ES"/>
        </w:rPr>
      </w:pPr>
    </w:p>
    <w:p w14:paraId="37FF075C" w14:textId="77777777" w:rsidR="0062608C" w:rsidRPr="00EB3D94" w:rsidRDefault="00784ACA" w:rsidP="00BC4866">
      <w:pPr>
        <w:pStyle w:val="Textindependent"/>
        <w:autoSpaceDE w:val="0"/>
        <w:autoSpaceDN w:val="0"/>
        <w:adjustRightInd w:val="0"/>
        <w:rPr>
          <w:rFonts w:cs="Arial"/>
          <w:szCs w:val="22"/>
          <w:lang w:val="es-ES"/>
        </w:rPr>
      </w:pPr>
      <w:r w:rsidRPr="00EB3D94">
        <w:rPr>
          <w:rFonts w:cs="Arial"/>
          <w:szCs w:val="22"/>
          <w:lang w:val="es-ES"/>
        </w:rPr>
        <w:t xml:space="preserve">En el caso </w:t>
      </w:r>
      <w:r w:rsidRPr="00EB3D94">
        <w:rPr>
          <w:rFonts w:cs="Arial"/>
          <w:szCs w:val="22"/>
          <w:u w:val="single"/>
          <w:lang w:val="es-ES"/>
        </w:rPr>
        <w:t>de empresas licitadoras no españolas de Estados miembros de la Unión Europea</w:t>
      </w:r>
      <w:r w:rsidRPr="00EB3D94">
        <w:rPr>
          <w:rFonts w:cs="Arial"/>
          <w:szCs w:val="22"/>
          <w:lang w:val="es-ES"/>
        </w:rPr>
        <w:t xml:space="preserve"> o signatarios del Acuerdo sobre Espacio Económico Europeo, hay que estar</w:t>
      </w:r>
      <w:r w:rsidR="00426D60" w:rsidRPr="00EB3D94">
        <w:rPr>
          <w:rFonts w:cs="Arial"/>
          <w:szCs w:val="22"/>
          <w:lang w:val="es-ES"/>
        </w:rPr>
        <w:t xml:space="preserve"> a lo que disponen los artículos 66.1 y 84</w:t>
      </w:r>
      <w:r w:rsidRPr="00EB3D94">
        <w:rPr>
          <w:rFonts w:cs="Arial"/>
          <w:szCs w:val="22"/>
          <w:lang w:val="es-ES"/>
        </w:rPr>
        <w:t xml:space="preserve"> </w:t>
      </w:r>
      <w:r w:rsidR="00D4654E" w:rsidRPr="00EB3D94">
        <w:rPr>
          <w:rFonts w:cs="Arial"/>
          <w:szCs w:val="22"/>
          <w:lang w:val="es-ES"/>
        </w:rPr>
        <w:t>TRLCSP</w:t>
      </w:r>
      <w:r w:rsidRPr="00EB3D94">
        <w:rPr>
          <w:rFonts w:cs="Arial"/>
          <w:szCs w:val="22"/>
          <w:lang w:val="es-ES"/>
        </w:rPr>
        <w:t xml:space="preserve"> y el artículo 9.2 RGLCAP.</w:t>
      </w:r>
      <w:r w:rsidR="00DC1154" w:rsidRPr="00EB3D94">
        <w:rPr>
          <w:rFonts w:cs="Arial"/>
          <w:szCs w:val="22"/>
          <w:lang w:val="es-ES"/>
        </w:rPr>
        <w:t xml:space="preserve"> </w:t>
      </w:r>
    </w:p>
    <w:p w14:paraId="4DCA2EEF" w14:textId="77777777" w:rsidR="00C11573" w:rsidRPr="00EB3D94" w:rsidRDefault="00C11573" w:rsidP="00BC4866">
      <w:pPr>
        <w:pStyle w:val="Textindependent"/>
        <w:autoSpaceDE w:val="0"/>
        <w:autoSpaceDN w:val="0"/>
        <w:adjustRightInd w:val="0"/>
        <w:rPr>
          <w:rFonts w:cs="Arial"/>
          <w:szCs w:val="22"/>
          <w:lang w:val="es-ES"/>
        </w:rPr>
      </w:pPr>
    </w:p>
    <w:p w14:paraId="607770D9" w14:textId="0AA9A19F" w:rsidR="008934A0" w:rsidRPr="00EB3D94" w:rsidRDefault="008934A0" w:rsidP="00BC4866">
      <w:pPr>
        <w:tabs>
          <w:tab w:val="left" w:pos="0"/>
        </w:tabs>
        <w:suppressAutoHyphens/>
        <w:spacing w:after="120"/>
        <w:jc w:val="both"/>
        <w:rPr>
          <w:rFonts w:cs="Arial"/>
          <w:szCs w:val="22"/>
          <w:lang w:val="es-ES"/>
        </w:rPr>
      </w:pPr>
      <w:r w:rsidRPr="00EB3D94">
        <w:rPr>
          <w:rFonts w:cs="Arial"/>
          <w:szCs w:val="22"/>
          <w:lang w:val="es-ES"/>
        </w:rPr>
        <w:t xml:space="preserve">Las empresas licitadoras </w:t>
      </w:r>
      <w:r w:rsidR="001E0739" w:rsidRPr="00EB3D94">
        <w:rPr>
          <w:rFonts w:cs="Arial"/>
          <w:szCs w:val="22"/>
          <w:lang w:val="es-ES"/>
        </w:rPr>
        <w:t>pueden recurrir</w:t>
      </w:r>
      <w:r w:rsidRPr="00EB3D94">
        <w:rPr>
          <w:rFonts w:cs="Arial"/>
          <w:szCs w:val="22"/>
          <w:lang w:val="es-ES"/>
        </w:rPr>
        <w:t xml:space="preserve"> para la ejecución del contrato a las capacidades de otras entidades, con independencia de la naturaleza jurídica de los vínculos que tengan con ellas, con el fin de acreditar su solvencia económica y financiera y técnica y profesional, siempre que estas entidades no estén incursas en prohibición de contratar y que las empresas licitadoras demuestren </w:t>
      </w:r>
      <w:r w:rsidRPr="00EB3D94">
        <w:rPr>
          <w:rFonts w:cs="Arial"/>
          <w:szCs w:val="22"/>
          <w:lang w:val="es-ES"/>
        </w:rPr>
        <w:lastRenderedPageBreak/>
        <w:t>que durante toda la duración de la ejecución del contrato dispondrán efectivamente de los recursos necesarios mediante la presentación a tal efecto del compromiso por escrito de las entidades mencionadas.</w:t>
      </w:r>
    </w:p>
    <w:p w14:paraId="61310F7E" w14:textId="77777777" w:rsidR="008934A0" w:rsidRPr="00EB3D94" w:rsidRDefault="008934A0" w:rsidP="00BC4866">
      <w:pPr>
        <w:pStyle w:val="Textindependent"/>
        <w:autoSpaceDE w:val="0"/>
        <w:autoSpaceDN w:val="0"/>
        <w:adjustRightInd w:val="0"/>
        <w:rPr>
          <w:rFonts w:cs="Arial"/>
          <w:szCs w:val="22"/>
          <w:lang w:val="es-ES"/>
        </w:rPr>
      </w:pPr>
      <w:r w:rsidRPr="00EB3D94">
        <w:rPr>
          <w:rFonts w:cs="Arial"/>
          <w:szCs w:val="22"/>
          <w:lang w:val="es-ES"/>
        </w:rPr>
        <w:t>En las mismas condiciones, las UTE pueden recurrir a las capacidades de los participantes en la unión o de otras entidades.</w:t>
      </w:r>
    </w:p>
    <w:p w14:paraId="322C4CBC" w14:textId="77777777" w:rsidR="00555F1E" w:rsidRPr="00EB3D94" w:rsidRDefault="00555F1E" w:rsidP="00BC4866">
      <w:pPr>
        <w:pStyle w:val="Textindependent"/>
        <w:autoSpaceDE w:val="0"/>
        <w:autoSpaceDN w:val="0"/>
        <w:adjustRightInd w:val="0"/>
        <w:rPr>
          <w:rFonts w:cs="Arial"/>
          <w:szCs w:val="22"/>
          <w:lang w:val="es-ES"/>
        </w:rPr>
      </w:pPr>
    </w:p>
    <w:p w14:paraId="68889AB7" w14:textId="77777777" w:rsidR="008934A0" w:rsidRPr="00EB3D94" w:rsidRDefault="00C366B2" w:rsidP="00BC4866">
      <w:pPr>
        <w:pStyle w:val="Textindependent"/>
        <w:autoSpaceDE w:val="0"/>
        <w:autoSpaceDN w:val="0"/>
        <w:adjustRightInd w:val="0"/>
        <w:rPr>
          <w:rFonts w:cs="Arial"/>
          <w:szCs w:val="22"/>
          <w:lang w:val="es-ES"/>
        </w:rPr>
      </w:pPr>
      <w:r w:rsidRPr="00EB3D94">
        <w:rPr>
          <w:rFonts w:cs="Arial"/>
          <w:szCs w:val="22"/>
          <w:lang w:val="es-ES"/>
        </w:rPr>
        <w:t>Si una empresa recurre a las capacidades de otras entidades con respecto a los requisitos de solvencia económica y financiera, se podrá exigir formas de responsabilidad conjunta entre la empresa y las entidades mencionadas en la ejecución del contrato, incl</w:t>
      </w:r>
      <w:r w:rsidR="009538B7" w:rsidRPr="00EB3D94">
        <w:rPr>
          <w:rFonts w:cs="Arial"/>
          <w:szCs w:val="22"/>
          <w:lang w:val="es-ES"/>
        </w:rPr>
        <w:t>uso</w:t>
      </w:r>
      <w:r w:rsidRPr="00EB3D94">
        <w:rPr>
          <w:rFonts w:cs="Arial"/>
          <w:szCs w:val="22"/>
          <w:lang w:val="es-ES"/>
        </w:rPr>
        <w:t xml:space="preserve"> que sean responsables solidariamente.</w:t>
      </w:r>
    </w:p>
    <w:p w14:paraId="5BA45730" w14:textId="77777777" w:rsidR="00C366B2" w:rsidRPr="00EB3D94" w:rsidRDefault="00C366B2" w:rsidP="00BC4866">
      <w:pPr>
        <w:pStyle w:val="Textindependent"/>
        <w:autoSpaceDE w:val="0"/>
        <w:autoSpaceDN w:val="0"/>
        <w:adjustRightInd w:val="0"/>
        <w:rPr>
          <w:rFonts w:cs="Arial"/>
          <w:szCs w:val="22"/>
          <w:lang w:val="es-ES"/>
        </w:rPr>
      </w:pPr>
    </w:p>
    <w:p w14:paraId="4AB1BE2E" w14:textId="32A796C9" w:rsidR="00784ACA" w:rsidRPr="00EB3D94" w:rsidRDefault="00784ACA" w:rsidP="00BC4866">
      <w:pPr>
        <w:pStyle w:val="Textindependent"/>
        <w:autoSpaceDE w:val="0"/>
        <w:autoSpaceDN w:val="0"/>
        <w:adjustRightInd w:val="0"/>
        <w:rPr>
          <w:rFonts w:cs="Arial"/>
          <w:szCs w:val="22"/>
          <w:lang w:val="es-ES"/>
        </w:rPr>
      </w:pPr>
      <w:r w:rsidRPr="00EB3D94">
        <w:rPr>
          <w:rFonts w:cs="Arial"/>
          <w:szCs w:val="22"/>
          <w:lang w:val="es-ES"/>
        </w:rPr>
        <w:t>La Mesa o el ór</w:t>
      </w:r>
      <w:r w:rsidR="00861554" w:rsidRPr="00EB3D94">
        <w:rPr>
          <w:rFonts w:cs="Arial"/>
          <w:szCs w:val="22"/>
          <w:lang w:val="es-ES"/>
        </w:rPr>
        <w:t>gano de contratación podrá recab</w:t>
      </w:r>
      <w:r w:rsidRPr="00EB3D94">
        <w:rPr>
          <w:rFonts w:cs="Arial"/>
          <w:szCs w:val="22"/>
          <w:lang w:val="es-ES"/>
        </w:rPr>
        <w:t>ar del empresario aclaraciones sobre los certificados y documentos presenta</w:t>
      </w:r>
      <w:r w:rsidR="001E0739" w:rsidRPr="00EB3D94">
        <w:rPr>
          <w:rFonts w:cs="Arial"/>
          <w:szCs w:val="22"/>
          <w:lang w:val="es-ES"/>
        </w:rPr>
        <w:t>do</w:t>
      </w:r>
      <w:r w:rsidRPr="00EB3D94">
        <w:rPr>
          <w:rFonts w:cs="Arial"/>
          <w:szCs w:val="22"/>
          <w:lang w:val="es-ES"/>
        </w:rPr>
        <w:t>s,</w:t>
      </w:r>
      <w:r w:rsidR="001E0739" w:rsidRPr="00EB3D94">
        <w:rPr>
          <w:rFonts w:cs="Arial"/>
          <w:szCs w:val="22"/>
          <w:lang w:val="es-ES"/>
        </w:rPr>
        <w:t xml:space="preserve"> </w:t>
      </w:r>
      <w:r w:rsidRPr="00EB3D94">
        <w:rPr>
          <w:rFonts w:cs="Arial"/>
          <w:szCs w:val="22"/>
          <w:lang w:val="es-ES"/>
        </w:rPr>
        <w:t>o requerirlo para la presentación de otros complementarios.</w:t>
      </w:r>
    </w:p>
    <w:p w14:paraId="1FD9BA36" w14:textId="77777777" w:rsidR="00B16731" w:rsidRPr="00EB3D94" w:rsidRDefault="00B16731" w:rsidP="00BC4866">
      <w:pPr>
        <w:autoSpaceDE w:val="0"/>
        <w:autoSpaceDN w:val="0"/>
        <w:adjustRightInd w:val="0"/>
        <w:jc w:val="both"/>
        <w:rPr>
          <w:rFonts w:cs="Arial"/>
          <w:szCs w:val="22"/>
          <w:lang w:val="es-ES"/>
        </w:rPr>
      </w:pPr>
    </w:p>
    <w:p w14:paraId="7EC978BD" w14:textId="77777777" w:rsidR="00784ACA" w:rsidRPr="00EB3D94" w:rsidRDefault="005844DC" w:rsidP="00BC4866">
      <w:pPr>
        <w:jc w:val="both"/>
        <w:rPr>
          <w:szCs w:val="22"/>
          <w:lang w:val="es-ES"/>
        </w:rPr>
      </w:pPr>
      <w:r w:rsidRPr="00EB3D94">
        <w:rPr>
          <w:szCs w:val="22"/>
          <w:lang w:val="es-ES"/>
        </w:rPr>
        <w:t>Será causa de exclusión</w:t>
      </w:r>
      <w:r w:rsidR="005D2C11" w:rsidRPr="00EB3D94">
        <w:rPr>
          <w:szCs w:val="22"/>
          <w:lang w:val="es-ES"/>
        </w:rPr>
        <w:t xml:space="preserve"> la no presentación de todos y cada uno de los documentos solicitados para la acreditación de la solvencia</w:t>
      </w:r>
      <w:r w:rsidRPr="00EB3D94">
        <w:rPr>
          <w:szCs w:val="22"/>
          <w:lang w:val="es-ES"/>
        </w:rPr>
        <w:t>.</w:t>
      </w:r>
    </w:p>
    <w:p w14:paraId="1229E3AC" w14:textId="77777777" w:rsidR="000D7224" w:rsidRPr="00EB3D94" w:rsidRDefault="000D7224" w:rsidP="00BC4866">
      <w:pPr>
        <w:jc w:val="both"/>
        <w:rPr>
          <w:szCs w:val="22"/>
          <w:lang w:val="es-ES"/>
        </w:rPr>
      </w:pPr>
    </w:p>
    <w:p w14:paraId="6C0FFE72" w14:textId="77777777" w:rsidR="00CD6123" w:rsidRPr="00EB3D94" w:rsidRDefault="00CD6123" w:rsidP="00BC4866">
      <w:pPr>
        <w:jc w:val="both"/>
        <w:rPr>
          <w:b/>
          <w:szCs w:val="22"/>
          <w:lang w:val="es-ES"/>
        </w:rPr>
      </w:pPr>
      <w:r w:rsidRPr="00EB3D94">
        <w:rPr>
          <w:b/>
          <w:szCs w:val="22"/>
          <w:lang w:val="es-ES"/>
        </w:rPr>
        <w:t xml:space="preserve">Séptima: </w:t>
      </w:r>
      <w:r w:rsidRPr="00EB3D94">
        <w:rPr>
          <w:b/>
          <w:szCs w:val="22"/>
          <w:u w:val="single"/>
          <w:lang w:val="es-ES"/>
        </w:rPr>
        <w:t>Acreditación de la solvencia del contratista y habilitación profesional</w:t>
      </w:r>
    </w:p>
    <w:p w14:paraId="3CA147C3" w14:textId="77777777" w:rsidR="00313571" w:rsidRPr="00EB3D94" w:rsidRDefault="00313571" w:rsidP="00BC4866">
      <w:pPr>
        <w:jc w:val="both"/>
        <w:rPr>
          <w:szCs w:val="22"/>
          <w:lang w:val="es-ES"/>
        </w:rPr>
      </w:pPr>
    </w:p>
    <w:p w14:paraId="124AD07F" w14:textId="77777777" w:rsidR="0026662A" w:rsidRPr="00EB3D94" w:rsidRDefault="0026662A" w:rsidP="00BC4866">
      <w:pPr>
        <w:autoSpaceDE w:val="0"/>
        <w:autoSpaceDN w:val="0"/>
        <w:adjustRightInd w:val="0"/>
        <w:jc w:val="both"/>
        <w:rPr>
          <w:rFonts w:cs="Arial"/>
          <w:bCs/>
          <w:szCs w:val="22"/>
          <w:lang w:val="es-ES"/>
        </w:rPr>
      </w:pPr>
      <w:r w:rsidRPr="00EB3D94">
        <w:rPr>
          <w:rFonts w:cs="Arial"/>
          <w:bCs/>
          <w:szCs w:val="22"/>
          <w:lang w:val="es-ES"/>
        </w:rPr>
        <w:t>Será causa de exclusión la no presentación de todos y cada uno de los documentos solicitados para la acreditación de la solvencia requeridos en esta cláusula.</w:t>
      </w:r>
    </w:p>
    <w:p w14:paraId="5B2D44A5" w14:textId="77777777" w:rsidR="0026662A" w:rsidRPr="00EB3D94" w:rsidRDefault="0026662A" w:rsidP="00BC4866">
      <w:pPr>
        <w:jc w:val="both"/>
        <w:rPr>
          <w:szCs w:val="22"/>
          <w:lang w:val="es-ES"/>
        </w:rPr>
      </w:pPr>
    </w:p>
    <w:p w14:paraId="72AF43BB" w14:textId="735329ED" w:rsidR="00313571" w:rsidRPr="00EB3D94" w:rsidRDefault="00313571" w:rsidP="00BC4866">
      <w:pPr>
        <w:numPr>
          <w:ilvl w:val="0"/>
          <w:numId w:val="17"/>
        </w:numPr>
        <w:jc w:val="both"/>
        <w:rPr>
          <w:szCs w:val="22"/>
          <w:lang w:val="es-ES"/>
        </w:rPr>
      </w:pPr>
      <w:r w:rsidRPr="00EB3D94">
        <w:rPr>
          <w:b/>
          <w:szCs w:val="22"/>
          <w:lang w:val="es-ES"/>
        </w:rPr>
        <w:t xml:space="preserve">1.- </w:t>
      </w:r>
      <w:r w:rsidRPr="00EB3D94">
        <w:rPr>
          <w:szCs w:val="22"/>
          <w:lang w:val="es-ES"/>
        </w:rPr>
        <w:t xml:space="preserve">Las entidades financieras licitadoras </w:t>
      </w:r>
      <w:r w:rsidR="00A25938" w:rsidRPr="00EB3D94">
        <w:rPr>
          <w:szCs w:val="22"/>
          <w:lang w:val="es-ES"/>
        </w:rPr>
        <w:t xml:space="preserve">deberán </w:t>
      </w:r>
      <w:r w:rsidRPr="00EB3D94">
        <w:rPr>
          <w:szCs w:val="22"/>
          <w:lang w:val="es-ES"/>
        </w:rPr>
        <w:t xml:space="preserve">justificar su </w:t>
      </w:r>
      <w:r w:rsidRPr="00EB3D94">
        <w:rPr>
          <w:b/>
          <w:szCs w:val="22"/>
          <w:lang w:val="es-ES"/>
        </w:rPr>
        <w:t>solvencia económica y financiera y técnica o profesional</w:t>
      </w:r>
      <w:r w:rsidRPr="00EB3D94">
        <w:rPr>
          <w:szCs w:val="22"/>
          <w:lang w:val="es-ES"/>
        </w:rPr>
        <w:t xml:space="preserve"> aportando:</w:t>
      </w:r>
    </w:p>
    <w:p w14:paraId="48C65C50" w14:textId="77777777" w:rsidR="00313571" w:rsidRPr="00EB3D94" w:rsidRDefault="00313571" w:rsidP="00BC4866">
      <w:pPr>
        <w:jc w:val="both"/>
        <w:rPr>
          <w:szCs w:val="22"/>
          <w:lang w:val="es-ES"/>
        </w:rPr>
      </w:pPr>
    </w:p>
    <w:p w14:paraId="7CD03ACE" w14:textId="77D1CF22" w:rsidR="00CB5887" w:rsidRPr="00EB3D94" w:rsidRDefault="00EC3790" w:rsidP="00BC4866">
      <w:pPr>
        <w:pStyle w:val="Textindependent2"/>
        <w:numPr>
          <w:ilvl w:val="0"/>
          <w:numId w:val="22"/>
        </w:numPr>
        <w:spacing w:after="0" w:line="240" w:lineRule="auto"/>
        <w:jc w:val="both"/>
        <w:rPr>
          <w:rFonts w:cs="Arial"/>
          <w:bCs/>
          <w:szCs w:val="22"/>
          <w:lang w:val="es-ES"/>
        </w:rPr>
      </w:pPr>
      <w:r w:rsidRPr="00EB3D94">
        <w:rPr>
          <w:rFonts w:cs="Arial"/>
          <w:bCs/>
          <w:szCs w:val="22"/>
          <w:lang w:val="es-ES"/>
        </w:rPr>
        <w:t>La solvencia económica y financiera de las entidades licitadoras se considera acreditada con la presentación de la habilitación profesional requerida en el apartado 2 de esta cláusula</w:t>
      </w:r>
      <w:r w:rsidR="00CB5887" w:rsidRPr="00EB3D94">
        <w:rPr>
          <w:rFonts w:cs="Arial"/>
          <w:bCs/>
          <w:szCs w:val="22"/>
          <w:lang w:val="es-ES"/>
        </w:rPr>
        <w:t>.</w:t>
      </w:r>
    </w:p>
    <w:p w14:paraId="5B6CF78E" w14:textId="77777777" w:rsidR="00844039" w:rsidRPr="00EB3D94" w:rsidRDefault="00844039" w:rsidP="00BC4866">
      <w:pPr>
        <w:pStyle w:val="Textindependent2"/>
        <w:spacing w:after="0" w:line="240" w:lineRule="auto"/>
        <w:jc w:val="both"/>
        <w:rPr>
          <w:rFonts w:cs="Arial"/>
          <w:bCs/>
          <w:szCs w:val="22"/>
          <w:lang w:val="es-ES"/>
        </w:rPr>
      </w:pPr>
    </w:p>
    <w:p w14:paraId="7E61F333" w14:textId="4427CCDC" w:rsidR="00654D83" w:rsidRPr="00EB3D94" w:rsidRDefault="00555F1E" w:rsidP="00BC4866">
      <w:pPr>
        <w:widowControl w:val="0"/>
        <w:numPr>
          <w:ilvl w:val="0"/>
          <w:numId w:val="22"/>
        </w:numPr>
        <w:autoSpaceDE w:val="0"/>
        <w:autoSpaceDN w:val="0"/>
        <w:adjustRightInd w:val="0"/>
        <w:contextualSpacing/>
        <w:jc w:val="both"/>
        <w:rPr>
          <w:rFonts w:cs="Arial"/>
          <w:lang w:val="es-ES"/>
        </w:rPr>
      </w:pPr>
      <w:r w:rsidRPr="00EB3D94">
        <w:rPr>
          <w:rFonts w:cs="Arial"/>
          <w:spacing w:val="-1"/>
          <w:lang w:val="es-ES"/>
        </w:rPr>
        <w:t>E</w:t>
      </w:r>
      <w:r w:rsidRPr="00EB3D94">
        <w:rPr>
          <w:rFonts w:cs="Arial"/>
          <w:lang w:val="es-ES"/>
        </w:rPr>
        <w:t>n a</w:t>
      </w:r>
      <w:r w:rsidRPr="00EB3D94">
        <w:rPr>
          <w:rFonts w:cs="Arial"/>
          <w:spacing w:val="-1"/>
          <w:lang w:val="es-ES"/>
        </w:rPr>
        <w:t>pli</w:t>
      </w:r>
      <w:r w:rsidRPr="00EB3D94">
        <w:rPr>
          <w:rFonts w:cs="Arial"/>
          <w:lang w:val="es-ES"/>
        </w:rPr>
        <w:t>cac</w:t>
      </w:r>
      <w:r w:rsidRPr="00EB3D94">
        <w:rPr>
          <w:rFonts w:cs="Arial"/>
          <w:spacing w:val="-1"/>
          <w:lang w:val="es-ES"/>
        </w:rPr>
        <w:t>i</w:t>
      </w:r>
      <w:r w:rsidRPr="00EB3D94">
        <w:rPr>
          <w:rFonts w:cs="Arial"/>
          <w:lang w:val="es-ES"/>
        </w:rPr>
        <w:t>ón del</w:t>
      </w:r>
      <w:r w:rsidRPr="00EB3D94">
        <w:rPr>
          <w:rFonts w:cs="Arial"/>
          <w:spacing w:val="4"/>
          <w:lang w:val="es-ES"/>
        </w:rPr>
        <w:t xml:space="preserve"> </w:t>
      </w:r>
      <w:r w:rsidRPr="00EB3D94">
        <w:rPr>
          <w:rFonts w:cs="Arial"/>
          <w:lang w:val="es-ES"/>
        </w:rPr>
        <w:t>artí</w:t>
      </w:r>
      <w:r w:rsidRPr="00EB3D94">
        <w:rPr>
          <w:rFonts w:cs="Arial"/>
          <w:spacing w:val="-1"/>
          <w:lang w:val="es-ES"/>
        </w:rPr>
        <w:t>c</w:t>
      </w:r>
      <w:r w:rsidRPr="00EB3D94">
        <w:rPr>
          <w:rFonts w:cs="Arial"/>
          <w:lang w:val="es-ES"/>
        </w:rPr>
        <w:t>u</w:t>
      </w:r>
      <w:r w:rsidRPr="00EB3D94">
        <w:rPr>
          <w:rFonts w:cs="Arial"/>
          <w:spacing w:val="-1"/>
          <w:lang w:val="es-ES"/>
        </w:rPr>
        <w:t>l</w:t>
      </w:r>
      <w:r w:rsidRPr="00EB3D94">
        <w:rPr>
          <w:rFonts w:cs="Arial"/>
          <w:lang w:val="es-ES"/>
        </w:rPr>
        <w:t>o</w:t>
      </w:r>
      <w:r w:rsidRPr="00EB3D94">
        <w:rPr>
          <w:rFonts w:cs="Arial"/>
          <w:spacing w:val="3"/>
          <w:lang w:val="es-ES"/>
        </w:rPr>
        <w:t xml:space="preserve"> </w:t>
      </w:r>
      <w:r w:rsidRPr="00EB3D94">
        <w:rPr>
          <w:rFonts w:cs="Arial"/>
          <w:b/>
          <w:bCs/>
          <w:lang w:val="es-ES"/>
        </w:rPr>
        <w:t>9</w:t>
      </w:r>
      <w:r w:rsidRPr="00EB3D94">
        <w:rPr>
          <w:rFonts w:cs="Arial"/>
          <w:b/>
          <w:bCs/>
          <w:spacing w:val="-1"/>
          <w:lang w:val="es-ES"/>
        </w:rPr>
        <w:t>0</w:t>
      </w:r>
      <w:r w:rsidRPr="00EB3D94">
        <w:rPr>
          <w:rFonts w:cs="Arial"/>
          <w:b/>
          <w:bCs/>
          <w:spacing w:val="1"/>
          <w:lang w:val="es-ES"/>
        </w:rPr>
        <w:t>.</w:t>
      </w:r>
      <w:r w:rsidRPr="00EB3D94">
        <w:rPr>
          <w:rFonts w:cs="Arial"/>
          <w:b/>
          <w:bCs/>
          <w:lang w:val="es-ES"/>
        </w:rPr>
        <w:t>1</w:t>
      </w:r>
      <w:r w:rsidRPr="00EB3D94">
        <w:rPr>
          <w:rFonts w:cs="Arial"/>
          <w:b/>
          <w:bCs/>
          <w:spacing w:val="1"/>
          <w:lang w:val="es-ES"/>
        </w:rPr>
        <w:t>.</w:t>
      </w:r>
      <w:r w:rsidRPr="00EB3D94">
        <w:rPr>
          <w:rFonts w:cs="Arial"/>
          <w:b/>
          <w:bCs/>
          <w:iCs/>
          <w:lang w:val="es-ES"/>
        </w:rPr>
        <w:t>a</w:t>
      </w:r>
      <w:r w:rsidRPr="00EB3D94">
        <w:rPr>
          <w:rFonts w:cs="Arial"/>
          <w:b/>
          <w:bCs/>
          <w:i/>
          <w:iCs/>
          <w:lang w:val="es-ES"/>
        </w:rPr>
        <w:t xml:space="preserve"> </w:t>
      </w:r>
      <w:r w:rsidRPr="00EB3D94">
        <w:rPr>
          <w:rFonts w:cs="Arial"/>
          <w:lang w:val="es-ES"/>
        </w:rPr>
        <w:t xml:space="preserve">de </w:t>
      </w:r>
      <w:r w:rsidRPr="00EB3D94">
        <w:rPr>
          <w:rFonts w:cs="Arial"/>
          <w:spacing w:val="-1"/>
          <w:lang w:val="es-ES"/>
        </w:rPr>
        <w:t>l</w:t>
      </w:r>
      <w:r w:rsidRPr="00EB3D94">
        <w:rPr>
          <w:rFonts w:cs="Arial"/>
          <w:lang w:val="es-ES"/>
        </w:rPr>
        <w:t>a</w:t>
      </w:r>
      <w:r w:rsidRPr="00EB3D94">
        <w:rPr>
          <w:rFonts w:cs="Arial"/>
          <w:spacing w:val="1"/>
          <w:lang w:val="es-ES"/>
        </w:rPr>
        <w:t xml:space="preserve"> </w:t>
      </w:r>
      <w:r w:rsidRPr="00EB3D94">
        <w:rPr>
          <w:rFonts w:cs="Arial"/>
          <w:b/>
          <w:bCs/>
          <w:lang w:val="es-ES"/>
        </w:rPr>
        <w:t>L</w:t>
      </w:r>
      <w:r w:rsidRPr="00EB3D94">
        <w:rPr>
          <w:rFonts w:cs="Arial"/>
          <w:b/>
          <w:bCs/>
          <w:spacing w:val="-2"/>
          <w:lang w:val="es-ES"/>
        </w:rPr>
        <w:t>C</w:t>
      </w:r>
      <w:r w:rsidRPr="00EB3D94">
        <w:rPr>
          <w:rFonts w:cs="Arial"/>
          <w:b/>
          <w:bCs/>
          <w:spacing w:val="-1"/>
          <w:lang w:val="es-ES"/>
        </w:rPr>
        <w:t>SP</w:t>
      </w:r>
      <w:r w:rsidRPr="00EB3D94">
        <w:rPr>
          <w:rFonts w:cs="Arial"/>
          <w:lang w:val="es-ES"/>
        </w:rPr>
        <w:t>,</w:t>
      </w:r>
      <w:r w:rsidRPr="00EB3D94">
        <w:rPr>
          <w:rFonts w:cs="Arial"/>
          <w:spacing w:val="1"/>
          <w:lang w:val="es-ES"/>
        </w:rPr>
        <w:t xml:space="preserve"> </w:t>
      </w:r>
      <w:r w:rsidRPr="00EB3D94">
        <w:rPr>
          <w:rFonts w:cs="Arial"/>
          <w:spacing w:val="-1"/>
          <w:lang w:val="es-ES"/>
        </w:rPr>
        <w:t>l</w:t>
      </w:r>
      <w:r w:rsidRPr="00EB3D94">
        <w:rPr>
          <w:rFonts w:cs="Arial"/>
          <w:lang w:val="es-ES"/>
        </w:rPr>
        <w:t>a</w:t>
      </w:r>
      <w:r w:rsidRPr="00EB3D94">
        <w:rPr>
          <w:rFonts w:cs="Arial"/>
          <w:spacing w:val="2"/>
          <w:lang w:val="es-ES"/>
        </w:rPr>
        <w:t xml:space="preserve"> </w:t>
      </w:r>
      <w:r w:rsidRPr="00EB3D94">
        <w:rPr>
          <w:rFonts w:cs="Arial"/>
          <w:spacing w:val="1"/>
          <w:lang w:val="es-ES"/>
        </w:rPr>
        <w:t>r</w:t>
      </w:r>
      <w:r w:rsidRPr="00EB3D94">
        <w:rPr>
          <w:rFonts w:cs="Arial"/>
          <w:lang w:val="es-ES"/>
        </w:rPr>
        <w:t>e</w:t>
      </w:r>
      <w:r w:rsidRPr="00EB3D94">
        <w:rPr>
          <w:rFonts w:cs="Arial"/>
          <w:spacing w:val="-1"/>
          <w:lang w:val="es-ES"/>
        </w:rPr>
        <w:t>l</w:t>
      </w:r>
      <w:r w:rsidRPr="00EB3D94">
        <w:rPr>
          <w:rFonts w:cs="Arial"/>
          <w:lang w:val="es-ES"/>
        </w:rPr>
        <w:t>ac</w:t>
      </w:r>
      <w:r w:rsidRPr="00EB3D94">
        <w:rPr>
          <w:rFonts w:cs="Arial"/>
          <w:spacing w:val="-1"/>
          <w:lang w:val="es-ES"/>
        </w:rPr>
        <w:t>i</w:t>
      </w:r>
      <w:r w:rsidRPr="00EB3D94">
        <w:rPr>
          <w:rFonts w:cs="Arial"/>
          <w:lang w:val="es-ES"/>
        </w:rPr>
        <w:t>ón d</w:t>
      </w:r>
      <w:r w:rsidRPr="00EB3D94">
        <w:rPr>
          <w:rFonts w:cs="Arial"/>
          <w:spacing w:val="-1"/>
          <w:lang w:val="es-ES"/>
        </w:rPr>
        <w:t>e l</w:t>
      </w:r>
      <w:r w:rsidRPr="00EB3D94">
        <w:rPr>
          <w:rFonts w:cs="Arial"/>
          <w:lang w:val="es-ES"/>
        </w:rPr>
        <w:t>os pri</w:t>
      </w:r>
      <w:r w:rsidRPr="00EB3D94">
        <w:rPr>
          <w:rFonts w:cs="Arial"/>
          <w:spacing w:val="-1"/>
          <w:lang w:val="es-ES"/>
        </w:rPr>
        <w:t>n</w:t>
      </w:r>
      <w:r w:rsidRPr="00EB3D94">
        <w:rPr>
          <w:rFonts w:cs="Arial"/>
          <w:lang w:val="es-ES"/>
        </w:rPr>
        <w:t>c</w:t>
      </w:r>
      <w:r w:rsidRPr="00EB3D94">
        <w:rPr>
          <w:rFonts w:cs="Arial"/>
          <w:spacing w:val="-1"/>
          <w:lang w:val="es-ES"/>
        </w:rPr>
        <w:t>i</w:t>
      </w:r>
      <w:r w:rsidRPr="00EB3D94">
        <w:rPr>
          <w:rFonts w:cs="Arial"/>
          <w:lang w:val="es-ES"/>
        </w:rPr>
        <w:t>p</w:t>
      </w:r>
      <w:r w:rsidRPr="00EB3D94">
        <w:rPr>
          <w:rFonts w:cs="Arial"/>
          <w:spacing w:val="-1"/>
          <w:lang w:val="es-ES"/>
        </w:rPr>
        <w:t>al</w:t>
      </w:r>
      <w:r w:rsidRPr="00EB3D94">
        <w:rPr>
          <w:rFonts w:cs="Arial"/>
          <w:lang w:val="es-ES"/>
        </w:rPr>
        <w:t>es</w:t>
      </w:r>
      <w:r w:rsidRPr="00EB3D94">
        <w:rPr>
          <w:rFonts w:cs="Arial"/>
          <w:spacing w:val="3"/>
          <w:lang w:val="es-ES"/>
        </w:rPr>
        <w:t xml:space="preserve"> </w:t>
      </w:r>
      <w:r w:rsidRPr="00EB3D94">
        <w:rPr>
          <w:rFonts w:cs="Arial"/>
          <w:lang w:val="es-ES"/>
        </w:rPr>
        <w:t>ser</w:t>
      </w:r>
      <w:r w:rsidRPr="00EB3D94">
        <w:rPr>
          <w:rFonts w:cs="Arial"/>
          <w:spacing w:val="-2"/>
          <w:lang w:val="es-ES"/>
        </w:rPr>
        <w:t>vi</w:t>
      </w:r>
      <w:r w:rsidRPr="00EB3D94">
        <w:rPr>
          <w:rFonts w:cs="Arial"/>
          <w:lang w:val="es-ES"/>
        </w:rPr>
        <w:t>c</w:t>
      </w:r>
      <w:r w:rsidRPr="00EB3D94">
        <w:rPr>
          <w:rFonts w:cs="Arial"/>
          <w:spacing w:val="-1"/>
          <w:lang w:val="es-ES"/>
        </w:rPr>
        <w:t>i</w:t>
      </w:r>
      <w:r w:rsidRPr="00EB3D94">
        <w:rPr>
          <w:rFonts w:cs="Arial"/>
          <w:lang w:val="es-ES"/>
        </w:rPr>
        <w:t xml:space="preserve">os o </w:t>
      </w:r>
      <w:r w:rsidRPr="00EB3D94">
        <w:rPr>
          <w:rFonts w:cs="Arial"/>
          <w:spacing w:val="1"/>
          <w:lang w:val="es-ES"/>
        </w:rPr>
        <w:t>tr</w:t>
      </w:r>
      <w:r w:rsidRPr="00EB3D94">
        <w:rPr>
          <w:rFonts w:cs="Arial"/>
          <w:lang w:val="es-ES"/>
        </w:rPr>
        <w:t>a</w:t>
      </w:r>
      <w:r w:rsidRPr="00EB3D94">
        <w:rPr>
          <w:rFonts w:cs="Arial"/>
          <w:spacing w:val="-1"/>
          <w:lang w:val="es-ES"/>
        </w:rPr>
        <w:t>b</w:t>
      </w:r>
      <w:r w:rsidRPr="00EB3D94">
        <w:rPr>
          <w:rFonts w:cs="Arial"/>
          <w:lang w:val="es-ES"/>
        </w:rPr>
        <w:t>a</w:t>
      </w:r>
      <w:r w:rsidRPr="00EB3D94">
        <w:rPr>
          <w:rFonts w:cs="Arial"/>
          <w:spacing w:val="-1"/>
          <w:lang w:val="es-ES"/>
        </w:rPr>
        <w:t>jo</w:t>
      </w:r>
      <w:r w:rsidRPr="00EB3D94">
        <w:rPr>
          <w:rFonts w:cs="Arial"/>
          <w:lang w:val="es-ES"/>
        </w:rPr>
        <w:t xml:space="preserve">s </w:t>
      </w:r>
      <w:r w:rsidRPr="00EB3D94">
        <w:rPr>
          <w:rFonts w:cs="Arial"/>
          <w:spacing w:val="1"/>
          <w:lang w:val="es-ES"/>
        </w:rPr>
        <w:t>r</w:t>
      </w:r>
      <w:r w:rsidRPr="00EB3D94">
        <w:rPr>
          <w:rFonts w:cs="Arial"/>
          <w:lang w:val="es-ES"/>
        </w:rPr>
        <w:t>e</w:t>
      </w:r>
      <w:r w:rsidRPr="00EB3D94">
        <w:rPr>
          <w:rFonts w:cs="Arial"/>
          <w:spacing w:val="-1"/>
          <w:lang w:val="es-ES"/>
        </w:rPr>
        <w:t>ali</w:t>
      </w:r>
      <w:r w:rsidRPr="00EB3D94">
        <w:rPr>
          <w:rFonts w:cs="Arial"/>
          <w:spacing w:val="1"/>
          <w:lang w:val="es-ES"/>
        </w:rPr>
        <w:t>z</w:t>
      </w:r>
      <w:r w:rsidRPr="00EB3D94">
        <w:rPr>
          <w:rFonts w:cs="Arial"/>
          <w:spacing w:val="-2"/>
          <w:lang w:val="es-ES"/>
        </w:rPr>
        <w:t>a</w:t>
      </w:r>
      <w:r w:rsidRPr="00EB3D94">
        <w:rPr>
          <w:rFonts w:cs="Arial"/>
          <w:lang w:val="es-ES"/>
        </w:rPr>
        <w:t>dos</w:t>
      </w:r>
      <w:r w:rsidRPr="00EB3D94">
        <w:rPr>
          <w:rFonts w:cs="Arial"/>
          <w:spacing w:val="4"/>
          <w:lang w:val="es-ES"/>
        </w:rPr>
        <w:t xml:space="preserve"> </w:t>
      </w:r>
      <w:r w:rsidRPr="00EB3D94">
        <w:rPr>
          <w:rFonts w:cs="Arial"/>
          <w:spacing w:val="-1"/>
          <w:lang w:val="es-ES"/>
        </w:rPr>
        <w:t>de i</w:t>
      </w:r>
      <w:r w:rsidRPr="00EB3D94">
        <w:rPr>
          <w:rFonts w:cs="Arial"/>
          <w:spacing w:val="2"/>
          <w:lang w:val="es-ES"/>
        </w:rPr>
        <w:t>g</w:t>
      </w:r>
      <w:r w:rsidRPr="00EB3D94">
        <w:rPr>
          <w:rFonts w:cs="Arial"/>
          <w:lang w:val="es-ES"/>
        </w:rPr>
        <w:t>u</w:t>
      </w:r>
      <w:r w:rsidRPr="00EB3D94">
        <w:rPr>
          <w:rFonts w:cs="Arial"/>
          <w:spacing w:val="-1"/>
          <w:lang w:val="es-ES"/>
        </w:rPr>
        <w:t>a</w:t>
      </w:r>
      <w:r w:rsidRPr="00EB3D94">
        <w:rPr>
          <w:rFonts w:cs="Arial"/>
          <w:lang w:val="es-ES"/>
        </w:rPr>
        <w:t>l</w:t>
      </w:r>
      <w:r w:rsidRPr="00EB3D94">
        <w:rPr>
          <w:rFonts w:cs="Arial"/>
          <w:spacing w:val="2"/>
          <w:lang w:val="es-ES"/>
        </w:rPr>
        <w:t xml:space="preserve"> </w:t>
      </w:r>
      <w:r w:rsidRPr="00EB3D94">
        <w:rPr>
          <w:rFonts w:cs="Arial"/>
          <w:lang w:val="es-ES"/>
        </w:rPr>
        <w:t>o</w:t>
      </w:r>
      <w:r w:rsidRPr="00EB3D94">
        <w:rPr>
          <w:rFonts w:cs="Arial"/>
          <w:spacing w:val="3"/>
          <w:lang w:val="es-ES"/>
        </w:rPr>
        <w:t xml:space="preserve"> </w:t>
      </w:r>
      <w:r w:rsidRPr="00EB3D94">
        <w:rPr>
          <w:rFonts w:cs="Arial"/>
          <w:lang w:val="es-ES"/>
        </w:rPr>
        <w:t>s</w:t>
      </w:r>
      <w:r w:rsidRPr="00EB3D94">
        <w:rPr>
          <w:rFonts w:cs="Arial"/>
          <w:spacing w:val="-1"/>
          <w:lang w:val="es-ES"/>
        </w:rPr>
        <w:t>i</w:t>
      </w:r>
      <w:r w:rsidRPr="00EB3D94">
        <w:rPr>
          <w:rFonts w:cs="Arial"/>
          <w:spacing w:val="1"/>
          <w:lang w:val="es-ES"/>
        </w:rPr>
        <w:t>m</w:t>
      </w:r>
      <w:r w:rsidRPr="00EB3D94">
        <w:rPr>
          <w:rFonts w:cs="Arial"/>
          <w:spacing w:val="-1"/>
          <w:lang w:val="es-ES"/>
        </w:rPr>
        <w:t>il</w:t>
      </w:r>
      <w:r w:rsidRPr="00EB3D94">
        <w:rPr>
          <w:rFonts w:cs="Arial"/>
          <w:spacing w:val="2"/>
          <w:lang w:val="es-ES"/>
        </w:rPr>
        <w:t>a</w:t>
      </w:r>
      <w:r w:rsidRPr="00EB3D94">
        <w:rPr>
          <w:rFonts w:cs="Arial"/>
          <w:lang w:val="es-ES"/>
        </w:rPr>
        <w:t>r</w:t>
      </w:r>
      <w:r w:rsidRPr="00EB3D94">
        <w:rPr>
          <w:rFonts w:cs="Arial"/>
          <w:spacing w:val="4"/>
          <w:lang w:val="es-ES"/>
        </w:rPr>
        <w:t xml:space="preserve"> </w:t>
      </w:r>
      <w:r w:rsidRPr="00EB3D94">
        <w:rPr>
          <w:rFonts w:cs="Arial"/>
          <w:lang w:val="es-ES"/>
        </w:rPr>
        <w:t>n</w:t>
      </w:r>
      <w:r w:rsidRPr="00EB3D94">
        <w:rPr>
          <w:rFonts w:cs="Arial"/>
          <w:spacing w:val="-1"/>
          <w:lang w:val="es-ES"/>
        </w:rPr>
        <w:t>a</w:t>
      </w:r>
      <w:r w:rsidRPr="00EB3D94">
        <w:rPr>
          <w:rFonts w:cs="Arial"/>
          <w:spacing w:val="1"/>
          <w:lang w:val="es-ES"/>
        </w:rPr>
        <w:t>t</w:t>
      </w:r>
      <w:r w:rsidRPr="00EB3D94">
        <w:rPr>
          <w:rFonts w:cs="Arial"/>
          <w:lang w:val="es-ES"/>
        </w:rPr>
        <w:t>ura</w:t>
      </w:r>
      <w:r w:rsidRPr="00EB3D94">
        <w:rPr>
          <w:rFonts w:cs="Arial"/>
          <w:spacing w:val="-1"/>
          <w:lang w:val="es-ES"/>
        </w:rPr>
        <w:t>l</w:t>
      </w:r>
      <w:r w:rsidRPr="00EB3D94">
        <w:rPr>
          <w:rFonts w:cs="Arial"/>
          <w:lang w:val="es-ES"/>
        </w:rPr>
        <w:t xml:space="preserve">eza </w:t>
      </w:r>
      <w:r w:rsidRPr="00EB3D94">
        <w:rPr>
          <w:rFonts w:cs="Arial"/>
          <w:spacing w:val="2"/>
          <w:lang w:val="es-ES"/>
        </w:rPr>
        <w:t>q</w:t>
      </w:r>
      <w:r w:rsidRPr="00EB3D94">
        <w:rPr>
          <w:rFonts w:cs="Arial"/>
          <w:lang w:val="es-ES"/>
        </w:rPr>
        <w:t>ue</w:t>
      </w:r>
      <w:r w:rsidRPr="00EB3D94">
        <w:rPr>
          <w:rFonts w:cs="Arial"/>
          <w:spacing w:val="2"/>
          <w:lang w:val="es-ES"/>
        </w:rPr>
        <w:t xml:space="preserve"> </w:t>
      </w:r>
      <w:r w:rsidRPr="00EB3D94">
        <w:rPr>
          <w:rFonts w:cs="Arial"/>
          <w:lang w:val="es-ES"/>
        </w:rPr>
        <w:t>l</w:t>
      </w:r>
      <w:r w:rsidRPr="00EB3D94">
        <w:rPr>
          <w:rFonts w:cs="Arial"/>
          <w:spacing w:val="-1"/>
          <w:lang w:val="es-ES"/>
        </w:rPr>
        <w:t>o</w:t>
      </w:r>
      <w:r w:rsidRPr="00EB3D94">
        <w:rPr>
          <w:rFonts w:cs="Arial"/>
          <w:lang w:val="es-ES"/>
        </w:rPr>
        <w:t>s</w:t>
      </w:r>
      <w:r w:rsidRPr="00EB3D94">
        <w:rPr>
          <w:rFonts w:cs="Arial"/>
          <w:spacing w:val="3"/>
          <w:lang w:val="es-ES"/>
        </w:rPr>
        <w:t xml:space="preserve"> </w:t>
      </w:r>
      <w:r w:rsidRPr="00EB3D94">
        <w:rPr>
          <w:rFonts w:cs="Arial"/>
          <w:spacing w:val="2"/>
          <w:lang w:val="es-ES"/>
        </w:rPr>
        <w:t>q</w:t>
      </w:r>
      <w:r w:rsidRPr="00EB3D94">
        <w:rPr>
          <w:rFonts w:cs="Arial"/>
          <w:lang w:val="es-ES"/>
        </w:rPr>
        <w:t>ue c</w:t>
      </w:r>
      <w:r w:rsidRPr="00EB3D94">
        <w:rPr>
          <w:rFonts w:cs="Arial"/>
          <w:spacing w:val="-1"/>
          <w:lang w:val="es-ES"/>
        </w:rPr>
        <w:t>o</w:t>
      </w:r>
      <w:r w:rsidRPr="00EB3D94">
        <w:rPr>
          <w:rFonts w:cs="Arial"/>
          <w:lang w:val="es-ES"/>
        </w:rPr>
        <w:t>n</w:t>
      </w:r>
      <w:r w:rsidRPr="00EB3D94">
        <w:rPr>
          <w:rFonts w:cs="Arial"/>
          <w:spacing w:val="1"/>
          <w:lang w:val="es-ES"/>
        </w:rPr>
        <w:t>s</w:t>
      </w:r>
      <w:r w:rsidRPr="00EB3D94">
        <w:rPr>
          <w:rFonts w:cs="Arial"/>
          <w:spacing w:val="-1"/>
          <w:lang w:val="es-ES"/>
        </w:rPr>
        <w:t>t</w:t>
      </w:r>
      <w:r w:rsidRPr="00EB3D94">
        <w:rPr>
          <w:rFonts w:cs="Arial"/>
          <w:lang w:val="es-ES"/>
        </w:rPr>
        <w:t>i</w:t>
      </w:r>
      <w:r w:rsidRPr="00EB3D94">
        <w:rPr>
          <w:rFonts w:cs="Arial"/>
          <w:spacing w:val="-1"/>
          <w:lang w:val="es-ES"/>
        </w:rPr>
        <w:t>tu</w:t>
      </w:r>
      <w:r w:rsidRPr="00EB3D94">
        <w:rPr>
          <w:rFonts w:cs="Arial"/>
          <w:spacing w:val="-2"/>
          <w:lang w:val="es-ES"/>
        </w:rPr>
        <w:t>y</w:t>
      </w:r>
      <w:r w:rsidRPr="00EB3D94">
        <w:rPr>
          <w:rFonts w:cs="Arial"/>
          <w:spacing w:val="-1"/>
          <w:lang w:val="es-ES"/>
        </w:rPr>
        <w:t>a</w:t>
      </w:r>
      <w:r w:rsidRPr="00EB3D94">
        <w:rPr>
          <w:rFonts w:cs="Arial"/>
          <w:lang w:val="es-ES"/>
        </w:rPr>
        <w:t>n</w:t>
      </w:r>
      <w:r w:rsidRPr="00EB3D94">
        <w:rPr>
          <w:rFonts w:cs="Arial"/>
          <w:spacing w:val="5"/>
          <w:lang w:val="es-ES"/>
        </w:rPr>
        <w:t xml:space="preserve"> </w:t>
      </w:r>
      <w:r w:rsidRPr="00EB3D94">
        <w:rPr>
          <w:rFonts w:cs="Arial"/>
          <w:spacing w:val="-1"/>
          <w:lang w:val="es-ES"/>
        </w:rPr>
        <w:t xml:space="preserve">el </w:t>
      </w:r>
      <w:r w:rsidRPr="00EB3D94">
        <w:rPr>
          <w:rFonts w:cs="Arial"/>
          <w:lang w:val="es-ES"/>
        </w:rPr>
        <w:t>o</w:t>
      </w:r>
      <w:r w:rsidRPr="00EB3D94">
        <w:rPr>
          <w:rFonts w:cs="Arial"/>
          <w:spacing w:val="-1"/>
          <w:lang w:val="es-ES"/>
        </w:rPr>
        <w:t>b</w:t>
      </w:r>
      <w:r w:rsidRPr="00EB3D94">
        <w:rPr>
          <w:rFonts w:cs="Arial"/>
          <w:spacing w:val="1"/>
          <w:lang w:val="es-ES"/>
        </w:rPr>
        <w:t>j</w:t>
      </w:r>
      <w:r w:rsidRPr="00EB3D94">
        <w:rPr>
          <w:rFonts w:cs="Arial"/>
          <w:lang w:val="es-ES"/>
        </w:rPr>
        <w:t>eto</w:t>
      </w:r>
      <w:r w:rsidRPr="00EB3D94">
        <w:rPr>
          <w:rFonts w:cs="Arial"/>
          <w:spacing w:val="3"/>
          <w:lang w:val="es-ES"/>
        </w:rPr>
        <w:t xml:space="preserve"> </w:t>
      </w:r>
      <w:r w:rsidRPr="00EB3D94">
        <w:rPr>
          <w:rFonts w:cs="Arial"/>
          <w:lang w:val="es-ES"/>
        </w:rPr>
        <w:t>d</w:t>
      </w:r>
      <w:r w:rsidRPr="00EB3D94">
        <w:rPr>
          <w:rFonts w:cs="Arial"/>
          <w:spacing w:val="-1"/>
          <w:lang w:val="es-ES"/>
        </w:rPr>
        <w:t>e</w:t>
      </w:r>
      <w:r w:rsidRPr="00EB3D94">
        <w:rPr>
          <w:rFonts w:cs="Arial"/>
          <w:lang w:val="es-ES"/>
        </w:rPr>
        <w:t>l</w:t>
      </w:r>
      <w:r w:rsidRPr="00EB3D94">
        <w:rPr>
          <w:rFonts w:cs="Arial"/>
          <w:spacing w:val="2"/>
          <w:lang w:val="es-ES"/>
        </w:rPr>
        <w:t xml:space="preserve"> </w:t>
      </w:r>
      <w:r w:rsidRPr="00EB3D94">
        <w:rPr>
          <w:rFonts w:cs="Arial"/>
          <w:lang w:val="es-ES"/>
        </w:rPr>
        <w:t>c</w:t>
      </w:r>
      <w:r w:rsidRPr="00EB3D94">
        <w:rPr>
          <w:rFonts w:cs="Arial"/>
          <w:spacing w:val="-1"/>
          <w:lang w:val="es-ES"/>
        </w:rPr>
        <w:t>o</w:t>
      </w:r>
      <w:r w:rsidRPr="00EB3D94">
        <w:rPr>
          <w:rFonts w:cs="Arial"/>
          <w:spacing w:val="1"/>
          <w:lang w:val="es-ES"/>
        </w:rPr>
        <w:t>nt</w:t>
      </w:r>
      <w:r w:rsidRPr="00EB3D94">
        <w:rPr>
          <w:rFonts w:cs="Arial"/>
          <w:lang w:val="es-ES"/>
        </w:rPr>
        <w:t>rato</w:t>
      </w:r>
      <w:r w:rsidRPr="00EB3D94">
        <w:rPr>
          <w:rFonts w:cs="Arial"/>
          <w:spacing w:val="3"/>
          <w:lang w:val="es-ES"/>
        </w:rPr>
        <w:t xml:space="preserve"> </w:t>
      </w:r>
      <w:r w:rsidRPr="00EB3D94">
        <w:rPr>
          <w:rFonts w:cs="Arial"/>
          <w:lang w:val="es-ES"/>
        </w:rPr>
        <w:t>en</w:t>
      </w:r>
      <w:r w:rsidRPr="00EB3D94">
        <w:rPr>
          <w:rFonts w:cs="Arial"/>
          <w:spacing w:val="2"/>
          <w:lang w:val="es-ES"/>
        </w:rPr>
        <w:t xml:space="preserve"> </w:t>
      </w:r>
      <w:r w:rsidRPr="00EB3D94">
        <w:rPr>
          <w:rFonts w:cs="Arial"/>
          <w:lang w:val="es-ES"/>
        </w:rPr>
        <w:t>el curso</w:t>
      </w:r>
      <w:r w:rsidRPr="00EB3D94">
        <w:rPr>
          <w:rFonts w:cs="Arial"/>
          <w:spacing w:val="3"/>
          <w:lang w:val="es-ES"/>
        </w:rPr>
        <w:t xml:space="preserve"> </w:t>
      </w:r>
      <w:r w:rsidRPr="00EB3D94">
        <w:rPr>
          <w:rFonts w:cs="Arial"/>
          <w:lang w:val="es-ES"/>
        </w:rPr>
        <w:t>d</w:t>
      </w:r>
      <w:r w:rsidRPr="00EB3D94">
        <w:rPr>
          <w:rFonts w:cs="Arial"/>
          <w:spacing w:val="-1"/>
          <w:lang w:val="es-ES"/>
        </w:rPr>
        <w:t>e</w:t>
      </w:r>
      <w:r w:rsidRPr="00EB3D94">
        <w:rPr>
          <w:rFonts w:cs="Arial"/>
          <w:lang w:val="es-ES"/>
        </w:rPr>
        <w:t>,</w:t>
      </w:r>
      <w:r w:rsidRPr="00EB3D94">
        <w:rPr>
          <w:rFonts w:cs="Arial"/>
          <w:spacing w:val="2"/>
          <w:lang w:val="es-ES"/>
        </w:rPr>
        <w:t xml:space="preserve"> </w:t>
      </w:r>
      <w:r w:rsidRPr="00EB3D94">
        <w:rPr>
          <w:rFonts w:cs="Arial"/>
          <w:spacing w:val="1"/>
          <w:lang w:val="es-ES"/>
        </w:rPr>
        <w:t>c</w:t>
      </w:r>
      <w:r w:rsidRPr="00EB3D94">
        <w:rPr>
          <w:rFonts w:cs="Arial"/>
          <w:lang w:val="es-ES"/>
        </w:rPr>
        <w:t>omo m</w:t>
      </w:r>
      <w:r w:rsidRPr="00EB3D94">
        <w:rPr>
          <w:rFonts w:cs="Arial"/>
          <w:spacing w:val="-3"/>
          <w:lang w:val="es-ES"/>
        </w:rPr>
        <w:t>á</w:t>
      </w:r>
      <w:r w:rsidRPr="00EB3D94">
        <w:rPr>
          <w:rFonts w:cs="Arial"/>
          <w:spacing w:val="-1"/>
          <w:lang w:val="es-ES"/>
        </w:rPr>
        <w:t>x</w:t>
      </w:r>
      <w:r w:rsidRPr="00EB3D94">
        <w:rPr>
          <w:rFonts w:cs="Arial"/>
          <w:spacing w:val="3"/>
          <w:lang w:val="es-ES"/>
        </w:rPr>
        <w:t>imo</w:t>
      </w:r>
      <w:r w:rsidRPr="00EB3D94">
        <w:rPr>
          <w:rFonts w:cs="Arial"/>
          <w:lang w:val="es-ES"/>
        </w:rPr>
        <w:t>,</w:t>
      </w:r>
      <w:r w:rsidRPr="00EB3D94">
        <w:rPr>
          <w:rFonts w:cs="Arial"/>
          <w:spacing w:val="3"/>
          <w:lang w:val="es-ES"/>
        </w:rPr>
        <w:t xml:space="preserve"> </w:t>
      </w:r>
      <w:r w:rsidRPr="00EB3D94">
        <w:rPr>
          <w:rFonts w:cs="Arial"/>
          <w:lang w:val="es-ES"/>
        </w:rPr>
        <w:t>l</w:t>
      </w:r>
      <w:r w:rsidRPr="00EB3D94">
        <w:rPr>
          <w:rFonts w:cs="Arial"/>
          <w:spacing w:val="-1"/>
          <w:lang w:val="es-ES"/>
        </w:rPr>
        <w:t>o</w:t>
      </w:r>
      <w:r w:rsidRPr="00EB3D94">
        <w:rPr>
          <w:rFonts w:cs="Arial"/>
          <w:lang w:val="es-ES"/>
        </w:rPr>
        <w:t>s</w:t>
      </w:r>
      <w:r w:rsidRPr="00EB3D94">
        <w:rPr>
          <w:rFonts w:cs="Arial"/>
          <w:spacing w:val="3"/>
          <w:lang w:val="es-ES"/>
        </w:rPr>
        <w:t xml:space="preserve"> </w:t>
      </w:r>
      <w:r w:rsidRPr="00EB3D94">
        <w:rPr>
          <w:rFonts w:cs="Arial"/>
          <w:spacing w:val="1"/>
          <w:lang w:val="es-ES"/>
        </w:rPr>
        <w:t>tr</w:t>
      </w:r>
      <w:r w:rsidRPr="00EB3D94">
        <w:rPr>
          <w:rFonts w:cs="Arial"/>
          <w:lang w:val="es-ES"/>
        </w:rPr>
        <w:t>es</w:t>
      </w:r>
      <w:r w:rsidRPr="00EB3D94">
        <w:rPr>
          <w:rFonts w:cs="Arial"/>
          <w:spacing w:val="2"/>
          <w:lang w:val="es-ES"/>
        </w:rPr>
        <w:t xml:space="preserve"> </w:t>
      </w:r>
      <w:r w:rsidRPr="00EB3D94">
        <w:rPr>
          <w:rFonts w:cs="Arial"/>
          <w:lang w:val="es-ES"/>
        </w:rPr>
        <w:t>ú</w:t>
      </w:r>
      <w:r w:rsidRPr="00EB3D94">
        <w:rPr>
          <w:rFonts w:cs="Arial"/>
          <w:spacing w:val="1"/>
          <w:lang w:val="es-ES"/>
        </w:rPr>
        <w:t>lt</w:t>
      </w:r>
      <w:r w:rsidRPr="00EB3D94">
        <w:rPr>
          <w:rFonts w:cs="Arial"/>
          <w:spacing w:val="-3"/>
          <w:lang w:val="es-ES"/>
        </w:rPr>
        <w:t>i</w:t>
      </w:r>
      <w:r w:rsidRPr="00EB3D94">
        <w:rPr>
          <w:rFonts w:cs="Arial"/>
          <w:spacing w:val="1"/>
          <w:lang w:val="es-ES"/>
        </w:rPr>
        <w:t>m</w:t>
      </w:r>
      <w:r w:rsidRPr="00EB3D94">
        <w:rPr>
          <w:rFonts w:cs="Arial"/>
          <w:lang w:val="es-ES"/>
        </w:rPr>
        <w:t>os</w:t>
      </w:r>
      <w:r w:rsidRPr="00EB3D94">
        <w:rPr>
          <w:rFonts w:cs="Arial"/>
          <w:spacing w:val="3"/>
          <w:lang w:val="es-ES"/>
        </w:rPr>
        <w:t xml:space="preserve"> </w:t>
      </w:r>
      <w:r w:rsidRPr="00EB3D94">
        <w:rPr>
          <w:rFonts w:cs="Arial"/>
          <w:lang w:val="es-ES"/>
        </w:rPr>
        <w:t>a</w:t>
      </w:r>
      <w:r w:rsidRPr="00EB3D94">
        <w:rPr>
          <w:rFonts w:cs="Arial"/>
          <w:spacing w:val="-1"/>
          <w:lang w:val="es-ES"/>
        </w:rPr>
        <w:t>ñ</w:t>
      </w:r>
      <w:r w:rsidRPr="00EB3D94">
        <w:rPr>
          <w:rFonts w:cs="Arial"/>
          <w:lang w:val="es-ES"/>
        </w:rPr>
        <w:t>os,</w:t>
      </w:r>
      <w:r w:rsidRPr="00EB3D94">
        <w:rPr>
          <w:rFonts w:cs="Arial"/>
          <w:spacing w:val="1"/>
          <w:lang w:val="es-ES"/>
        </w:rPr>
        <w:t xml:space="preserve"> </w:t>
      </w:r>
      <w:r w:rsidRPr="00EB3D94">
        <w:rPr>
          <w:rFonts w:cs="Arial"/>
          <w:lang w:val="es-ES"/>
        </w:rPr>
        <w:t>en</w:t>
      </w:r>
      <w:r w:rsidRPr="00EB3D94">
        <w:rPr>
          <w:rFonts w:cs="Arial"/>
          <w:spacing w:val="2"/>
          <w:lang w:val="es-ES"/>
        </w:rPr>
        <w:t xml:space="preserve"> </w:t>
      </w:r>
      <w:r w:rsidRPr="00EB3D94">
        <w:rPr>
          <w:rFonts w:cs="Arial"/>
          <w:spacing w:val="-1"/>
          <w:lang w:val="es-ES"/>
        </w:rPr>
        <w:t>l</w:t>
      </w:r>
      <w:r w:rsidRPr="00EB3D94">
        <w:rPr>
          <w:rFonts w:cs="Arial"/>
          <w:lang w:val="es-ES"/>
        </w:rPr>
        <w:t>a</w:t>
      </w:r>
      <w:r w:rsidRPr="00EB3D94">
        <w:rPr>
          <w:rFonts w:cs="Arial"/>
          <w:spacing w:val="2"/>
          <w:lang w:val="es-ES"/>
        </w:rPr>
        <w:t xml:space="preserve"> c</w:t>
      </w:r>
      <w:r w:rsidRPr="00EB3D94">
        <w:rPr>
          <w:rFonts w:cs="Arial"/>
          <w:lang w:val="es-ES"/>
        </w:rPr>
        <w:t>u</w:t>
      </w:r>
      <w:r w:rsidRPr="00EB3D94">
        <w:rPr>
          <w:rFonts w:cs="Arial"/>
          <w:spacing w:val="-1"/>
          <w:lang w:val="es-ES"/>
        </w:rPr>
        <w:t>a</w:t>
      </w:r>
      <w:r w:rsidRPr="00EB3D94">
        <w:rPr>
          <w:rFonts w:cs="Arial"/>
          <w:lang w:val="es-ES"/>
        </w:rPr>
        <w:t>l</w:t>
      </w:r>
      <w:r w:rsidRPr="00EB3D94">
        <w:rPr>
          <w:rFonts w:cs="Arial"/>
          <w:spacing w:val="2"/>
          <w:lang w:val="es-ES"/>
        </w:rPr>
        <w:t xml:space="preserve"> </w:t>
      </w:r>
      <w:r w:rsidRPr="00EB3D94">
        <w:rPr>
          <w:rFonts w:cs="Arial"/>
          <w:spacing w:val="-1"/>
          <w:lang w:val="es-ES"/>
        </w:rPr>
        <w:t>se indi</w:t>
      </w:r>
      <w:r w:rsidRPr="00EB3D94">
        <w:rPr>
          <w:rFonts w:cs="Arial"/>
          <w:spacing w:val="2"/>
          <w:lang w:val="es-ES"/>
        </w:rPr>
        <w:t>q</w:t>
      </w:r>
      <w:r w:rsidRPr="00EB3D94">
        <w:rPr>
          <w:rFonts w:cs="Arial"/>
          <w:lang w:val="es-ES"/>
        </w:rPr>
        <w:t>ue</w:t>
      </w:r>
      <w:r w:rsidRPr="00EB3D94">
        <w:rPr>
          <w:rFonts w:cs="Arial"/>
          <w:spacing w:val="2"/>
          <w:lang w:val="es-ES"/>
        </w:rPr>
        <w:t xml:space="preserve"> </w:t>
      </w:r>
      <w:r w:rsidRPr="00EB3D94">
        <w:rPr>
          <w:rFonts w:cs="Arial"/>
          <w:spacing w:val="-1"/>
          <w:lang w:val="es-ES"/>
        </w:rPr>
        <w:t>el im</w:t>
      </w:r>
      <w:r w:rsidRPr="00EB3D94">
        <w:rPr>
          <w:rFonts w:cs="Arial"/>
          <w:spacing w:val="1"/>
          <w:lang w:val="es-ES"/>
        </w:rPr>
        <w:t>p</w:t>
      </w:r>
      <w:r w:rsidRPr="00EB3D94">
        <w:rPr>
          <w:rFonts w:cs="Arial"/>
          <w:lang w:val="es-ES"/>
        </w:rPr>
        <w:t>o</w:t>
      </w:r>
      <w:r w:rsidRPr="00EB3D94">
        <w:rPr>
          <w:rFonts w:cs="Arial"/>
          <w:spacing w:val="-1"/>
          <w:lang w:val="es-ES"/>
        </w:rPr>
        <w:t>r</w:t>
      </w:r>
      <w:r w:rsidRPr="00EB3D94">
        <w:rPr>
          <w:rFonts w:cs="Arial"/>
          <w:spacing w:val="1"/>
          <w:lang w:val="es-ES"/>
        </w:rPr>
        <w:t>t</w:t>
      </w:r>
      <w:r w:rsidRPr="00EB3D94">
        <w:rPr>
          <w:rFonts w:cs="Arial"/>
          <w:spacing w:val="-1"/>
          <w:lang w:val="es-ES"/>
        </w:rPr>
        <w:t>e</w:t>
      </w:r>
      <w:r w:rsidRPr="00EB3D94">
        <w:rPr>
          <w:rFonts w:cs="Arial"/>
          <w:lang w:val="es-ES"/>
        </w:rPr>
        <w:t>,</w:t>
      </w:r>
      <w:r w:rsidRPr="00EB3D94">
        <w:rPr>
          <w:rFonts w:cs="Arial"/>
          <w:spacing w:val="4"/>
          <w:lang w:val="es-ES"/>
        </w:rPr>
        <w:t xml:space="preserve"> </w:t>
      </w:r>
      <w:r w:rsidRPr="00EB3D94">
        <w:rPr>
          <w:rFonts w:cs="Arial"/>
          <w:spacing w:val="-1"/>
          <w:lang w:val="es-ES"/>
        </w:rPr>
        <w:t>l</w:t>
      </w:r>
      <w:r w:rsidRPr="00EB3D94">
        <w:rPr>
          <w:rFonts w:cs="Arial"/>
          <w:lang w:val="es-ES"/>
        </w:rPr>
        <w:t>a</w:t>
      </w:r>
      <w:r w:rsidRPr="00EB3D94">
        <w:rPr>
          <w:rFonts w:cs="Arial"/>
          <w:spacing w:val="2"/>
          <w:lang w:val="es-ES"/>
        </w:rPr>
        <w:t xml:space="preserve"> </w:t>
      </w:r>
      <w:r w:rsidRPr="00EB3D94">
        <w:rPr>
          <w:rFonts w:cs="Arial"/>
          <w:lang w:val="es-ES"/>
        </w:rPr>
        <w:t>f</w:t>
      </w:r>
      <w:r w:rsidRPr="00EB3D94">
        <w:rPr>
          <w:rFonts w:cs="Arial"/>
          <w:spacing w:val="-1"/>
          <w:lang w:val="es-ES"/>
        </w:rPr>
        <w:t>e</w:t>
      </w:r>
      <w:r w:rsidRPr="00EB3D94">
        <w:rPr>
          <w:rFonts w:cs="Arial"/>
          <w:spacing w:val="1"/>
          <w:lang w:val="es-ES"/>
        </w:rPr>
        <w:t>c</w:t>
      </w:r>
      <w:r w:rsidRPr="00EB3D94">
        <w:rPr>
          <w:rFonts w:cs="Arial"/>
          <w:lang w:val="es-ES"/>
        </w:rPr>
        <w:t>ha</w:t>
      </w:r>
      <w:r w:rsidRPr="00EB3D94">
        <w:rPr>
          <w:rFonts w:cs="Arial"/>
          <w:spacing w:val="2"/>
          <w:lang w:val="es-ES"/>
        </w:rPr>
        <w:t xml:space="preserve"> </w:t>
      </w:r>
      <w:r w:rsidRPr="00EB3D94">
        <w:rPr>
          <w:rFonts w:cs="Arial"/>
          <w:lang w:val="es-ES"/>
        </w:rPr>
        <w:t>y</w:t>
      </w:r>
      <w:r w:rsidRPr="00EB3D94">
        <w:rPr>
          <w:rFonts w:cs="Arial"/>
          <w:spacing w:val="2"/>
          <w:lang w:val="es-ES"/>
        </w:rPr>
        <w:t xml:space="preserve"> </w:t>
      </w:r>
      <w:r w:rsidRPr="00EB3D94">
        <w:rPr>
          <w:rFonts w:cs="Arial"/>
          <w:lang w:val="es-ES"/>
        </w:rPr>
        <w:t>el d</w:t>
      </w:r>
      <w:r w:rsidRPr="00EB3D94">
        <w:rPr>
          <w:rFonts w:cs="Arial"/>
          <w:spacing w:val="-1"/>
          <w:lang w:val="es-ES"/>
        </w:rPr>
        <w:t>e</w:t>
      </w:r>
      <w:r w:rsidRPr="00EB3D94">
        <w:rPr>
          <w:rFonts w:cs="Arial"/>
          <w:lang w:val="es-ES"/>
        </w:rPr>
        <w:t>s</w:t>
      </w:r>
      <w:r w:rsidRPr="00EB3D94">
        <w:rPr>
          <w:rFonts w:cs="Arial"/>
          <w:spacing w:val="1"/>
          <w:lang w:val="es-ES"/>
        </w:rPr>
        <w:t>t</w:t>
      </w:r>
      <w:r w:rsidRPr="00EB3D94">
        <w:rPr>
          <w:rFonts w:cs="Arial"/>
          <w:spacing w:val="-1"/>
          <w:lang w:val="es-ES"/>
        </w:rPr>
        <w:t>i</w:t>
      </w:r>
      <w:r w:rsidRPr="00EB3D94">
        <w:rPr>
          <w:rFonts w:cs="Arial"/>
          <w:lang w:val="es-ES"/>
        </w:rPr>
        <w:t>n</w:t>
      </w:r>
      <w:r w:rsidRPr="00EB3D94">
        <w:rPr>
          <w:rFonts w:cs="Arial"/>
          <w:spacing w:val="-1"/>
          <w:lang w:val="es-ES"/>
        </w:rPr>
        <w:t>a</w:t>
      </w:r>
      <w:r w:rsidRPr="00EB3D94">
        <w:rPr>
          <w:rFonts w:cs="Arial"/>
          <w:spacing w:val="1"/>
          <w:lang w:val="es-ES"/>
        </w:rPr>
        <w:t>t</w:t>
      </w:r>
      <w:r w:rsidRPr="00EB3D94">
        <w:rPr>
          <w:rFonts w:cs="Arial"/>
          <w:lang w:val="es-ES"/>
        </w:rPr>
        <w:t>ario</w:t>
      </w:r>
      <w:r w:rsidRPr="00EB3D94">
        <w:rPr>
          <w:rFonts w:cs="Arial"/>
          <w:spacing w:val="-2"/>
          <w:lang w:val="es-ES"/>
        </w:rPr>
        <w:t xml:space="preserve"> </w:t>
      </w:r>
      <w:r w:rsidRPr="00EB3D94">
        <w:rPr>
          <w:rFonts w:cs="Arial"/>
          <w:lang w:val="es-ES"/>
        </w:rPr>
        <w:t>p</w:t>
      </w:r>
      <w:r w:rsidRPr="00EB3D94">
        <w:rPr>
          <w:rFonts w:cs="Arial"/>
          <w:spacing w:val="-1"/>
          <w:lang w:val="es-ES"/>
        </w:rPr>
        <w:t>ú</w:t>
      </w:r>
      <w:r w:rsidRPr="00EB3D94">
        <w:rPr>
          <w:rFonts w:cs="Arial"/>
          <w:lang w:val="es-ES"/>
        </w:rPr>
        <w:t>b</w:t>
      </w:r>
      <w:r w:rsidRPr="00EB3D94">
        <w:rPr>
          <w:rFonts w:cs="Arial"/>
          <w:spacing w:val="-1"/>
          <w:lang w:val="es-ES"/>
        </w:rPr>
        <w:t>li</w:t>
      </w:r>
      <w:r w:rsidRPr="00EB3D94">
        <w:rPr>
          <w:rFonts w:cs="Arial"/>
          <w:lang w:val="es-ES"/>
        </w:rPr>
        <w:t>co</w:t>
      </w:r>
      <w:r w:rsidRPr="00EB3D94">
        <w:rPr>
          <w:rFonts w:cs="Arial"/>
          <w:spacing w:val="1"/>
          <w:lang w:val="es-ES"/>
        </w:rPr>
        <w:t xml:space="preserve"> </w:t>
      </w:r>
      <w:r w:rsidRPr="00EB3D94">
        <w:rPr>
          <w:rFonts w:cs="Arial"/>
          <w:lang w:val="es-ES"/>
        </w:rPr>
        <w:t xml:space="preserve">o </w:t>
      </w:r>
      <w:r w:rsidRPr="00EB3D94">
        <w:rPr>
          <w:rFonts w:cs="Arial"/>
          <w:spacing w:val="-2"/>
          <w:lang w:val="es-ES"/>
        </w:rPr>
        <w:t>p</w:t>
      </w:r>
      <w:r w:rsidRPr="00EB3D94">
        <w:rPr>
          <w:rFonts w:cs="Arial"/>
          <w:spacing w:val="1"/>
          <w:lang w:val="es-ES"/>
        </w:rPr>
        <w:t>r</w:t>
      </w:r>
      <w:r w:rsidRPr="00EB3D94">
        <w:rPr>
          <w:rFonts w:cs="Arial"/>
          <w:spacing w:val="-1"/>
          <w:lang w:val="es-ES"/>
        </w:rPr>
        <w:t>i</w:t>
      </w:r>
      <w:r w:rsidRPr="00EB3D94">
        <w:rPr>
          <w:rFonts w:cs="Arial"/>
          <w:spacing w:val="-2"/>
          <w:lang w:val="es-ES"/>
        </w:rPr>
        <w:t>v</w:t>
      </w:r>
      <w:r w:rsidRPr="00EB3D94">
        <w:rPr>
          <w:rFonts w:cs="Arial"/>
          <w:lang w:val="es-ES"/>
        </w:rPr>
        <w:t xml:space="preserve">ado. </w:t>
      </w:r>
      <w:r w:rsidRPr="00EB3D94">
        <w:rPr>
          <w:rFonts w:cs="Arial"/>
          <w:bCs/>
          <w:szCs w:val="22"/>
          <w:lang w:val="es-ES"/>
        </w:rPr>
        <w:t xml:space="preserve">Las empresas licitadoras </w:t>
      </w:r>
      <w:r w:rsidR="00A25938" w:rsidRPr="00EB3D94">
        <w:rPr>
          <w:rFonts w:cs="Arial"/>
          <w:bCs/>
          <w:szCs w:val="22"/>
          <w:lang w:val="es-ES"/>
        </w:rPr>
        <w:t xml:space="preserve">deberán </w:t>
      </w:r>
      <w:r w:rsidRPr="00EB3D94">
        <w:rPr>
          <w:rFonts w:cs="Arial"/>
          <w:bCs/>
          <w:szCs w:val="22"/>
          <w:lang w:val="es-ES"/>
        </w:rPr>
        <w:t xml:space="preserve">acreditar un volumen mínimo </w:t>
      </w:r>
      <w:r w:rsidR="00E54208" w:rsidRPr="00EB3D94">
        <w:rPr>
          <w:rFonts w:cs="Arial"/>
          <w:bCs/>
          <w:szCs w:val="22"/>
          <w:lang w:val="es-ES"/>
        </w:rPr>
        <w:t>que se detalla a continuación</w:t>
      </w:r>
      <w:r w:rsidRPr="00EB3D94">
        <w:rPr>
          <w:rFonts w:cs="Arial"/>
          <w:bCs/>
          <w:szCs w:val="22"/>
          <w:lang w:val="es-ES"/>
        </w:rPr>
        <w:t xml:space="preserve"> durante el año de superior ejecución de los últimos tres años en servicios de naturaleza igual o similar que los que constituyen el objeto del contrato. </w:t>
      </w:r>
    </w:p>
    <w:p w14:paraId="0EBBEBF5" w14:textId="77777777" w:rsidR="00E54208" w:rsidRPr="00EB3D94" w:rsidRDefault="00E54208" w:rsidP="00BC4866">
      <w:pPr>
        <w:pStyle w:val="Pargrafdellista"/>
        <w:rPr>
          <w:rFonts w:cs="Arial"/>
          <w:lang w:val="es-ES"/>
        </w:rPr>
      </w:pPr>
    </w:p>
    <w:p w14:paraId="5A57D65E" w14:textId="1743BB44" w:rsidR="00E54208" w:rsidRPr="00EB3D94" w:rsidRDefault="00E54208" w:rsidP="00BC4866">
      <w:pPr>
        <w:widowControl w:val="0"/>
        <w:numPr>
          <w:ilvl w:val="0"/>
          <w:numId w:val="8"/>
        </w:numPr>
        <w:autoSpaceDE w:val="0"/>
        <w:autoSpaceDN w:val="0"/>
        <w:adjustRightInd w:val="0"/>
        <w:contextualSpacing/>
        <w:jc w:val="both"/>
        <w:rPr>
          <w:rFonts w:cs="Arial"/>
          <w:lang w:val="es-ES"/>
        </w:rPr>
      </w:pPr>
      <w:r w:rsidRPr="00EB3D94">
        <w:rPr>
          <w:rFonts w:cs="Arial"/>
          <w:lang w:val="es-ES"/>
        </w:rPr>
        <w:t>Para el Lot</w:t>
      </w:r>
      <w:r w:rsidR="001E0739" w:rsidRPr="00EB3D94">
        <w:rPr>
          <w:rFonts w:cs="Arial"/>
          <w:lang w:val="es-ES"/>
        </w:rPr>
        <w:t>e</w:t>
      </w:r>
      <w:r w:rsidRPr="00EB3D94">
        <w:rPr>
          <w:rFonts w:cs="Arial"/>
          <w:lang w:val="es-ES"/>
        </w:rPr>
        <w:t xml:space="preserve"> 1:</w:t>
      </w:r>
      <w:r w:rsidRPr="00EB3D94">
        <w:rPr>
          <w:rFonts w:cs="Arial"/>
          <w:lang w:val="es-ES"/>
        </w:rPr>
        <w:tab/>
        <w:t>2.500.000,00 €</w:t>
      </w:r>
    </w:p>
    <w:p w14:paraId="76C7AF1C" w14:textId="1C73EC48" w:rsidR="00E54208" w:rsidRPr="00EB3D94" w:rsidRDefault="00E54208" w:rsidP="00BC4866">
      <w:pPr>
        <w:widowControl w:val="0"/>
        <w:numPr>
          <w:ilvl w:val="0"/>
          <w:numId w:val="8"/>
        </w:numPr>
        <w:autoSpaceDE w:val="0"/>
        <w:autoSpaceDN w:val="0"/>
        <w:adjustRightInd w:val="0"/>
        <w:contextualSpacing/>
        <w:jc w:val="both"/>
        <w:rPr>
          <w:rFonts w:cs="Arial"/>
          <w:lang w:val="es-ES"/>
        </w:rPr>
      </w:pPr>
      <w:r w:rsidRPr="00EB3D94">
        <w:rPr>
          <w:rFonts w:cs="Arial"/>
          <w:lang w:val="es-ES"/>
        </w:rPr>
        <w:t>Para el Lot</w:t>
      </w:r>
      <w:r w:rsidR="001E0739" w:rsidRPr="00EB3D94">
        <w:rPr>
          <w:rFonts w:cs="Arial"/>
          <w:lang w:val="es-ES"/>
        </w:rPr>
        <w:t>e</w:t>
      </w:r>
      <w:r w:rsidRPr="00EB3D94">
        <w:rPr>
          <w:rFonts w:cs="Arial"/>
          <w:lang w:val="es-ES"/>
        </w:rPr>
        <w:t xml:space="preserve"> 2:</w:t>
      </w:r>
      <w:r w:rsidRPr="00EB3D94">
        <w:rPr>
          <w:rFonts w:cs="Arial"/>
          <w:lang w:val="es-ES"/>
        </w:rPr>
        <w:tab/>
        <w:t xml:space="preserve">   400.000,00 €</w:t>
      </w:r>
    </w:p>
    <w:p w14:paraId="6595B2A4" w14:textId="77777777" w:rsidR="00E54208" w:rsidRPr="00EB3D94" w:rsidRDefault="00E54208" w:rsidP="00BC4866">
      <w:pPr>
        <w:widowControl w:val="0"/>
        <w:autoSpaceDE w:val="0"/>
        <w:autoSpaceDN w:val="0"/>
        <w:adjustRightInd w:val="0"/>
        <w:contextualSpacing/>
        <w:jc w:val="both"/>
        <w:rPr>
          <w:rFonts w:cs="Arial"/>
          <w:lang w:val="es-ES"/>
        </w:rPr>
      </w:pPr>
    </w:p>
    <w:p w14:paraId="3AF325F4" w14:textId="77777777" w:rsidR="00E54208" w:rsidRPr="00EB3D94" w:rsidRDefault="00E54208" w:rsidP="00BC4866">
      <w:pPr>
        <w:widowControl w:val="0"/>
        <w:autoSpaceDE w:val="0"/>
        <w:autoSpaceDN w:val="0"/>
        <w:adjustRightInd w:val="0"/>
        <w:ind w:left="708"/>
        <w:contextualSpacing/>
        <w:jc w:val="both"/>
        <w:rPr>
          <w:rFonts w:cs="Arial"/>
          <w:lang w:val="es-ES"/>
        </w:rPr>
      </w:pPr>
      <w:r w:rsidRPr="00EB3D94">
        <w:rPr>
          <w:rFonts w:cs="Arial"/>
          <w:lang w:val="es-ES"/>
        </w:rPr>
        <w:t>En caso de que se presenten a los dos lotes el volumen mínimo será la suma de ambos importes.</w:t>
      </w:r>
    </w:p>
    <w:p w14:paraId="1D03DC75" w14:textId="77777777" w:rsidR="00654D83" w:rsidRPr="00EB3D94" w:rsidRDefault="00654D83" w:rsidP="00BC4866">
      <w:pPr>
        <w:pStyle w:val="Pargrafdellista"/>
        <w:rPr>
          <w:bCs/>
          <w:szCs w:val="22"/>
          <w:lang w:val="es-ES"/>
        </w:rPr>
      </w:pPr>
    </w:p>
    <w:p w14:paraId="382D2DAD" w14:textId="6E150DF0" w:rsidR="00555F1E" w:rsidRPr="00EB3D94" w:rsidRDefault="00E54208" w:rsidP="00BC4866">
      <w:pPr>
        <w:pStyle w:val="Pargrafdellista"/>
        <w:tabs>
          <w:tab w:val="left" w:pos="709"/>
        </w:tabs>
        <w:ind w:left="709"/>
        <w:jc w:val="both"/>
        <w:rPr>
          <w:bCs/>
          <w:szCs w:val="22"/>
          <w:lang w:val="es-ES"/>
        </w:rPr>
      </w:pPr>
      <w:r w:rsidRPr="00EB3D94">
        <w:rPr>
          <w:bCs/>
          <w:szCs w:val="22"/>
          <w:lang w:val="es-ES"/>
        </w:rPr>
        <w:t>As</w:t>
      </w:r>
      <w:r w:rsidR="001E0739" w:rsidRPr="00EB3D94">
        <w:rPr>
          <w:bCs/>
          <w:szCs w:val="22"/>
          <w:lang w:val="es-ES"/>
        </w:rPr>
        <w:t xml:space="preserve">í </w:t>
      </w:r>
      <w:r w:rsidRPr="00EB3D94">
        <w:rPr>
          <w:bCs/>
          <w:szCs w:val="22"/>
          <w:lang w:val="es-ES"/>
        </w:rPr>
        <w:t xml:space="preserve">mismo </w:t>
      </w:r>
      <w:r w:rsidRPr="00EB3D94">
        <w:rPr>
          <w:bCs/>
          <w:szCs w:val="22"/>
          <w:u w:val="single"/>
          <w:lang w:val="es-ES"/>
        </w:rPr>
        <w:t>en el caso del Lot</w:t>
      </w:r>
      <w:r w:rsidR="001E0739" w:rsidRPr="00EB3D94">
        <w:rPr>
          <w:bCs/>
          <w:szCs w:val="22"/>
          <w:u w:val="single"/>
          <w:lang w:val="es-ES"/>
        </w:rPr>
        <w:t>e</w:t>
      </w:r>
      <w:r w:rsidRPr="00EB3D94">
        <w:rPr>
          <w:bCs/>
          <w:szCs w:val="22"/>
          <w:u w:val="single"/>
          <w:lang w:val="es-ES"/>
        </w:rPr>
        <w:t xml:space="preserve"> 1</w:t>
      </w:r>
      <w:r w:rsidRPr="00EB3D94">
        <w:rPr>
          <w:bCs/>
          <w:szCs w:val="22"/>
          <w:lang w:val="es-ES"/>
        </w:rPr>
        <w:t xml:space="preserve"> </w:t>
      </w:r>
      <w:r w:rsidR="00A25938" w:rsidRPr="00EB3D94">
        <w:rPr>
          <w:bCs/>
          <w:szCs w:val="22"/>
          <w:lang w:val="es-ES"/>
        </w:rPr>
        <w:t xml:space="preserve">deberán </w:t>
      </w:r>
      <w:r w:rsidR="00555F1E" w:rsidRPr="00EB3D94">
        <w:rPr>
          <w:bCs/>
          <w:szCs w:val="22"/>
          <w:lang w:val="es-ES"/>
        </w:rPr>
        <w:t>acreditar, mediante declaración expresa</w:t>
      </w:r>
      <w:r w:rsidRPr="00EB3D94">
        <w:rPr>
          <w:bCs/>
          <w:szCs w:val="22"/>
          <w:lang w:val="es-ES"/>
        </w:rPr>
        <w:t>,</w:t>
      </w:r>
      <w:r w:rsidR="00555F1E" w:rsidRPr="00EB3D94">
        <w:rPr>
          <w:bCs/>
          <w:szCs w:val="22"/>
          <w:lang w:val="es-ES"/>
        </w:rPr>
        <w:t xml:space="preserve"> una experiencia de, como mínimo, un año en el servicio de cash-</w:t>
      </w:r>
      <w:proofErr w:type="spellStart"/>
      <w:r w:rsidR="00555F1E" w:rsidRPr="00EB3D94">
        <w:rPr>
          <w:bCs/>
          <w:szCs w:val="22"/>
          <w:lang w:val="es-ES"/>
        </w:rPr>
        <w:t>pooling</w:t>
      </w:r>
      <w:proofErr w:type="spellEnd"/>
      <w:r w:rsidR="00555F1E" w:rsidRPr="00EB3D94">
        <w:rPr>
          <w:bCs/>
          <w:szCs w:val="22"/>
          <w:lang w:val="es-ES"/>
        </w:rPr>
        <w:t>, en el sector público o en el sector privado, con especificación de la relación de empresas a las que prestan el servicio</w:t>
      </w:r>
    </w:p>
    <w:p w14:paraId="383E1007" w14:textId="77777777" w:rsidR="00555F1E" w:rsidRPr="00EB3D94" w:rsidRDefault="00555F1E" w:rsidP="00BC4866">
      <w:pPr>
        <w:widowControl w:val="0"/>
        <w:autoSpaceDE w:val="0"/>
        <w:autoSpaceDN w:val="0"/>
        <w:adjustRightInd w:val="0"/>
        <w:jc w:val="both"/>
        <w:rPr>
          <w:rFonts w:cs="Arial"/>
          <w:lang w:val="es-ES"/>
        </w:rPr>
      </w:pPr>
    </w:p>
    <w:p w14:paraId="3FF9AFA4" w14:textId="445EF19E" w:rsidR="00555F1E" w:rsidRPr="00EB3D94" w:rsidRDefault="00555F1E" w:rsidP="00BC4866">
      <w:pPr>
        <w:pStyle w:val="Textindependent2"/>
        <w:spacing w:after="0" w:line="240" w:lineRule="auto"/>
        <w:ind w:left="720"/>
        <w:jc w:val="both"/>
        <w:rPr>
          <w:rFonts w:cs="Arial"/>
          <w:lang w:val="es-ES"/>
        </w:rPr>
      </w:pPr>
      <w:r w:rsidRPr="00EB3D94">
        <w:rPr>
          <w:rFonts w:cs="Arial"/>
          <w:lang w:val="es-ES"/>
        </w:rPr>
        <w:t>L</w:t>
      </w:r>
      <w:r w:rsidRPr="00EB3D94">
        <w:rPr>
          <w:rFonts w:cs="Arial"/>
          <w:spacing w:val="-1"/>
          <w:lang w:val="es-ES"/>
        </w:rPr>
        <w:t>a</w:t>
      </w:r>
      <w:r w:rsidRPr="00EB3D94">
        <w:rPr>
          <w:rFonts w:cs="Arial"/>
          <w:lang w:val="es-ES"/>
        </w:rPr>
        <w:t>s</w:t>
      </w:r>
      <w:r w:rsidRPr="00EB3D94">
        <w:rPr>
          <w:rFonts w:cs="Arial"/>
          <w:spacing w:val="2"/>
          <w:lang w:val="es-ES"/>
        </w:rPr>
        <w:t xml:space="preserve"> </w:t>
      </w:r>
      <w:r w:rsidR="00046250" w:rsidRPr="00EB3D94">
        <w:rPr>
          <w:rFonts w:cs="Arial"/>
          <w:lang w:val="es-ES"/>
        </w:rPr>
        <w:t xml:space="preserve">entidades </w:t>
      </w:r>
      <w:r w:rsidRPr="00EB3D94">
        <w:rPr>
          <w:rFonts w:cs="Arial"/>
          <w:spacing w:val="-1"/>
          <w:lang w:val="es-ES"/>
        </w:rPr>
        <w:t>li</w:t>
      </w:r>
      <w:r w:rsidRPr="00EB3D94">
        <w:rPr>
          <w:rFonts w:cs="Arial"/>
          <w:lang w:val="es-ES"/>
        </w:rPr>
        <w:t>c</w:t>
      </w:r>
      <w:r w:rsidRPr="00EB3D94">
        <w:rPr>
          <w:rFonts w:cs="Arial"/>
          <w:spacing w:val="-1"/>
          <w:lang w:val="es-ES"/>
        </w:rPr>
        <w:t>i</w:t>
      </w:r>
      <w:r w:rsidRPr="00EB3D94">
        <w:rPr>
          <w:rFonts w:cs="Arial"/>
          <w:spacing w:val="1"/>
          <w:lang w:val="es-ES"/>
        </w:rPr>
        <w:t>t</w:t>
      </w:r>
      <w:r w:rsidRPr="00EB3D94">
        <w:rPr>
          <w:rFonts w:cs="Arial"/>
          <w:lang w:val="es-ES"/>
        </w:rPr>
        <w:t>a</w:t>
      </w:r>
      <w:r w:rsidRPr="00EB3D94">
        <w:rPr>
          <w:rFonts w:cs="Arial"/>
          <w:spacing w:val="-1"/>
          <w:lang w:val="es-ES"/>
        </w:rPr>
        <w:t>d</w:t>
      </w:r>
      <w:r w:rsidRPr="00EB3D94">
        <w:rPr>
          <w:rFonts w:cs="Arial"/>
          <w:lang w:val="es-ES"/>
        </w:rPr>
        <w:t>or</w:t>
      </w:r>
      <w:r w:rsidRPr="00EB3D94">
        <w:rPr>
          <w:rFonts w:cs="Arial"/>
          <w:spacing w:val="-2"/>
          <w:lang w:val="es-ES"/>
        </w:rPr>
        <w:t>a</w:t>
      </w:r>
      <w:r w:rsidRPr="00EB3D94">
        <w:rPr>
          <w:rFonts w:cs="Arial"/>
          <w:lang w:val="es-ES"/>
        </w:rPr>
        <w:t>s</w:t>
      </w:r>
      <w:r w:rsidRPr="00EB3D94">
        <w:rPr>
          <w:rFonts w:cs="Arial"/>
          <w:spacing w:val="2"/>
          <w:lang w:val="es-ES"/>
        </w:rPr>
        <w:t xml:space="preserve"> </w:t>
      </w:r>
      <w:r w:rsidR="00A25938" w:rsidRPr="00EB3D94">
        <w:rPr>
          <w:rFonts w:cs="Arial"/>
          <w:lang w:val="es-ES"/>
        </w:rPr>
        <w:t xml:space="preserve">deberán </w:t>
      </w:r>
      <w:r w:rsidRPr="00EB3D94">
        <w:rPr>
          <w:rFonts w:cs="Arial"/>
          <w:lang w:val="es-ES"/>
        </w:rPr>
        <w:t>acred</w:t>
      </w:r>
      <w:r w:rsidRPr="00EB3D94">
        <w:rPr>
          <w:rFonts w:cs="Arial"/>
          <w:spacing w:val="-1"/>
          <w:lang w:val="es-ES"/>
        </w:rPr>
        <w:t>i</w:t>
      </w:r>
      <w:r w:rsidRPr="00EB3D94">
        <w:rPr>
          <w:rFonts w:cs="Arial"/>
          <w:spacing w:val="1"/>
          <w:lang w:val="es-ES"/>
        </w:rPr>
        <w:t>t</w:t>
      </w:r>
      <w:r w:rsidRPr="00EB3D94">
        <w:rPr>
          <w:rFonts w:cs="Arial"/>
          <w:spacing w:val="-3"/>
          <w:lang w:val="es-ES"/>
        </w:rPr>
        <w:t>a</w:t>
      </w:r>
      <w:r w:rsidRPr="00EB3D94">
        <w:rPr>
          <w:rFonts w:cs="Arial"/>
          <w:lang w:val="es-ES"/>
        </w:rPr>
        <w:t>r</w:t>
      </w:r>
      <w:r w:rsidRPr="00EB3D94">
        <w:rPr>
          <w:rFonts w:cs="Arial"/>
          <w:spacing w:val="3"/>
          <w:lang w:val="es-ES"/>
        </w:rPr>
        <w:t xml:space="preserve"> </w:t>
      </w:r>
      <w:r w:rsidRPr="00EB3D94">
        <w:rPr>
          <w:rFonts w:cs="Arial"/>
          <w:lang w:val="es-ES"/>
        </w:rPr>
        <w:t>l</w:t>
      </w:r>
      <w:r w:rsidRPr="00EB3D94">
        <w:rPr>
          <w:rFonts w:cs="Arial"/>
          <w:spacing w:val="-1"/>
          <w:lang w:val="es-ES"/>
        </w:rPr>
        <w:t>o</w:t>
      </w:r>
      <w:r w:rsidRPr="00EB3D94">
        <w:rPr>
          <w:rFonts w:cs="Arial"/>
          <w:lang w:val="es-ES"/>
        </w:rPr>
        <w:t>s</w:t>
      </w:r>
      <w:r w:rsidRPr="00EB3D94">
        <w:rPr>
          <w:rFonts w:cs="Arial"/>
          <w:spacing w:val="2"/>
          <w:lang w:val="es-ES"/>
        </w:rPr>
        <w:t xml:space="preserve"> </w:t>
      </w:r>
      <w:r w:rsidRPr="00EB3D94">
        <w:rPr>
          <w:rFonts w:cs="Arial"/>
          <w:lang w:val="es-ES"/>
        </w:rPr>
        <w:t>ser</w:t>
      </w:r>
      <w:r w:rsidRPr="00EB3D94">
        <w:rPr>
          <w:rFonts w:cs="Arial"/>
          <w:spacing w:val="-2"/>
          <w:lang w:val="es-ES"/>
        </w:rPr>
        <w:t>vi</w:t>
      </w:r>
      <w:r w:rsidRPr="00EB3D94">
        <w:rPr>
          <w:rFonts w:cs="Arial"/>
          <w:lang w:val="es-ES"/>
        </w:rPr>
        <w:t>c</w:t>
      </w:r>
      <w:r w:rsidRPr="00EB3D94">
        <w:rPr>
          <w:rFonts w:cs="Arial"/>
          <w:spacing w:val="-1"/>
          <w:lang w:val="es-ES"/>
        </w:rPr>
        <w:t>i</w:t>
      </w:r>
      <w:r w:rsidRPr="00EB3D94">
        <w:rPr>
          <w:rFonts w:cs="Arial"/>
          <w:lang w:val="es-ES"/>
        </w:rPr>
        <w:t>os</w:t>
      </w:r>
      <w:r w:rsidRPr="00EB3D94">
        <w:rPr>
          <w:rFonts w:cs="Arial"/>
          <w:spacing w:val="2"/>
          <w:lang w:val="es-ES"/>
        </w:rPr>
        <w:t xml:space="preserve"> </w:t>
      </w:r>
      <w:r w:rsidRPr="00EB3D94">
        <w:rPr>
          <w:rFonts w:cs="Arial"/>
          <w:lang w:val="es-ES"/>
        </w:rPr>
        <w:t>o</w:t>
      </w:r>
      <w:r w:rsidRPr="00EB3D94">
        <w:rPr>
          <w:rFonts w:cs="Arial"/>
          <w:spacing w:val="2"/>
          <w:lang w:val="es-ES"/>
        </w:rPr>
        <w:t xml:space="preserve"> </w:t>
      </w:r>
      <w:r w:rsidRPr="00EB3D94">
        <w:rPr>
          <w:rFonts w:cs="Arial"/>
          <w:spacing w:val="1"/>
          <w:lang w:val="es-ES"/>
        </w:rPr>
        <w:t>tr</w:t>
      </w:r>
      <w:r w:rsidRPr="00EB3D94">
        <w:rPr>
          <w:rFonts w:cs="Arial"/>
          <w:lang w:val="es-ES"/>
        </w:rPr>
        <w:t>a</w:t>
      </w:r>
      <w:r w:rsidRPr="00EB3D94">
        <w:rPr>
          <w:rFonts w:cs="Arial"/>
          <w:spacing w:val="-1"/>
          <w:lang w:val="es-ES"/>
        </w:rPr>
        <w:t>b</w:t>
      </w:r>
      <w:r w:rsidRPr="00EB3D94">
        <w:rPr>
          <w:rFonts w:cs="Arial"/>
          <w:lang w:val="es-ES"/>
        </w:rPr>
        <w:t>a</w:t>
      </w:r>
      <w:r w:rsidRPr="00EB3D94">
        <w:rPr>
          <w:rFonts w:cs="Arial"/>
          <w:spacing w:val="-1"/>
          <w:lang w:val="es-ES"/>
        </w:rPr>
        <w:t>jo</w:t>
      </w:r>
      <w:r w:rsidRPr="00EB3D94">
        <w:rPr>
          <w:rFonts w:cs="Arial"/>
          <w:lang w:val="es-ES"/>
        </w:rPr>
        <w:t>s</w:t>
      </w:r>
      <w:r w:rsidRPr="00EB3D94">
        <w:rPr>
          <w:rFonts w:cs="Arial"/>
          <w:spacing w:val="2"/>
          <w:lang w:val="es-ES"/>
        </w:rPr>
        <w:t xml:space="preserve"> </w:t>
      </w:r>
      <w:r w:rsidRPr="00EB3D94">
        <w:rPr>
          <w:rFonts w:cs="Arial"/>
          <w:spacing w:val="-3"/>
          <w:lang w:val="es-ES"/>
        </w:rPr>
        <w:t>e</w:t>
      </w:r>
      <w:r w:rsidRPr="00EB3D94">
        <w:rPr>
          <w:rFonts w:cs="Arial"/>
          <w:spacing w:val="3"/>
          <w:lang w:val="es-ES"/>
        </w:rPr>
        <w:t>f</w:t>
      </w:r>
      <w:r w:rsidRPr="00EB3D94">
        <w:rPr>
          <w:rFonts w:cs="Arial"/>
          <w:spacing w:val="-3"/>
          <w:lang w:val="es-ES"/>
        </w:rPr>
        <w:t>e</w:t>
      </w:r>
      <w:r w:rsidRPr="00EB3D94">
        <w:rPr>
          <w:rFonts w:cs="Arial"/>
          <w:lang w:val="es-ES"/>
        </w:rPr>
        <w:t>c</w:t>
      </w:r>
      <w:r w:rsidRPr="00EB3D94">
        <w:rPr>
          <w:rFonts w:cs="Arial"/>
          <w:spacing w:val="1"/>
          <w:lang w:val="es-ES"/>
        </w:rPr>
        <w:t>t</w:t>
      </w:r>
      <w:r w:rsidRPr="00EB3D94">
        <w:rPr>
          <w:rFonts w:cs="Arial"/>
          <w:lang w:val="es-ES"/>
        </w:rPr>
        <w:t>u</w:t>
      </w:r>
      <w:r w:rsidRPr="00EB3D94">
        <w:rPr>
          <w:rFonts w:cs="Arial"/>
          <w:spacing w:val="-1"/>
          <w:lang w:val="es-ES"/>
        </w:rPr>
        <w:t>a</w:t>
      </w:r>
      <w:r w:rsidRPr="00EB3D94">
        <w:rPr>
          <w:rFonts w:cs="Arial"/>
          <w:spacing w:val="1"/>
          <w:lang w:val="es-ES"/>
        </w:rPr>
        <w:t>d</w:t>
      </w:r>
      <w:r w:rsidRPr="00EB3D94">
        <w:rPr>
          <w:rFonts w:cs="Arial"/>
          <w:lang w:val="es-ES"/>
        </w:rPr>
        <w:t xml:space="preserve">os </w:t>
      </w:r>
      <w:r w:rsidRPr="00EB3D94">
        <w:rPr>
          <w:rFonts w:cs="Arial"/>
          <w:spacing w:val="-1"/>
          <w:lang w:val="es-ES"/>
        </w:rPr>
        <w:t>me</w:t>
      </w:r>
      <w:r w:rsidRPr="00EB3D94">
        <w:rPr>
          <w:rFonts w:cs="Arial"/>
          <w:lang w:val="es-ES"/>
        </w:rPr>
        <w:t>d</w:t>
      </w:r>
      <w:r w:rsidRPr="00EB3D94">
        <w:rPr>
          <w:rFonts w:cs="Arial"/>
          <w:spacing w:val="-1"/>
          <w:lang w:val="es-ES"/>
        </w:rPr>
        <w:t>i</w:t>
      </w:r>
      <w:r w:rsidRPr="00EB3D94">
        <w:rPr>
          <w:rFonts w:cs="Arial"/>
          <w:lang w:val="es-ES"/>
        </w:rPr>
        <w:t>an</w:t>
      </w:r>
      <w:r w:rsidRPr="00EB3D94">
        <w:rPr>
          <w:rFonts w:cs="Arial"/>
          <w:spacing w:val="-3"/>
          <w:lang w:val="es-ES"/>
        </w:rPr>
        <w:t>t</w:t>
      </w:r>
      <w:r w:rsidRPr="00EB3D94">
        <w:rPr>
          <w:rFonts w:cs="Arial"/>
          <w:lang w:val="es-ES"/>
        </w:rPr>
        <w:t>e cer</w:t>
      </w:r>
      <w:r w:rsidRPr="00EB3D94">
        <w:rPr>
          <w:rFonts w:cs="Arial"/>
          <w:spacing w:val="1"/>
          <w:lang w:val="es-ES"/>
        </w:rPr>
        <w:t>t</w:t>
      </w:r>
      <w:r w:rsidRPr="00EB3D94">
        <w:rPr>
          <w:rFonts w:cs="Arial"/>
          <w:spacing w:val="-3"/>
          <w:lang w:val="es-ES"/>
        </w:rPr>
        <w:t>i</w:t>
      </w:r>
      <w:r w:rsidRPr="00EB3D94">
        <w:rPr>
          <w:rFonts w:cs="Arial"/>
          <w:spacing w:val="3"/>
          <w:lang w:val="es-ES"/>
        </w:rPr>
        <w:t>f</w:t>
      </w:r>
      <w:r w:rsidRPr="00EB3D94">
        <w:rPr>
          <w:rFonts w:cs="Arial"/>
          <w:spacing w:val="-1"/>
          <w:lang w:val="es-ES"/>
        </w:rPr>
        <w:t>i</w:t>
      </w:r>
      <w:r w:rsidRPr="00EB3D94">
        <w:rPr>
          <w:rFonts w:cs="Arial"/>
          <w:lang w:val="es-ES"/>
        </w:rPr>
        <w:t>c</w:t>
      </w:r>
      <w:r w:rsidRPr="00EB3D94">
        <w:rPr>
          <w:rFonts w:cs="Arial"/>
          <w:spacing w:val="-3"/>
          <w:lang w:val="es-ES"/>
        </w:rPr>
        <w:t>a</w:t>
      </w:r>
      <w:r w:rsidRPr="00EB3D94">
        <w:rPr>
          <w:rFonts w:cs="Arial"/>
          <w:spacing w:val="1"/>
          <w:lang w:val="es-ES"/>
        </w:rPr>
        <w:t>d</w:t>
      </w:r>
      <w:r w:rsidRPr="00EB3D94">
        <w:rPr>
          <w:rFonts w:cs="Arial"/>
          <w:lang w:val="es-ES"/>
        </w:rPr>
        <w:t>os</w:t>
      </w:r>
      <w:r w:rsidRPr="00EB3D94">
        <w:rPr>
          <w:rFonts w:cs="Arial"/>
          <w:spacing w:val="1"/>
          <w:lang w:val="es-ES"/>
        </w:rPr>
        <w:t xml:space="preserve"> </w:t>
      </w:r>
      <w:r w:rsidRPr="00EB3D94">
        <w:rPr>
          <w:rFonts w:cs="Arial"/>
          <w:lang w:val="es-ES"/>
        </w:rPr>
        <w:t>e</w:t>
      </w:r>
      <w:r w:rsidRPr="00EB3D94">
        <w:rPr>
          <w:rFonts w:cs="Arial"/>
          <w:spacing w:val="-3"/>
          <w:lang w:val="es-ES"/>
        </w:rPr>
        <w:t>x</w:t>
      </w:r>
      <w:r w:rsidRPr="00EB3D94">
        <w:rPr>
          <w:rFonts w:cs="Arial"/>
          <w:lang w:val="es-ES"/>
        </w:rPr>
        <w:t>p</w:t>
      </w:r>
      <w:r w:rsidRPr="00EB3D94">
        <w:rPr>
          <w:rFonts w:cs="Arial"/>
          <w:spacing w:val="-1"/>
          <w:lang w:val="es-ES"/>
        </w:rPr>
        <w:t>e</w:t>
      </w:r>
      <w:r w:rsidRPr="00EB3D94">
        <w:rPr>
          <w:rFonts w:cs="Arial"/>
          <w:lang w:val="es-ES"/>
        </w:rPr>
        <w:t>d</w:t>
      </w:r>
      <w:r w:rsidRPr="00EB3D94">
        <w:rPr>
          <w:rFonts w:cs="Arial"/>
          <w:spacing w:val="-1"/>
          <w:lang w:val="es-ES"/>
        </w:rPr>
        <w:t>i</w:t>
      </w:r>
      <w:r w:rsidR="001E0739" w:rsidRPr="00EB3D94">
        <w:rPr>
          <w:rFonts w:cs="Arial"/>
          <w:spacing w:val="1"/>
          <w:lang w:val="es-ES"/>
        </w:rPr>
        <w:t>d</w:t>
      </w:r>
      <w:r w:rsidRPr="00EB3D94">
        <w:rPr>
          <w:rFonts w:cs="Arial"/>
          <w:lang w:val="es-ES"/>
        </w:rPr>
        <w:t>os</w:t>
      </w:r>
      <w:r w:rsidRPr="00EB3D94">
        <w:rPr>
          <w:rFonts w:cs="Arial"/>
          <w:spacing w:val="1"/>
          <w:lang w:val="es-ES"/>
        </w:rPr>
        <w:t xml:space="preserve"> </w:t>
      </w:r>
      <w:r w:rsidRPr="00EB3D94">
        <w:rPr>
          <w:rFonts w:cs="Arial"/>
          <w:lang w:val="es-ES"/>
        </w:rPr>
        <w:t>o</w:t>
      </w:r>
      <w:r w:rsidRPr="00EB3D94">
        <w:rPr>
          <w:rFonts w:cs="Arial"/>
          <w:spacing w:val="3"/>
          <w:lang w:val="es-ES"/>
        </w:rPr>
        <w:t xml:space="preserve"> </w:t>
      </w:r>
      <w:r w:rsidRPr="00EB3D94">
        <w:rPr>
          <w:rFonts w:cs="Arial"/>
          <w:spacing w:val="-2"/>
          <w:lang w:val="es-ES"/>
        </w:rPr>
        <w:t>v</w:t>
      </w:r>
      <w:r w:rsidRPr="00EB3D94">
        <w:rPr>
          <w:rFonts w:cs="Arial"/>
          <w:spacing w:val="-1"/>
          <w:lang w:val="es-ES"/>
        </w:rPr>
        <w:t>i</w:t>
      </w:r>
      <w:r w:rsidRPr="00EB3D94">
        <w:rPr>
          <w:rFonts w:cs="Arial"/>
          <w:spacing w:val="2"/>
          <w:lang w:val="es-ES"/>
        </w:rPr>
        <w:t>s</w:t>
      </w:r>
      <w:r w:rsidRPr="00EB3D94">
        <w:rPr>
          <w:rFonts w:cs="Arial"/>
          <w:lang w:val="es-ES"/>
        </w:rPr>
        <w:t>ados</w:t>
      </w:r>
      <w:r w:rsidRPr="00EB3D94">
        <w:rPr>
          <w:rFonts w:cs="Arial"/>
          <w:spacing w:val="2"/>
          <w:lang w:val="es-ES"/>
        </w:rPr>
        <w:t xml:space="preserve"> </w:t>
      </w:r>
      <w:r w:rsidRPr="00EB3D94">
        <w:rPr>
          <w:rFonts w:cs="Arial"/>
          <w:lang w:val="es-ES"/>
        </w:rPr>
        <w:t>p</w:t>
      </w:r>
      <w:r w:rsidRPr="00EB3D94">
        <w:rPr>
          <w:rFonts w:cs="Arial"/>
          <w:spacing w:val="-1"/>
          <w:lang w:val="es-ES"/>
        </w:rPr>
        <w:t>o</w:t>
      </w:r>
      <w:r w:rsidRPr="00EB3D94">
        <w:rPr>
          <w:rFonts w:cs="Arial"/>
          <w:lang w:val="es-ES"/>
        </w:rPr>
        <w:t>r</w:t>
      </w:r>
      <w:r w:rsidRPr="00EB3D94">
        <w:rPr>
          <w:rFonts w:cs="Arial"/>
          <w:spacing w:val="2"/>
          <w:lang w:val="es-ES"/>
        </w:rPr>
        <w:t xml:space="preserve"> </w:t>
      </w:r>
      <w:r w:rsidRPr="00EB3D94">
        <w:rPr>
          <w:rFonts w:cs="Arial"/>
          <w:spacing w:val="-1"/>
          <w:lang w:val="es-ES"/>
        </w:rPr>
        <w:t>el ó</w:t>
      </w:r>
      <w:r w:rsidRPr="00EB3D94">
        <w:rPr>
          <w:rFonts w:cs="Arial"/>
          <w:lang w:val="es-ES"/>
        </w:rPr>
        <w:t>rg</w:t>
      </w:r>
      <w:r w:rsidRPr="00EB3D94">
        <w:rPr>
          <w:rFonts w:cs="Arial"/>
          <w:spacing w:val="2"/>
          <w:lang w:val="es-ES"/>
        </w:rPr>
        <w:t>a</w:t>
      </w:r>
      <w:r w:rsidRPr="00EB3D94">
        <w:rPr>
          <w:rFonts w:cs="Arial"/>
          <w:lang w:val="es-ES"/>
        </w:rPr>
        <w:t>no c</w:t>
      </w:r>
      <w:r w:rsidRPr="00EB3D94">
        <w:rPr>
          <w:rFonts w:cs="Arial"/>
          <w:spacing w:val="-3"/>
          <w:lang w:val="es-ES"/>
        </w:rPr>
        <w:t>o</w:t>
      </w:r>
      <w:r w:rsidRPr="00EB3D94">
        <w:rPr>
          <w:rFonts w:cs="Arial"/>
          <w:spacing w:val="1"/>
          <w:lang w:val="es-ES"/>
        </w:rPr>
        <w:t>m</w:t>
      </w:r>
      <w:r w:rsidRPr="00EB3D94">
        <w:rPr>
          <w:rFonts w:cs="Arial"/>
          <w:lang w:val="es-ES"/>
        </w:rPr>
        <w:t>p</w:t>
      </w:r>
      <w:r w:rsidRPr="00EB3D94">
        <w:rPr>
          <w:rFonts w:cs="Arial"/>
          <w:spacing w:val="-1"/>
          <w:lang w:val="es-ES"/>
        </w:rPr>
        <w:t>e</w:t>
      </w:r>
      <w:r w:rsidRPr="00EB3D94">
        <w:rPr>
          <w:rFonts w:cs="Arial"/>
          <w:spacing w:val="1"/>
          <w:lang w:val="es-ES"/>
        </w:rPr>
        <w:t>t</w:t>
      </w:r>
      <w:r w:rsidRPr="00EB3D94">
        <w:rPr>
          <w:rFonts w:cs="Arial"/>
          <w:spacing w:val="-3"/>
          <w:lang w:val="es-ES"/>
        </w:rPr>
        <w:t>e</w:t>
      </w:r>
      <w:r w:rsidRPr="00EB3D94">
        <w:rPr>
          <w:rFonts w:cs="Arial"/>
          <w:lang w:val="es-ES"/>
        </w:rPr>
        <w:t xml:space="preserve">nte, </w:t>
      </w:r>
      <w:r w:rsidRPr="00EB3D94">
        <w:rPr>
          <w:rFonts w:cs="Arial"/>
          <w:spacing w:val="2"/>
          <w:lang w:val="es-ES"/>
        </w:rPr>
        <w:t>c</w:t>
      </w:r>
      <w:r w:rsidRPr="00EB3D94">
        <w:rPr>
          <w:rFonts w:cs="Arial"/>
          <w:lang w:val="es-ES"/>
        </w:rPr>
        <w:t>ua</w:t>
      </w:r>
      <w:r w:rsidRPr="00EB3D94">
        <w:rPr>
          <w:rFonts w:cs="Arial"/>
          <w:spacing w:val="-1"/>
          <w:lang w:val="es-ES"/>
        </w:rPr>
        <w:t>n</w:t>
      </w:r>
      <w:r w:rsidRPr="00EB3D94">
        <w:rPr>
          <w:rFonts w:cs="Arial"/>
          <w:lang w:val="es-ES"/>
        </w:rPr>
        <w:t>do el d</w:t>
      </w:r>
      <w:r w:rsidRPr="00EB3D94">
        <w:rPr>
          <w:rFonts w:cs="Arial"/>
          <w:spacing w:val="-1"/>
          <w:lang w:val="es-ES"/>
        </w:rPr>
        <w:t>e</w:t>
      </w:r>
      <w:r w:rsidRPr="00EB3D94">
        <w:rPr>
          <w:rFonts w:cs="Arial"/>
          <w:lang w:val="es-ES"/>
        </w:rPr>
        <w:t>s</w:t>
      </w:r>
      <w:r w:rsidRPr="00EB3D94">
        <w:rPr>
          <w:rFonts w:cs="Arial"/>
          <w:spacing w:val="1"/>
          <w:lang w:val="es-ES"/>
        </w:rPr>
        <w:t>t</w:t>
      </w:r>
      <w:r w:rsidRPr="00EB3D94">
        <w:rPr>
          <w:rFonts w:cs="Arial"/>
          <w:spacing w:val="-1"/>
          <w:lang w:val="es-ES"/>
        </w:rPr>
        <w:t>i</w:t>
      </w:r>
      <w:r w:rsidRPr="00EB3D94">
        <w:rPr>
          <w:rFonts w:cs="Arial"/>
          <w:lang w:val="es-ES"/>
        </w:rPr>
        <w:t>n</w:t>
      </w:r>
      <w:r w:rsidRPr="00EB3D94">
        <w:rPr>
          <w:rFonts w:cs="Arial"/>
          <w:spacing w:val="-1"/>
          <w:lang w:val="es-ES"/>
        </w:rPr>
        <w:t>a</w:t>
      </w:r>
      <w:r w:rsidRPr="00EB3D94">
        <w:rPr>
          <w:rFonts w:cs="Arial"/>
          <w:spacing w:val="1"/>
          <w:lang w:val="es-ES"/>
        </w:rPr>
        <w:t>t</w:t>
      </w:r>
      <w:r w:rsidRPr="00EB3D94">
        <w:rPr>
          <w:rFonts w:cs="Arial"/>
          <w:spacing w:val="5"/>
          <w:lang w:val="es-ES"/>
        </w:rPr>
        <w:t>a</w:t>
      </w:r>
      <w:r w:rsidRPr="00EB3D94">
        <w:rPr>
          <w:rFonts w:cs="Arial"/>
          <w:spacing w:val="1"/>
          <w:lang w:val="es-ES"/>
        </w:rPr>
        <w:t>r</w:t>
      </w:r>
      <w:r w:rsidRPr="00EB3D94">
        <w:rPr>
          <w:rFonts w:cs="Arial"/>
          <w:lang w:val="es-ES"/>
        </w:rPr>
        <w:t xml:space="preserve">io </w:t>
      </w:r>
      <w:r w:rsidRPr="00EB3D94">
        <w:rPr>
          <w:rFonts w:cs="Arial"/>
          <w:spacing w:val="-1"/>
          <w:lang w:val="es-ES"/>
        </w:rPr>
        <w:t>s</w:t>
      </w:r>
      <w:r w:rsidRPr="00EB3D94">
        <w:rPr>
          <w:rFonts w:cs="Arial"/>
          <w:lang w:val="es-ES"/>
        </w:rPr>
        <w:t>ea u</w:t>
      </w:r>
      <w:r w:rsidRPr="00EB3D94">
        <w:rPr>
          <w:rFonts w:cs="Arial"/>
          <w:spacing w:val="-1"/>
          <w:lang w:val="es-ES"/>
        </w:rPr>
        <w:t>n</w:t>
      </w:r>
      <w:r w:rsidRPr="00EB3D94">
        <w:rPr>
          <w:rFonts w:cs="Arial"/>
          <w:lang w:val="es-ES"/>
        </w:rPr>
        <w:t>a e</w:t>
      </w:r>
      <w:r w:rsidRPr="00EB3D94">
        <w:rPr>
          <w:rFonts w:cs="Arial"/>
          <w:spacing w:val="-1"/>
          <w:lang w:val="es-ES"/>
        </w:rPr>
        <w:t>n</w:t>
      </w:r>
      <w:r w:rsidRPr="00EB3D94">
        <w:rPr>
          <w:rFonts w:cs="Arial"/>
          <w:spacing w:val="1"/>
          <w:lang w:val="es-ES"/>
        </w:rPr>
        <w:t>t</w:t>
      </w:r>
      <w:r w:rsidRPr="00EB3D94">
        <w:rPr>
          <w:rFonts w:cs="Arial"/>
          <w:spacing w:val="-1"/>
          <w:lang w:val="es-ES"/>
        </w:rPr>
        <w:t>i</w:t>
      </w:r>
      <w:r w:rsidRPr="00EB3D94">
        <w:rPr>
          <w:rFonts w:cs="Arial"/>
          <w:spacing w:val="1"/>
          <w:lang w:val="es-ES"/>
        </w:rPr>
        <w:t>d</w:t>
      </w:r>
      <w:r w:rsidRPr="00EB3D94">
        <w:rPr>
          <w:rFonts w:cs="Arial"/>
          <w:lang w:val="es-ES"/>
        </w:rPr>
        <w:t>ad</w:t>
      </w:r>
      <w:r w:rsidRPr="00EB3D94">
        <w:rPr>
          <w:rFonts w:cs="Arial"/>
          <w:spacing w:val="2"/>
          <w:lang w:val="es-ES"/>
        </w:rPr>
        <w:t xml:space="preserve"> </w:t>
      </w:r>
      <w:r w:rsidRPr="00EB3D94">
        <w:rPr>
          <w:rFonts w:cs="Arial"/>
          <w:lang w:val="es-ES"/>
        </w:rPr>
        <w:t>d</w:t>
      </w:r>
      <w:r w:rsidRPr="00EB3D94">
        <w:rPr>
          <w:rFonts w:cs="Arial"/>
          <w:spacing w:val="-3"/>
          <w:lang w:val="es-ES"/>
        </w:rPr>
        <w:t>e</w:t>
      </w:r>
      <w:r w:rsidRPr="00EB3D94">
        <w:rPr>
          <w:rFonts w:cs="Arial"/>
          <w:lang w:val="es-ES"/>
        </w:rPr>
        <w:t>l sector</w:t>
      </w:r>
      <w:r w:rsidRPr="00EB3D94">
        <w:rPr>
          <w:rFonts w:cs="Arial"/>
          <w:spacing w:val="2"/>
          <w:lang w:val="es-ES"/>
        </w:rPr>
        <w:t xml:space="preserve"> </w:t>
      </w:r>
      <w:r w:rsidRPr="00EB3D94">
        <w:rPr>
          <w:rFonts w:cs="Arial"/>
          <w:lang w:val="es-ES"/>
        </w:rPr>
        <w:t>p</w:t>
      </w:r>
      <w:r w:rsidRPr="00EB3D94">
        <w:rPr>
          <w:rFonts w:cs="Arial"/>
          <w:spacing w:val="-1"/>
          <w:lang w:val="es-ES"/>
        </w:rPr>
        <w:t>ú</w:t>
      </w:r>
      <w:r w:rsidRPr="00EB3D94">
        <w:rPr>
          <w:rFonts w:cs="Arial"/>
          <w:lang w:val="es-ES"/>
        </w:rPr>
        <w:t>b</w:t>
      </w:r>
      <w:r w:rsidRPr="00EB3D94">
        <w:rPr>
          <w:rFonts w:cs="Arial"/>
          <w:spacing w:val="-1"/>
          <w:lang w:val="es-ES"/>
        </w:rPr>
        <w:t>li</w:t>
      </w:r>
      <w:r w:rsidRPr="00EB3D94">
        <w:rPr>
          <w:rFonts w:cs="Arial"/>
          <w:lang w:val="es-ES"/>
        </w:rPr>
        <w:t>co;</w:t>
      </w:r>
      <w:r w:rsidRPr="00EB3D94">
        <w:rPr>
          <w:rFonts w:cs="Arial"/>
          <w:spacing w:val="-2"/>
          <w:lang w:val="es-ES"/>
        </w:rPr>
        <w:t xml:space="preserve"> </w:t>
      </w:r>
      <w:r w:rsidRPr="00EB3D94">
        <w:rPr>
          <w:rFonts w:cs="Arial"/>
          <w:spacing w:val="2"/>
          <w:lang w:val="es-ES"/>
        </w:rPr>
        <w:t>c</w:t>
      </w:r>
      <w:r w:rsidRPr="00EB3D94">
        <w:rPr>
          <w:rFonts w:cs="Arial"/>
          <w:lang w:val="es-ES"/>
        </w:rPr>
        <w:t>ua</w:t>
      </w:r>
      <w:r w:rsidRPr="00EB3D94">
        <w:rPr>
          <w:rFonts w:cs="Arial"/>
          <w:spacing w:val="-1"/>
          <w:lang w:val="es-ES"/>
        </w:rPr>
        <w:t>n</w:t>
      </w:r>
      <w:r w:rsidRPr="00EB3D94">
        <w:rPr>
          <w:rFonts w:cs="Arial"/>
          <w:lang w:val="es-ES"/>
        </w:rPr>
        <w:t>do el d</w:t>
      </w:r>
      <w:r w:rsidRPr="00EB3D94">
        <w:rPr>
          <w:rFonts w:cs="Arial"/>
          <w:spacing w:val="-1"/>
          <w:lang w:val="es-ES"/>
        </w:rPr>
        <w:t>e</w:t>
      </w:r>
      <w:r w:rsidRPr="00EB3D94">
        <w:rPr>
          <w:rFonts w:cs="Arial"/>
          <w:lang w:val="es-ES"/>
        </w:rPr>
        <w:t>s</w:t>
      </w:r>
      <w:r w:rsidRPr="00EB3D94">
        <w:rPr>
          <w:rFonts w:cs="Arial"/>
          <w:spacing w:val="1"/>
          <w:lang w:val="es-ES"/>
        </w:rPr>
        <w:t>t</w:t>
      </w:r>
      <w:r w:rsidRPr="00EB3D94">
        <w:rPr>
          <w:rFonts w:cs="Arial"/>
          <w:spacing w:val="-1"/>
          <w:lang w:val="es-ES"/>
        </w:rPr>
        <w:t>i</w:t>
      </w:r>
      <w:r w:rsidRPr="00EB3D94">
        <w:rPr>
          <w:rFonts w:cs="Arial"/>
          <w:lang w:val="es-ES"/>
        </w:rPr>
        <w:t>n</w:t>
      </w:r>
      <w:r w:rsidRPr="00EB3D94">
        <w:rPr>
          <w:rFonts w:cs="Arial"/>
          <w:spacing w:val="-1"/>
          <w:lang w:val="es-ES"/>
        </w:rPr>
        <w:t>a</w:t>
      </w:r>
      <w:r w:rsidRPr="00EB3D94">
        <w:rPr>
          <w:rFonts w:cs="Arial"/>
          <w:spacing w:val="1"/>
          <w:lang w:val="es-ES"/>
        </w:rPr>
        <w:t>t</w:t>
      </w:r>
      <w:r w:rsidRPr="00EB3D94">
        <w:rPr>
          <w:rFonts w:cs="Arial"/>
          <w:lang w:val="es-ES"/>
        </w:rPr>
        <w:t xml:space="preserve">ario </w:t>
      </w:r>
      <w:r w:rsidRPr="00EB3D94">
        <w:rPr>
          <w:rFonts w:cs="Arial"/>
          <w:spacing w:val="-3"/>
          <w:lang w:val="es-ES"/>
        </w:rPr>
        <w:t>s</w:t>
      </w:r>
      <w:r w:rsidRPr="00EB3D94">
        <w:rPr>
          <w:rFonts w:cs="Arial"/>
          <w:lang w:val="es-ES"/>
        </w:rPr>
        <w:t>ea un s</w:t>
      </w:r>
      <w:r w:rsidRPr="00EB3D94">
        <w:rPr>
          <w:rFonts w:cs="Arial"/>
          <w:spacing w:val="-3"/>
          <w:lang w:val="es-ES"/>
        </w:rPr>
        <w:t>u</w:t>
      </w:r>
      <w:r w:rsidRPr="00EB3D94">
        <w:rPr>
          <w:rFonts w:cs="Arial"/>
          <w:spacing w:val="1"/>
          <w:lang w:val="es-ES"/>
        </w:rPr>
        <w:t>j</w:t>
      </w:r>
      <w:r w:rsidRPr="00EB3D94">
        <w:rPr>
          <w:rFonts w:cs="Arial"/>
          <w:lang w:val="es-ES"/>
        </w:rPr>
        <w:t>e</w:t>
      </w:r>
      <w:r w:rsidRPr="00EB3D94">
        <w:rPr>
          <w:rFonts w:cs="Arial"/>
          <w:spacing w:val="-2"/>
          <w:lang w:val="es-ES"/>
        </w:rPr>
        <w:t>t</w:t>
      </w:r>
      <w:r w:rsidRPr="00EB3D94">
        <w:rPr>
          <w:rFonts w:cs="Arial"/>
          <w:lang w:val="es-ES"/>
        </w:rPr>
        <w:t>o p</w:t>
      </w:r>
      <w:r w:rsidRPr="00EB3D94">
        <w:rPr>
          <w:rFonts w:cs="Arial"/>
          <w:spacing w:val="1"/>
          <w:lang w:val="es-ES"/>
        </w:rPr>
        <w:t>r</w:t>
      </w:r>
      <w:r w:rsidRPr="00EB3D94">
        <w:rPr>
          <w:rFonts w:cs="Arial"/>
          <w:spacing w:val="-1"/>
          <w:lang w:val="es-ES"/>
        </w:rPr>
        <w:t>i</w:t>
      </w:r>
      <w:r w:rsidRPr="00EB3D94">
        <w:rPr>
          <w:rFonts w:cs="Arial"/>
          <w:spacing w:val="-2"/>
          <w:lang w:val="es-ES"/>
        </w:rPr>
        <w:t>v</w:t>
      </w:r>
      <w:r w:rsidRPr="00EB3D94">
        <w:rPr>
          <w:rFonts w:cs="Arial"/>
          <w:lang w:val="es-ES"/>
        </w:rPr>
        <w:t>ado,</w:t>
      </w:r>
      <w:r w:rsidRPr="00EB3D94">
        <w:rPr>
          <w:rFonts w:cs="Arial"/>
          <w:spacing w:val="3"/>
          <w:lang w:val="es-ES"/>
        </w:rPr>
        <w:t xml:space="preserve"> </w:t>
      </w:r>
      <w:r w:rsidRPr="00EB3D94">
        <w:rPr>
          <w:rFonts w:cs="Arial"/>
          <w:spacing w:val="-1"/>
          <w:lang w:val="es-ES"/>
        </w:rPr>
        <w:t>me</w:t>
      </w:r>
      <w:r w:rsidRPr="00EB3D94">
        <w:rPr>
          <w:rFonts w:cs="Arial"/>
          <w:lang w:val="es-ES"/>
        </w:rPr>
        <w:t>d</w:t>
      </w:r>
      <w:r w:rsidRPr="00EB3D94">
        <w:rPr>
          <w:rFonts w:cs="Arial"/>
          <w:spacing w:val="-1"/>
          <w:lang w:val="es-ES"/>
        </w:rPr>
        <w:t>i</w:t>
      </w:r>
      <w:r w:rsidRPr="00EB3D94">
        <w:rPr>
          <w:rFonts w:cs="Arial"/>
          <w:lang w:val="es-ES"/>
        </w:rPr>
        <w:t>an</w:t>
      </w:r>
      <w:r w:rsidRPr="00EB3D94">
        <w:rPr>
          <w:rFonts w:cs="Arial"/>
          <w:spacing w:val="-3"/>
          <w:lang w:val="es-ES"/>
        </w:rPr>
        <w:t>t</w:t>
      </w:r>
      <w:r w:rsidRPr="00EB3D94">
        <w:rPr>
          <w:rFonts w:cs="Arial"/>
          <w:lang w:val="es-ES"/>
        </w:rPr>
        <w:t>e</w:t>
      </w:r>
      <w:r w:rsidRPr="00EB3D94">
        <w:rPr>
          <w:rFonts w:cs="Arial"/>
          <w:spacing w:val="2"/>
          <w:lang w:val="es-ES"/>
        </w:rPr>
        <w:t xml:space="preserve"> </w:t>
      </w:r>
      <w:r w:rsidRPr="00EB3D94">
        <w:rPr>
          <w:rFonts w:cs="Arial"/>
          <w:lang w:val="es-ES"/>
        </w:rPr>
        <w:t xml:space="preserve">un </w:t>
      </w:r>
      <w:r w:rsidRPr="00EB3D94">
        <w:rPr>
          <w:rFonts w:cs="Arial"/>
          <w:lang w:val="es-ES"/>
        </w:rPr>
        <w:lastRenderedPageBreak/>
        <w:t>c</w:t>
      </w:r>
      <w:r w:rsidRPr="00EB3D94">
        <w:rPr>
          <w:rFonts w:cs="Arial"/>
          <w:spacing w:val="-3"/>
          <w:lang w:val="es-ES"/>
        </w:rPr>
        <w:t>e</w:t>
      </w:r>
      <w:r w:rsidRPr="00EB3D94">
        <w:rPr>
          <w:rFonts w:cs="Arial"/>
          <w:spacing w:val="1"/>
          <w:lang w:val="es-ES"/>
        </w:rPr>
        <w:t>rt</w:t>
      </w:r>
      <w:r w:rsidRPr="00EB3D94">
        <w:rPr>
          <w:rFonts w:cs="Arial"/>
          <w:spacing w:val="-3"/>
          <w:lang w:val="es-ES"/>
        </w:rPr>
        <w:t>i</w:t>
      </w:r>
      <w:r w:rsidRPr="00EB3D94">
        <w:rPr>
          <w:rFonts w:cs="Arial"/>
          <w:spacing w:val="3"/>
          <w:lang w:val="es-ES"/>
        </w:rPr>
        <w:t>f</w:t>
      </w:r>
      <w:r w:rsidRPr="00EB3D94">
        <w:rPr>
          <w:rFonts w:cs="Arial"/>
          <w:spacing w:val="-1"/>
          <w:lang w:val="es-ES"/>
        </w:rPr>
        <w:t>i</w:t>
      </w:r>
      <w:r w:rsidRPr="00EB3D94">
        <w:rPr>
          <w:rFonts w:cs="Arial"/>
          <w:lang w:val="es-ES"/>
        </w:rPr>
        <w:t>c</w:t>
      </w:r>
      <w:r w:rsidRPr="00EB3D94">
        <w:rPr>
          <w:rFonts w:cs="Arial"/>
          <w:spacing w:val="-3"/>
          <w:lang w:val="es-ES"/>
        </w:rPr>
        <w:t>a</w:t>
      </w:r>
      <w:r w:rsidRPr="00EB3D94">
        <w:rPr>
          <w:rFonts w:cs="Arial"/>
          <w:lang w:val="es-ES"/>
        </w:rPr>
        <w:t>do</w:t>
      </w:r>
      <w:r w:rsidRPr="00EB3D94">
        <w:rPr>
          <w:rFonts w:cs="Arial"/>
          <w:spacing w:val="2"/>
          <w:lang w:val="es-ES"/>
        </w:rPr>
        <w:t xml:space="preserve"> </w:t>
      </w:r>
      <w:r w:rsidRPr="00EB3D94">
        <w:rPr>
          <w:rFonts w:cs="Arial"/>
          <w:lang w:val="es-ES"/>
        </w:rPr>
        <w:t>e</w:t>
      </w:r>
      <w:r w:rsidRPr="00EB3D94">
        <w:rPr>
          <w:rFonts w:cs="Arial"/>
          <w:spacing w:val="-3"/>
          <w:lang w:val="es-ES"/>
        </w:rPr>
        <w:t>x</w:t>
      </w:r>
      <w:r w:rsidRPr="00EB3D94">
        <w:rPr>
          <w:rFonts w:cs="Arial"/>
          <w:lang w:val="es-ES"/>
        </w:rPr>
        <w:t>p</w:t>
      </w:r>
      <w:r w:rsidRPr="00EB3D94">
        <w:rPr>
          <w:rFonts w:cs="Arial"/>
          <w:spacing w:val="-1"/>
          <w:lang w:val="es-ES"/>
        </w:rPr>
        <w:t>e</w:t>
      </w:r>
      <w:r w:rsidRPr="00EB3D94">
        <w:rPr>
          <w:rFonts w:cs="Arial"/>
          <w:lang w:val="es-ES"/>
        </w:rPr>
        <w:t>d</w:t>
      </w:r>
      <w:r w:rsidRPr="00EB3D94">
        <w:rPr>
          <w:rFonts w:cs="Arial"/>
          <w:spacing w:val="-1"/>
          <w:lang w:val="es-ES"/>
        </w:rPr>
        <w:t>i</w:t>
      </w:r>
      <w:r w:rsidRPr="00EB3D94">
        <w:rPr>
          <w:rFonts w:cs="Arial"/>
          <w:lang w:val="es-ES"/>
        </w:rPr>
        <w:t>do</w:t>
      </w:r>
      <w:r w:rsidRPr="00EB3D94">
        <w:rPr>
          <w:rFonts w:cs="Arial"/>
          <w:spacing w:val="2"/>
          <w:lang w:val="es-ES"/>
        </w:rPr>
        <w:t xml:space="preserve"> </w:t>
      </w:r>
      <w:r w:rsidRPr="00EB3D94">
        <w:rPr>
          <w:rFonts w:cs="Arial"/>
          <w:lang w:val="es-ES"/>
        </w:rPr>
        <w:t>p</w:t>
      </w:r>
      <w:r w:rsidRPr="00EB3D94">
        <w:rPr>
          <w:rFonts w:cs="Arial"/>
          <w:spacing w:val="-3"/>
          <w:lang w:val="es-ES"/>
        </w:rPr>
        <w:t>o</w:t>
      </w:r>
      <w:r w:rsidRPr="00EB3D94">
        <w:rPr>
          <w:rFonts w:cs="Arial"/>
          <w:lang w:val="es-ES"/>
        </w:rPr>
        <w:t xml:space="preserve">r </w:t>
      </w:r>
      <w:r w:rsidRPr="00EB3D94">
        <w:rPr>
          <w:rFonts w:cs="Arial"/>
          <w:spacing w:val="2"/>
          <w:lang w:val="es-ES"/>
        </w:rPr>
        <w:t>e</w:t>
      </w:r>
      <w:r w:rsidRPr="00EB3D94">
        <w:rPr>
          <w:rFonts w:cs="Arial"/>
          <w:lang w:val="es-ES"/>
        </w:rPr>
        <w:t>s</w:t>
      </w:r>
      <w:r w:rsidRPr="00EB3D94">
        <w:rPr>
          <w:rFonts w:cs="Arial"/>
          <w:spacing w:val="-2"/>
          <w:lang w:val="es-ES"/>
        </w:rPr>
        <w:t>t</w:t>
      </w:r>
      <w:r w:rsidRPr="00EB3D94">
        <w:rPr>
          <w:rFonts w:cs="Arial"/>
          <w:lang w:val="es-ES"/>
        </w:rPr>
        <w:t>e</w:t>
      </w:r>
      <w:r w:rsidRPr="00EB3D94">
        <w:rPr>
          <w:rFonts w:cs="Arial"/>
          <w:spacing w:val="4"/>
          <w:lang w:val="es-ES"/>
        </w:rPr>
        <w:t xml:space="preserve"> </w:t>
      </w:r>
      <w:r w:rsidRPr="00EB3D94">
        <w:rPr>
          <w:rFonts w:cs="Arial"/>
          <w:lang w:val="es-ES"/>
        </w:rPr>
        <w:t>o,</w:t>
      </w:r>
      <w:r w:rsidRPr="00EB3D94">
        <w:rPr>
          <w:rFonts w:cs="Arial"/>
          <w:spacing w:val="4"/>
          <w:lang w:val="es-ES"/>
        </w:rPr>
        <w:t xml:space="preserve"> </w:t>
      </w:r>
      <w:r w:rsidRPr="00EB3D94">
        <w:rPr>
          <w:rFonts w:cs="Arial"/>
          <w:lang w:val="es-ES"/>
        </w:rPr>
        <w:t xml:space="preserve">a </w:t>
      </w:r>
      <w:r w:rsidRPr="00EB3D94">
        <w:rPr>
          <w:rFonts w:cs="Arial"/>
          <w:spacing w:val="1"/>
          <w:lang w:val="es-ES"/>
        </w:rPr>
        <w:t>f</w:t>
      </w:r>
      <w:r w:rsidRPr="00EB3D94">
        <w:rPr>
          <w:rFonts w:cs="Arial"/>
          <w:lang w:val="es-ES"/>
        </w:rPr>
        <w:t>a</w:t>
      </w:r>
      <w:r w:rsidRPr="00EB3D94">
        <w:rPr>
          <w:rFonts w:cs="Arial"/>
          <w:spacing w:val="-1"/>
          <w:lang w:val="es-ES"/>
        </w:rPr>
        <w:t>l</w:t>
      </w:r>
      <w:r w:rsidRPr="00EB3D94">
        <w:rPr>
          <w:rFonts w:cs="Arial"/>
          <w:lang w:val="es-ES"/>
        </w:rPr>
        <w:t xml:space="preserve">ta </w:t>
      </w:r>
      <w:r w:rsidRPr="00EB3D94">
        <w:rPr>
          <w:rFonts w:cs="Arial"/>
          <w:spacing w:val="-1"/>
          <w:lang w:val="es-ES"/>
        </w:rPr>
        <w:t xml:space="preserve">de </w:t>
      </w:r>
      <w:r w:rsidRPr="00EB3D94">
        <w:rPr>
          <w:rFonts w:cs="Arial"/>
          <w:lang w:val="es-ES"/>
        </w:rPr>
        <w:t>este</w:t>
      </w:r>
      <w:r w:rsidRPr="00EB3D94">
        <w:rPr>
          <w:rFonts w:cs="Arial"/>
          <w:spacing w:val="1"/>
          <w:lang w:val="es-ES"/>
        </w:rPr>
        <w:t xml:space="preserve"> </w:t>
      </w:r>
      <w:r w:rsidRPr="00EB3D94">
        <w:rPr>
          <w:rFonts w:cs="Arial"/>
          <w:lang w:val="es-ES"/>
        </w:rPr>
        <w:t>ce</w:t>
      </w:r>
      <w:r w:rsidRPr="00EB3D94">
        <w:rPr>
          <w:rFonts w:cs="Arial"/>
          <w:spacing w:val="-2"/>
          <w:lang w:val="es-ES"/>
        </w:rPr>
        <w:t>r</w:t>
      </w:r>
      <w:r w:rsidRPr="00EB3D94">
        <w:rPr>
          <w:rFonts w:cs="Arial"/>
          <w:spacing w:val="1"/>
          <w:lang w:val="es-ES"/>
        </w:rPr>
        <w:t>t</w:t>
      </w:r>
      <w:r w:rsidRPr="00EB3D94">
        <w:rPr>
          <w:rFonts w:cs="Arial"/>
          <w:spacing w:val="-3"/>
          <w:lang w:val="es-ES"/>
        </w:rPr>
        <w:t>i</w:t>
      </w:r>
      <w:r w:rsidRPr="00EB3D94">
        <w:rPr>
          <w:rFonts w:cs="Arial"/>
          <w:spacing w:val="3"/>
          <w:lang w:val="es-ES"/>
        </w:rPr>
        <w:t>f</w:t>
      </w:r>
      <w:r w:rsidRPr="00EB3D94">
        <w:rPr>
          <w:rFonts w:cs="Arial"/>
          <w:spacing w:val="-1"/>
          <w:lang w:val="es-ES"/>
        </w:rPr>
        <w:t>i</w:t>
      </w:r>
      <w:r w:rsidRPr="00EB3D94">
        <w:rPr>
          <w:rFonts w:cs="Arial"/>
          <w:lang w:val="es-ES"/>
        </w:rPr>
        <w:t>ca</w:t>
      </w:r>
      <w:r w:rsidRPr="00EB3D94">
        <w:rPr>
          <w:rFonts w:cs="Arial"/>
          <w:spacing w:val="-2"/>
          <w:lang w:val="es-ES"/>
        </w:rPr>
        <w:t>do</w:t>
      </w:r>
      <w:r w:rsidRPr="00EB3D94">
        <w:rPr>
          <w:rFonts w:cs="Arial"/>
          <w:lang w:val="es-ES"/>
        </w:rPr>
        <w:t>,</w:t>
      </w:r>
      <w:r w:rsidRPr="00EB3D94">
        <w:rPr>
          <w:rFonts w:cs="Arial"/>
          <w:spacing w:val="4"/>
          <w:lang w:val="es-ES"/>
        </w:rPr>
        <w:t xml:space="preserve"> </w:t>
      </w:r>
      <w:r w:rsidRPr="00EB3D94">
        <w:rPr>
          <w:rFonts w:cs="Arial"/>
          <w:spacing w:val="-1"/>
          <w:lang w:val="es-ES"/>
        </w:rPr>
        <w:t>me</w:t>
      </w:r>
      <w:r w:rsidRPr="00EB3D94">
        <w:rPr>
          <w:rFonts w:cs="Arial"/>
          <w:lang w:val="es-ES"/>
        </w:rPr>
        <w:t>d</w:t>
      </w:r>
      <w:r w:rsidRPr="00EB3D94">
        <w:rPr>
          <w:rFonts w:cs="Arial"/>
          <w:spacing w:val="-1"/>
          <w:lang w:val="es-ES"/>
        </w:rPr>
        <w:t>i</w:t>
      </w:r>
      <w:r w:rsidRPr="00EB3D94">
        <w:rPr>
          <w:rFonts w:cs="Arial"/>
          <w:lang w:val="es-ES"/>
        </w:rPr>
        <w:t>an</w:t>
      </w:r>
      <w:r w:rsidRPr="00EB3D94">
        <w:rPr>
          <w:rFonts w:cs="Arial"/>
          <w:spacing w:val="-1"/>
          <w:lang w:val="es-ES"/>
        </w:rPr>
        <w:t>t</w:t>
      </w:r>
      <w:r w:rsidRPr="00EB3D94">
        <w:rPr>
          <w:rFonts w:cs="Arial"/>
          <w:lang w:val="es-ES"/>
        </w:rPr>
        <w:t>e</w:t>
      </w:r>
      <w:r w:rsidRPr="00EB3D94">
        <w:rPr>
          <w:rFonts w:cs="Arial"/>
          <w:spacing w:val="4"/>
          <w:lang w:val="es-ES"/>
        </w:rPr>
        <w:t xml:space="preserve"> </w:t>
      </w:r>
      <w:r w:rsidRPr="00EB3D94">
        <w:rPr>
          <w:rFonts w:cs="Arial"/>
          <w:lang w:val="es-ES"/>
        </w:rPr>
        <w:t>u</w:t>
      </w:r>
      <w:r w:rsidRPr="00EB3D94">
        <w:rPr>
          <w:rFonts w:cs="Arial"/>
          <w:spacing w:val="-1"/>
          <w:lang w:val="es-ES"/>
        </w:rPr>
        <w:t>n</w:t>
      </w:r>
      <w:r w:rsidRPr="00EB3D94">
        <w:rPr>
          <w:rFonts w:cs="Arial"/>
          <w:lang w:val="es-ES"/>
        </w:rPr>
        <w:t>a</w:t>
      </w:r>
      <w:r w:rsidRPr="00EB3D94">
        <w:rPr>
          <w:rFonts w:cs="Arial"/>
          <w:spacing w:val="3"/>
          <w:lang w:val="es-ES"/>
        </w:rPr>
        <w:t xml:space="preserve"> </w:t>
      </w:r>
      <w:r w:rsidRPr="00EB3D94">
        <w:rPr>
          <w:rFonts w:cs="Arial"/>
          <w:lang w:val="es-ES"/>
        </w:rPr>
        <w:t>d</w:t>
      </w:r>
      <w:r w:rsidRPr="00EB3D94">
        <w:rPr>
          <w:rFonts w:cs="Arial"/>
          <w:spacing w:val="-1"/>
          <w:lang w:val="es-ES"/>
        </w:rPr>
        <w:t>e</w:t>
      </w:r>
      <w:r w:rsidRPr="00EB3D94">
        <w:rPr>
          <w:rFonts w:cs="Arial"/>
          <w:lang w:val="es-ES"/>
        </w:rPr>
        <w:t>c</w:t>
      </w:r>
      <w:r w:rsidRPr="00EB3D94">
        <w:rPr>
          <w:rFonts w:cs="Arial"/>
          <w:spacing w:val="-1"/>
          <w:lang w:val="es-ES"/>
        </w:rPr>
        <w:t>l</w:t>
      </w:r>
      <w:r w:rsidRPr="00EB3D94">
        <w:rPr>
          <w:rFonts w:cs="Arial"/>
          <w:lang w:val="es-ES"/>
        </w:rPr>
        <w:t>arac</w:t>
      </w:r>
      <w:r w:rsidRPr="00EB3D94">
        <w:rPr>
          <w:rFonts w:cs="Arial"/>
          <w:spacing w:val="-1"/>
          <w:lang w:val="es-ES"/>
        </w:rPr>
        <w:t>i</w:t>
      </w:r>
      <w:r w:rsidRPr="00EB3D94">
        <w:rPr>
          <w:rFonts w:cs="Arial"/>
          <w:lang w:val="es-ES"/>
        </w:rPr>
        <w:t>ón del</w:t>
      </w:r>
      <w:r w:rsidRPr="00EB3D94">
        <w:rPr>
          <w:rFonts w:cs="Arial"/>
          <w:spacing w:val="2"/>
          <w:lang w:val="es-ES"/>
        </w:rPr>
        <w:t xml:space="preserve"> </w:t>
      </w:r>
      <w:r w:rsidRPr="00EB3D94">
        <w:rPr>
          <w:rFonts w:cs="Arial"/>
          <w:lang w:val="es-ES"/>
        </w:rPr>
        <w:t>empre</w:t>
      </w:r>
      <w:r w:rsidRPr="00EB3D94">
        <w:rPr>
          <w:rFonts w:cs="Arial"/>
          <w:spacing w:val="1"/>
          <w:lang w:val="es-ES"/>
        </w:rPr>
        <w:t>s</w:t>
      </w:r>
      <w:r w:rsidRPr="00EB3D94">
        <w:rPr>
          <w:rFonts w:cs="Arial"/>
          <w:lang w:val="es-ES"/>
        </w:rPr>
        <w:t>a</w:t>
      </w:r>
      <w:r w:rsidRPr="00EB3D94">
        <w:rPr>
          <w:rFonts w:cs="Arial"/>
          <w:spacing w:val="-1"/>
          <w:lang w:val="es-ES"/>
        </w:rPr>
        <w:t>r</w:t>
      </w:r>
      <w:r w:rsidRPr="00EB3D94">
        <w:rPr>
          <w:rFonts w:cs="Arial"/>
          <w:spacing w:val="1"/>
          <w:lang w:val="es-ES"/>
        </w:rPr>
        <w:t>i</w:t>
      </w:r>
      <w:r w:rsidRPr="00EB3D94">
        <w:rPr>
          <w:rFonts w:cs="Arial"/>
          <w:lang w:val="es-ES"/>
        </w:rPr>
        <w:t>o ac</w:t>
      </w:r>
      <w:r w:rsidRPr="00EB3D94">
        <w:rPr>
          <w:rFonts w:cs="Arial"/>
          <w:spacing w:val="-1"/>
          <w:lang w:val="es-ES"/>
        </w:rPr>
        <w:t>o</w:t>
      </w:r>
      <w:r w:rsidRPr="00EB3D94">
        <w:rPr>
          <w:rFonts w:cs="Arial"/>
          <w:spacing w:val="1"/>
          <w:lang w:val="es-ES"/>
        </w:rPr>
        <w:t>m</w:t>
      </w:r>
      <w:r w:rsidRPr="00EB3D94">
        <w:rPr>
          <w:rFonts w:cs="Arial"/>
          <w:lang w:val="es-ES"/>
        </w:rPr>
        <w:t>p</w:t>
      </w:r>
      <w:r w:rsidRPr="00EB3D94">
        <w:rPr>
          <w:rFonts w:cs="Arial"/>
          <w:spacing w:val="-1"/>
          <w:lang w:val="es-ES"/>
        </w:rPr>
        <w:t>a</w:t>
      </w:r>
      <w:r w:rsidRPr="00EB3D94">
        <w:rPr>
          <w:rFonts w:cs="Arial"/>
          <w:lang w:val="es-ES"/>
        </w:rPr>
        <w:t>ña</w:t>
      </w:r>
      <w:r w:rsidRPr="00EB3D94">
        <w:rPr>
          <w:rFonts w:cs="Arial"/>
          <w:spacing w:val="-1"/>
          <w:lang w:val="es-ES"/>
        </w:rPr>
        <w:t>d</w:t>
      </w:r>
      <w:r w:rsidRPr="00EB3D94">
        <w:rPr>
          <w:rFonts w:cs="Arial"/>
          <w:lang w:val="es-ES"/>
        </w:rPr>
        <w:t xml:space="preserve">a de </w:t>
      </w:r>
      <w:r w:rsidRPr="00EB3D94">
        <w:rPr>
          <w:rFonts w:cs="Arial"/>
          <w:spacing w:val="-1"/>
          <w:lang w:val="es-ES"/>
        </w:rPr>
        <w:t>l</w:t>
      </w:r>
      <w:r w:rsidRPr="00EB3D94">
        <w:rPr>
          <w:rFonts w:cs="Arial"/>
          <w:lang w:val="es-ES"/>
        </w:rPr>
        <w:t>os</w:t>
      </w:r>
      <w:r w:rsidRPr="00EB3D94">
        <w:rPr>
          <w:rFonts w:cs="Arial"/>
          <w:spacing w:val="1"/>
          <w:lang w:val="es-ES"/>
        </w:rPr>
        <w:t xml:space="preserve"> </w:t>
      </w:r>
      <w:r w:rsidRPr="00EB3D94">
        <w:rPr>
          <w:rFonts w:cs="Arial"/>
          <w:lang w:val="es-ES"/>
        </w:rPr>
        <w:t>d</w:t>
      </w:r>
      <w:r w:rsidRPr="00EB3D94">
        <w:rPr>
          <w:rFonts w:cs="Arial"/>
          <w:spacing w:val="-1"/>
          <w:lang w:val="es-ES"/>
        </w:rPr>
        <w:t>o</w:t>
      </w:r>
      <w:r w:rsidRPr="00EB3D94">
        <w:rPr>
          <w:rFonts w:cs="Arial"/>
          <w:lang w:val="es-ES"/>
        </w:rPr>
        <w:t>cumen</w:t>
      </w:r>
      <w:r w:rsidRPr="00EB3D94">
        <w:rPr>
          <w:rFonts w:cs="Arial"/>
          <w:spacing w:val="1"/>
          <w:lang w:val="es-ES"/>
        </w:rPr>
        <w:t>t</w:t>
      </w:r>
      <w:r w:rsidRPr="00EB3D94">
        <w:rPr>
          <w:rFonts w:cs="Arial"/>
          <w:lang w:val="es-ES"/>
        </w:rPr>
        <w:t>os</w:t>
      </w:r>
      <w:r w:rsidRPr="00EB3D94">
        <w:rPr>
          <w:rFonts w:cs="Arial"/>
          <w:spacing w:val="1"/>
          <w:lang w:val="es-ES"/>
        </w:rPr>
        <w:t xml:space="preserve"> </w:t>
      </w:r>
      <w:r w:rsidRPr="00EB3D94">
        <w:rPr>
          <w:rFonts w:cs="Arial"/>
          <w:lang w:val="es-ES"/>
        </w:rPr>
        <w:t>o</w:t>
      </w:r>
      <w:r w:rsidRPr="00EB3D94">
        <w:rPr>
          <w:rFonts w:cs="Arial"/>
          <w:spacing w:val="-3"/>
          <w:lang w:val="es-ES"/>
        </w:rPr>
        <w:t>b</w:t>
      </w:r>
      <w:r w:rsidRPr="00EB3D94">
        <w:rPr>
          <w:rFonts w:cs="Arial"/>
          <w:spacing w:val="1"/>
          <w:lang w:val="es-ES"/>
        </w:rPr>
        <w:t>r</w:t>
      </w:r>
      <w:r w:rsidRPr="00EB3D94">
        <w:rPr>
          <w:rFonts w:cs="Arial"/>
          <w:lang w:val="es-ES"/>
        </w:rPr>
        <w:t>a</w:t>
      </w:r>
      <w:r w:rsidRPr="00EB3D94">
        <w:rPr>
          <w:rFonts w:cs="Arial"/>
          <w:spacing w:val="-3"/>
          <w:lang w:val="es-ES"/>
        </w:rPr>
        <w:t>n</w:t>
      </w:r>
      <w:r w:rsidRPr="00EB3D94">
        <w:rPr>
          <w:rFonts w:cs="Arial"/>
          <w:spacing w:val="1"/>
          <w:lang w:val="es-ES"/>
        </w:rPr>
        <w:t>t</w:t>
      </w:r>
      <w:r w:rsidR="001E0739" w:rsidRPr="00EB3D94">
        <w:rPr>
          <w:rFonts w:cs="Arial"/>
          <w:spacing w:val="1"/>
          <w:lang w:val="es-ES"/>
        </w:rPr>
        <w:t>e</w:t>
      </w:r>
      <w:r w:rsidRPr="00EB3D94">
        <w:rPr>
          <w:rFonts w:cs="Arial"/>
          <w:lang w:val="es-ES"/>
        </w:rPr>
        <w:t>s</w:t>
      </w:r>
      <w:r w:rsidRPr="00EB3D94">
        <w:rPr>
          <w:rFonts w:cs="Arial"/>
          <w:spacing w:val="1"/>
          <w:lang w:val="es-ES"/>
        </w:rPr>
        <w:t xml:space="preserve"> </w:t>
      </w:r>
      <w:r w:rsidR="001E0739" w:rsidRPr="00EB3D94">
        <w:rPr>
          <w:rFonts w:cs="Arial"/>
          <w:lang w:val="es-ES"/>
        </w:rPr>
        <w:t xml:space="preserve">en </w:t>
      </w:r>
      <w:r w:rsidRPr="00EB3D94">
        <w:rPr>
          <w:rFonts w:cs="Arial"/>
          <w:lang w:val="es-ES"/>
        </w:rPr>
        <w:t>p</w:t>
      </w:r>
      <w:r w:rsidRPr="00EB3D94">
        <w:rPr>
          <w:rFonts w:cs="Arial"/>
          <w:spacing w:val="-1"/>
          <w:lang w:val="es-ES"/>
        </w:rPr>
        <w:t>o</w:t>
      </w:r>
      <w:r w:rsidRPr="00EB3D94">
        <w:rPr>
          <w:rFonts w:cs="Arial"/>
          <w:lang w:val="es-ES"/>
        </w:rPr>
        <w:t>d</w:t>
      </w:r>
      <w:r w:rsidRPr="00EB3D94">
        <w:rPr>
          <w:rFonts w:cs="Arial"/>
          <w:spacing w:val="-1"/>
          <w:lang w:val="es-ES"/>
        </w:rPr>
        <w:t>e</w:t>
      </w:r>
      <w:r w:rsidRPr="00EB3D94">
        <w:rPr>
          <w:rFonts w:cs="Arial"/>
          <w:lang w:val="es-ES"/>
        </w:rPr>
        <w:t>r</w:t>
      </w:r>
      <w:r w:rsidRPr="00EB3D94">
        <w:rPr>
          <w:rFonts w:cs="Arial"/>
          <w:spacing w:val="-3"/>
          <w:lang w:val="es-ES"/>
        </w:rPr>
        <w:t xml:space="preserve"> </w:t>
      </w:r>
      <w:r w:rsidRPr="00EB3D94">
        <w:rPr>
          <w:rFonts w:cs="Arial"/>
          <w:lang w:val="es-ES"/>
        </w:rPr>
        <w:t>d</w:t>
      </w:r>
      <w:r w:rsidRPr="00EB3D94">
        <w:rPr>
          <w:rFonts w:cs="Arial"/>
          <w:spacing w:val="-1"/>
          <w:lang w:val="es-ES"/>
        </w:rPr>
        <w:t>e</w:t>
      </w:r>
      <w:r w:rsidRPr="00EB3D94">
        <w:rPr>
          <w:rFonts w:cs="Arial"/>
          <w:lang w:val="es-ES"/>
        </w:rPr>
        <w:t>l mis</w:t>
      </w:r>
      <w:r w:rsidRPr="00EB3D94">
        <w:rPr>
          <w:rFonts w:cs="Arial"/>
          <w:spacing w:val="1"/>
          <w:lang w:val="es-ES"/>
        </w:rPr>
        <w:t>m</w:t>
      </w:r>
      <w:r w:rsidRPr="00EB3D94">
        <w:rPr>
          <w:rFonts w:cs="Arial"/>
          <w:lang w:val="es-ES"/>
        </w:rPr>
        <w:t>o</w:t>
      </w:r>
      <w:r w:rsidRPr="00EB3D94">
        <w:rPr>
          <w:rFonts w:cs="Arial"/>
          <w:spacing w:val="-1"/>
          <w:lang w:val="es-ES"/>
        </w:rPr>
        <w:t xml:space="preserve"> </w:t>
      </w:r>
      <w:r w:rsidRPr="00EB3D94">
        <w:rPr>
          <w:rFonts w:cs="Arial"/>
          <w:spacing w:val="2"/>
          <w:lang w:val="es-ES"/>
        </w:rPr>
        <w:t>q</w:t>
      </w:r>
      <w:r w:rsidRPr="00EB3D94">
        <w:rPr>
          <w:rFonts w:cs="Arial"/>
          <w:lang w:val="es-ES"/>
        </w:rPr>
        <w:t>ue a</w:t>
      </w:r>
      <w:r w:rsidRPr="00EB3D94">
        <w:rPr>
          <w:rFonts w:cs="Arial"/>
          <w:spacing w:val="-3"/>
          <w:lang w:val="es-ES"/>
        </w:rPr>
        <w:t>c</w:t>
      </w:r>
      <w:r w:rsidRPr="00EB3D94">
        <w:rPr>
          <w:rFonts w:cs="Arial"/>
          <w:spacing w:val="1"/>
          <w:lang w:val="es-ES"/>
        </w:rPr>
        <w:t>r</w:t>
      </w:r>
      <w:r w:rsidRPr="00EB3D94">
        <w:rPr>
          <w:rFonts w:cs="Arial"/>
          <w:lang w:val="es-ES"/>
        </w:rPr>
        <w:t>e</w:t>
      </w:r>
      <w:r w:rsidRPr="00EB3D94">
        <w:rPr>
          <w:rFonts w:cs="Arial"/>
          <w:spacing w:val="-1"/>
          <w:lang w:val="es-ES"/>
        </w:rPr>
        <w:t>di</w:t>
      </w:r>
      <w:r w:rsidRPr="00EB3D94">
        <w:rPr>
          <w:rFonts w:cs="Arial"/>
          <w:spacing w:val="1"/>
          <w:lang w:val="es-ES"/>
        </w:rPr>
        <w:t>t</w:t>
      </w:r>
      <w:r w:rsidRPr="00EB3D94">
        <w:rPr>
          <w:rFonts w:cs="Arial"/>
          <w:spacing w:val="-1"/>
          <w:lang w:val="es-ES"/>
        </w:rPr>
        <w:t>e</w:t>
      </w:r>
      <w:r w:rsidRPr="00EB3D94">
        <w:rPr>
          <w:rFonts w:cs="Arial"/>
          <w:lang w:val="es-ES"/>
        </w:rPr>
        <w:t xml:space="preserve">n la </w:t>
      </w:r>
      <w:r w:rsidRPr="00EB3D94">
        <w:rPr>
          <w:rFonts w:cs="Arial"/>
          <w:spacing w:val="1"/>
          <w:lang w:val="es-ES"/>
        </w:rPr>
        <w:t>r</w:t>
      </w:r>
      <w:r w:rsidRPr="00EB3D94">
        <w:rPr>
          <w:rFonts w:cs="Arial"/>
          <w:lang w:val="es-ES"/>
        </w:rPr>
        <w:t>e</w:t>
      </w:r>
      <w:r w:rsidRPr="00EB3D94">
        <w:rPr>
          <w:rFonts w:cs="Arial"/>
          <w:spacing w:val="-1"/>
          <w:lang w:val="es-ES"/>
        </w:rPr>
        <w:t>ali</w:t>
      </w:r>
      <w:r w:rsidRPr="00EB3D94">
        <w:rPr>
          <w:rFonts w:cs="Arial"/>
          <w:spacing w:val="1"/>
          <w:lang w:val="es-ES"/>
        </w:rPr>
        <w:t>z</w:t>
      </w:r>
      <w:r w:rsidRPr="00EB3D94">
        <w:rPr>
          <w:rFonts w:cs="Arial"/>
          <w:spacing w:val="-2"/>
          <w:lang w:val="es-ES"/>
        </w:rPr>
        <w:t>a</w:t>
      </w:r>
      <w:r w:rsidRPr="00EB3D94">
        <w:rPr>
          <w:rFonts w:cs="Arial"/>
          <w:lang w:val="es-ES"/>
        </w:rPr>
        <w:t>ci</w:t>
      </w:r>
      <w:r w:rsidRPr="00EB3D94">
        <w:rPr>
          <w:rFonts w:cs="Arial"/>
          <w:spacing w:val="-1"/>
          <w:lang w:val="es-ES"/>
        </w:rPr>
        <w:t>ó</w:t>
      </w:r>
      <w:r w:rsidRPr="00EB3D94">
        <w:rPr>
          <w:rFonts w:cs="Arial"/>
          <w:lang w:val="es-ES"/>
        </w:rPr>
        <w:t>n de</w:t>
      </w:r>
      <w:r w:rsidRPr="00EB3D94">
        <w:rPr>
          <w:rFonts w:cs="Arial"/>
          <w:spacing w:val="1"/>
          <w:lang w:val="es-ES"/>
        </w:rPr>
        <w:t xml:space="preserve"> </w:t>
      </w:r>
      <w:r w:rsidRPr="00EB3D94">
        <w:rPr>
          <w:rFonts w:cs="Arial"/>
          <w:spacing w:val="-1"/>
          <w:lang w:val="es-ES"/>
        </w:rPr>
        <w:t>l</w:t>
      </w:r>
      <w:r w:rsidRPr="00EB3D94">
        <w:rPr>
          <w:rFonts w:cs="Arial"/>
          <w:lang w:val="es-ES"/>
        </w:rPr>
        <w:t>a pres</w:t>
      </w:r>
      <w:r w:rsidRPr="00EB3D94">
        <w:rPr>
          <w:rFonts w:cs="Arial"/>
          <w:spacing w:val="1"/>
          <w:lang w:val="es-ES"/>
        </w:rPr>
        <w:t>t</w:t>
      </w:r>
      <w:r w:rsidRPr="00EB3D94">
        <w:rPr>
          <w:rFonts w:cs="Arial"/>
          <w:lang w:val="es-ES"/>
        </w:rPr>
        <w:t>ac</w:t>
      </w:r>
      <w:r w:rsidRPr="00EB3D94">
        <w:rPr>
          <w:rFonts w:cs="Arial"/>
          <w:spacing w:val="-1"/>
          <w:lang w:val="es-ES"/>
        </w:rPr>
        <w:t>i</w:t>
      </w:r>
      <w:r w:rsidRPr="00EB3D94">
        <w:rPr>
          <w:rFonts w:cs="Arial"/>
          <w:spacing w:val="-3"/>
          <w:lang w:val="es-ES"/>
        </w:rPr>
        <w:t>ón</w:t>
      </w:r>
      <w:r w:rsidRPr="00EB3D94">
        <w:rPr>
          <w:rFonts w:cs="Arial"/>
          <w:lang w:val="es-ES"/>
        </w:rPr>
        <w:t>;</w:t>
      </w:r>
      <w:r w:rsidRPr="00EB3D94">
        <w:rPr>
          <w:rFonts w:cs="Arial"/>
          <w:spacing w:val="4"/>
          <w:lang w:val="es-ES"/>
        </w:rPr>
        <w:t xml:space="preserve"> </w:t>
      </w:r>
      <w:r w:rsidRPr="00EB3D94">
        <w:rPr>
          <w:rFonts w:cs="Arial"/>
          <w:lang w:val="es-ES"/>
        </w:rPr>
        <w:t>en</w:t>
      </w:r>
      <w:r w:rsidRPr="00EB3D94">
        <w:rPr>
          <w:rFonts w:cs="Arial"/>
          <w:spacing w:val="2"/>
          <w:lang w:val="es-ES"/>
        </w:rPr>
        <w:t xml:space="preserve"> </w:t>
      </w:r>
      <w:r w:rsidRPr="00EB3D94">
        <w:rPr>
          <w:rFonts w:cs="Arial"/>
          <w:lang w:val="es-ES"/>
        </w:rPr>
        <w:t>su</w:t>
      </w:r>
      <w:r w:rsidRPr="00EB3D94">
        <w:rPr>
          <w:rFonts w:cs="Arial"/>
          <w:spacing w:val="2"/>
          <w:lang w:val="es-ES"/>
        </w:rPr>
        <w:t xml:space="preserve">  </w:t>
      </w:r>
      <w:r w:rsidRPr="00EB3D94">
        <w:rPr>
          <w:rFonts w:cs="Arial"/>
          <w:lang w:val="es-ES"/>
        </w:rPr>
        <w:t>c</w:t>
      </w:r>
      <w:r w:rsidRPr="00EB3D94">
        <w:rPr>
          <w:rFonts w:cs="Arial"/>
          <w:spacing w:val="-3"/>
          <w:lang w:val="es-ES"/>
        </w:rPr>
        <w:t>a</w:t>
      </w:r>
      <w:r w:rsidRPr="00EB3D94">
        <w:rPr>
          <w:rFonts w:cs="Arial"/>
          <w:lang w:val="es-ES"/>
        </w:rPr>
        <w:t>so,</w:t>
      </w:r>
      <w:r w:rsidRPr="00EB3D94">
        <w:rPr>
          <w:rFonts w:cs="Arial"/>
          <w:spacing w:val="4"/>
          <w:lang w:val="es-ES"/>
        </w:rPr>
        <w:t xml:space="preserve"> </w:t>
      </w:r>
      <w:r w:rsidRPr="00EB3D94">
        <w:rPr>
          <w:rFonts w:cs="Arial"/>
          <w:spacing w:val="2"/>
          <w:lang w:val="es-ES"/>
        </w:rPr>
        <w:t>e</w:t>
      </w:r>
      <w:r w:rsidRPr="00EB3D94">
        <w:rPr>
          <w:rFonts w:cs="Arial"/>
          <w:lang w:val="es-ES"/>
        </w:rPr>
        <w:t>s</w:t>
      </w:r>
      <w:r w:rsidRPr="00EB3D94">
        <w:rPr>
          <w:rFonts w:cs="Arial"/>
          <w:spacing w:val="-2"/>
          <w:lang w:val="es-ES"/>
        </w:rPr>
        <w:t>t</w:t>
      </w:r>
      <w:r w:rsidRPr="00EB3D94">
        <w:rPr>
          <w:rFonts w:cs="Arial"/>
          <w:spacing w:val="1"/>
          <w:lang w:val="es-ES"/>
        </w:rPr>
        <w:t>o</w:t>
      </w:r>
      <w:r w:rsidRPr="00EB3D94">
        <w:rPr>
          <w:rFonts w:cs="Arial"/>
          <w:lang w:val="es-ES"/>
        </w:rPr>
        <w:t>s</w:t>
      </w:r>
      <w:r w:rsidRPr="00EB3D94">
        <w:rPr>
          <w:rFonts w:cs="Arial"/>
          <w:spacing w:val="3"/>
          <w:lang w:val="es-ES"/>
        </w:rPr>
        <w:t xml:space="preserve"> </w:t>
      </w:r>
      <w:r w:rsidRPr="00EB3D94">
        <w:rPr>
          <w:rFonts w:cs="Arial"/>
          <w:lang w:val="es-ES"/>
        </w:rPr>
        <w:t>c</w:t>
      </w:r>
      <w:r w:rsidRPr="00EB3D94">
        <w:rPr>
          <w:rFonts w:cs="Arial"/>
          <w:spacing w:val="-3"/>
          <w:lang w:val="es-ES"/>
        </w:rPr>
        <w:t>e</w:t>
      </w:r>
      <w:r w:rsidRPr="00EB3D94">
        <w:rPr>
          <w:rFonts w:cs="Arial"/>
          <w:spacing w:val="1"/>
          <w:lang w:val="es-ES"/>
        </w:rPr>
        <w:t>rt</w:t>
      </w:r>
      <w:r w:rsidRPr="00EB3D94">
        <w:rPr>
          <w:rFonts w:cs="Arial"/>
          <w:spacing w:val="-3"/>
          <w:lang w:val="es-ES"/>
        </w:rPr>
        <w:t>i</w:t>
      </w:r>
      <w:r w:rsidRPr="00EB3D94">
        <w:rPr>
          <w:rFonts w:cs="Arial"/>
          <w:spacing w:val="3"/>
          <w:lang w:val="es-ES"/>
        </w:rPr>
        <w:t>f</w:t>
      </w:r>
      <w:r w:rsidRPr="00EB3D94">
        <w:rPr>
          <w:rFonts w:cs="Arial"/>
          <w:spacing w:val="-1"/>
          <w:lang w:val="es-ES"/>
        </w:rPr>
        <w:t>i</w:t>
      </w:r>
      <w:r w:rsidRPr="00EB3D94">
        <w:rPr>
          <w:rFonts w:cs="Arial"/>
          <w:lang w:val="es-ES"/>
        </w:rPr>
        <w:t>c</w:t>
      </w:r>
      <w:r w:rsidRPr="00EB3D94">
        <w:rPr>
          <w:rFonts w:cs="Arial"/>
          <w:spacing w:val="-3"/>
          <w:lang w:val="es-ES"/>
        </w:rPr>
        <w:t>a</w:t>
      </w:r>
      <w:r w:rsidRPr="00EB3D94">
        <w:rPr>
          <w:rFonts w:cs="Arial"/>
          <w:spacing w:val="1"/>
          <w:lang w:val="es-ES"/>
        </w:rPr>
        <w:t>d</w:t>
      </w:r>
      <w:r w:rsidRPr="00EB3D94">
        <w:rPr>
          <w:rFonts w:cs="Arial"/>
          <w:lang w:val="es-ES"/>
        </w:rPr>
        <w:t>os</w:t>
      </w:r>
      <w:r w:rsidRPr="00EB3D94">
        <w:rPr>
          <w:rFonts w:cs="Arial"/>
          <w:spacing w:val="3"/>
          <w:lang w:val="es-ES"/>
        </w:rPr>
        <w:t xml:space="preserve"> </w:t>
      </w:r>
      <w:r w:rsidRPr="00EB3D94">
        <w:rPr>
          <w:rFonts w:cs="Arial"/>
          <w:lang w:val="es-ES"/>
        </w:rPr>
        <w:t>s</w:t>
      </w:r>
      <w:r w:rsidRPr="00EB3D94">
        <w:rPr>
          <w:rFonts w:cs="Arial"/>
          <w:spacing w:val="-3"/>
          <w:lang w:val="es-ES"/>
        </w:rPr>
        <w:t>e</w:t>
      </w:r>
      <w:r w:rsidRPr="00EB3D94">
        <w:rPr>
          <w:rFonts w:cs="Arial"/>
          <w:spacing w:val="1"/>
          <w:lang w:val="es-ES"/>
        </w:rPr>
        <w:t>r</w:t>
      </w:r>
      <w:r w:rsidRPr="00EB3D94">
        <w:rPr>
          <w:rFonts w:cs="Arial"/>
          <w:lang w:val="es-ES"/>
        </w:rPr>
        <w:t>án</w:t>
      </w:r>
      <w:r w:rsidRPr="00EB3D94">
        <w:rPr>
          <w:rFonts w:cs="Arial"/>
          <w:spacing w:val="2"/>
          <w:lang w:val="es-ES"/>
        </w:rPr>
        <w:t xml:space="preserve"> </w:t>
      </w:r>
      <w:r w:rsidRPr="00EB3D94">
        <w:rPr>
          <w:rFonts w:cs="Arial"/>
          <w:lang w:val="es-ES"/>
        </w:rPr>
        <w:t>c</w:t>
      </w:r>
      <w:r w:rsidRPr="00EB3D94">
        <w:rPr>
          <w:rFonts w:cs="Arial"/>
          <w:spacing w:val="-3"/>
          <w:lang w:val="es-ES"/>
        </w:rPr>
        <w:t>o</w:t>
      </w:r>
      <w:r w:rsidRPr="00EB3D94">
        <w:rPr>
          <w:rFonts w:cs="Arial"/>
          <w:spacing w:val="1"/>
          <w:lang w:val="es-ES"/>
        </w:rPr>
        <w:t>m</w:t>
      </w:r>
      <w:r w:rsidRPr="00EB3D94">
        <w:rPr>
          <w:rFonts w:cs="Arial"/>
          <w:lang w:val="es-ES"/>
        </w:rPr>
        <w:t>u</w:t>
      </w:r>
      <w:r w:rsidRPr="00EB3D94">
        <w:rPr>
          <w:rFonts w:cs="Arial"/>
          <w:spacing w:val="-1"/>
          <w:lang w:val="es-ES"/>
        </w:rPr>
        <w:t>ni</w:t>
      </w:r>
      <w:r w:rsidRPr="00EB3D94">
        <w:rPr>
          <w:rFonts w:cs="Arial"/>
          <w:lang w:val="es-ES"/>
        </w:rPr>
        <w:t>cados</w:t>
      </w:r>
      <w:r w:rsidRPr="00EB3D94">
        <w:rPr>
          <w:rFonts w:cs="Arial"/>
          <w:spacing w:val="4"/>
          <w:lang w:val="es-ES"/>
        </w:rPr>
        <w:t xml:space="preserve"> </w:t>
      </w:r>
      <w:r w:rsidRPr="00EB3D94">
        <w:rPr>
          <w:rFonts w:cs="Arial"/>
          <w:lang w:val="es-ES"/>
        </w:rPr>
        <w:t>d</w:t>
      </w:r>
      <w:r w:rsidRPr="00EB3D94">
        <w:rPr>
          <w:rFonts w:cs="Arial"/>
          <w:spacing w:val="-1"/>
          <w:lang w:val="es-ES"/>
        </w:rPr>
        <w:t>i</w:t>
      </w:r>
      <w:r w:rsidRPr="00EB3D94">
        <w:rPr>
          <w:rFonts w:cs="Arial"/>
          <w:spacing w:val="1"/>
          <w:lang w:val="es-ES"/>
        </w:rPr>
        <w:t>r</w:t>
      </w:r>
      <w:r w:rsidRPr="00EB3D94">
        <w:rPr>
          <w:rFonts w:cs="Arial"/>
          <w:spacing w:val="-3"/>
          <w:lang w:val="es-ES"/>
        </w:rPr>
        <w:t>e</w:t>
      </w:r>
      <w:r w:rsidRPr="00EB3D94">
        <w:rPr>
          <w:rFonts w:cs="Arial"/>
          <w:lang w:val="es-ES"/>
        </w:rPr>
        <w:t>c</w:t>
      </w:r>
      <w:r w:rsidRPr="00EB3D94">
        <w:rPr>
          <w:rFonts w:cs="Arial"/>
          <w:spacing w:val="1"/>
          <w:lang w:val="es-ES"/>
        </w:rPr>
        <w:t>t</w:t>
      </w:r>
      <w:r w:rsidRPr="00EB3D94">
        <w:rPr>
          <w:rFonts w:cs="Arial"/>
          <w:spacing w:val="-3"/>
          <w:lang w:val="es-ES"/>
        </w:rPr>
        <w:t>a</w:t>
      </w:r>
      <w:r w:rsidRPr="00EB3D94">
        <w:rPr>
          <w:rFonts w:cs="Arial"/>
          <w:spacing w:val="1"/>
          <w:lang w:val="es-ES"/>
        </w:rPr>
        <w:t>m</w:t>
      </w:r>
      <w:r w:rsidRPr="00EB3D94">
        <w:rPr>
          <w:rFonts w:cs="Arial"/>
          <w:lang w:val="es-ES"/>
        </w:rPr>
        <w:t>e</w:t>
      </w:r>
      <w:r w:rsidRPr="00EB3D94">
        <w:rPr>
          <w:rFonts w:cs="Arial"/>
          <w:spacing w:val="-1"/>
          <w:lang w:val="es-ES"/>
        </w:rPr>
        <w:t>n</w:t>
      </w:r>
      <w:r w:rsidRPr="00EB3D94">
        <w:rPr>
          <w:rFonts w:cs="Arial"/>
          <w:lang w:val="es-ES"/>
        </w:rPr>
        <w:t>te</w:t>
      </w:r>
      <w:r w:rsidRPr="00EB3D94">
        <w:rPr>
          <w:rFonts w:cs="Arial"/>
          <w:spacing w:val="4"/>
          <w:lang w:val="es-ES"/>
        </w:rPr>
        <w:t xml:space="preserve"> </w:t>
      </w:r>
      <w:r w:rsidR="001E0739" w:rsidRPr="00EB3D94">
        <w:rPr>
          <w:rFonts w:cs="Arial"/>
          <w:lang w:val="es-ES"/>
        </w:rPr>
        <w:t>a</w:t>
      </w:r>
      <w:r w:rsidRPr="00EB3D94">
        <w:rPr>
          <w:rFonts w:cs="Arial"/>
          <w:spacing w:val="-1"/>
          <w:lang w:val="es-ES"/>
        </w:rPr>
        <w:t>l ó</w:t>
      </w:r>
      <w:r w:rsidRPr="00EB3D94">
        <w:rPr>
          <w:rFonts w:cs="Arial"/>
          <w:lang w:val="es-ES"/>
        </w:rPr>
        <w:t>rg</w:t>
      </w:r>
      <w:r w:rsidRPr="00EB3D94">
        <w:rPr>
          <w:rFonts w:cs="Arial"/>
          <w:spacing w:val="2"/>
          <w:lang w:val="es-ES"/>
        </w:rPr>
        <w:t>a</w:t>
      </w:r>
      <w:r w:rsidRPr="00EB3D94">
        <w:rPr>
          <w:rFonts w:cs="Arial"/>
          <w:lang w:val="es-ES"/>
        </w:rPr>
        <w:t xml:space="preserve">no </w:t>
      </w:r>
      <w:r w:rsidRPr="00EB3D94">
        <w:rPr>
          <w:rFonts w:cs="Arial"/>
          <w:spacing w:val="-3"/>
          <w:lang w:val="es-ES"/>
        </w:rPr>
        <w:t>d</w:t>
      </w:r>
      <w:r w:rsidRPr="00EB3D94">
        <w:rPr>
          <w:rFonts w:cs="Arial"/>
          <w:lang w:val="es-ES"/>
        </w:rPr>
        <w:t>e co</w:t>
      </w:r>
      <w:r w:rsidRPr="00EB3D94">
        <w:rPr>
          <w:rFonts w:cs="Arial"/>
          <w:spacing w:val="-1"/>
          <w:lang w:val="es-ES"/>
        </w:rPr>
        <w:t>n</w:t>
      </w:r>
      <w:r w:rsidRPr="00EB3D94">
        <w:rPr>
          <w:rFonts w:cs="Arial"/>
          <w:spacing w:val="1"/>
          <w:lang w:val="es-ES"/>
        </w:rPr>
        <w:t>tr</w:t>
      </w:r>
      <w:r w:rsidRPr="00EB3D94">
        <w:rPr>
          <w:rFonts w:cs="Arial"/>
          <w:lang w:val="es-ES"/>
        </w:rPr>
        <w:t>a</w:t>
      </w:r>
      <w:r w:rsidRPr="00EB3D94">
        <w:rPr>
          <w:rFonts w:cs="Arial"/>
          <w:spacing w:val="-3"/>
          <w:lang w:val="es-ES"/>
        </w:rPr>
        <w:t>t</w:t>
      </w:r>
      <w:r w:rsidRPr="00EB3D94">
        <w:rPr>
          <w:rFonts w:cs="Arial"/>
          <w:spacing w:val="1"/>
          <w:lang w:val="es-ES"/>
        </w:rPr>
        <w:t>a</w:t>
      </w:r>
      <w:r w:rsidRPr="00EB3D94">
        <w:rPr>
          <w:rFonts w:cs="Arial"/>
          <w:lang w:val="es-ES"/>
        </w:rPr>
        <w:t>ci</w:t>
      </w:r>
      <w:r w:rsidRPr="00EB3D94">
        <w:rPr>
          <w:rFonts w:cs="Arial"/>
          <w:spacing w:val="-1"/>
          <w:lang w:val="es-ES"/>
        </w:rPr>
        <w:t>ó</w:t>
      </w:r>
      <w:r w:rsidRPr="00EB3D94">
        <w:rPr>
          <w:rFonts w:cs="Arial"/>
          <w:lang w:val="es-ES"/>
        </w:rPr>
        <w:t>n p</w:t>
      </w:r>
      <w:r w:rsidRPr="00EB3D94">
        <w:rPr>
          <w:rFonts w:cs="Arial"/>
          <w:spacing w:val="-2"/>
          <w:lang w:val="es-ES"/>
        </w:rPr>
        <w:t>o</w:t>
      </w:r>
      <w:r w:rsidRPr="00EB3D94">
        <w:rPr>
          <w:rFonts w:cs="Arial"/>
          <w:lang w:val="es-ES"/>
        </w:rPr>
        <w:t>r</w:t>
      </w:r>
      <w:r w:rsidRPr="00EB3D94">
        <w:rPr>
          <w:rFonts w:cs="Arial"/>
          <w:spacing w:val="2"/>
          <w:lang w:val="es-ES"/>
        </w:rPr>
        <w:t xml:space="preserve"> </w:t>
      </w:r>
      <w:r w:rsidRPr="00EB3D94">
        <w:rPr>
          <w:rFonts w:cs="Arial"/>
          <w:spacing w:val="-1"/>
          <w:lang w:val="es-ES"/>
        </w:rPr>
        <w:t>la a</w:t>
      </w:r>
      <w:r w:rsidRPr="00EB3D94">
        <w:rPr>
          <w:rFonts w:cs="Arial"/>
          <w:lang w:val="es-ES"/>
        </w:rPr>
        <w:t>u</w:t>
      </w:r>
      <w:r w:rsidRPr="00EB3D94">
        <w:rPr>
          <w:rFonts w:cs="Arial"/>
          <w:spacing w:val="-1"/>
          <w:lang w:val="es-ES"/>
        </w:rPr>
        <w:t>t</w:t>
      </w:r>
      <w:r w:rsidRPr="00EB3D94">
        <w:rPr>
          <w:rFonts w:cs="Arial"/>
          <w:spacing w:val="-3"/>
          <w:lang w:val="es-ES"/>
        </w:rPr>
        <w:t>o</w:t>
      </w:r>
      <w:r w:rsidRPr="00EB3D94">
        <w:rPr>
          <w:rFonts w:cs="Arial"/>
          <w:spacing w:val="1"/>
          <w:lang w:val="es-ES"/>
        </w:rPr>
        <w:t>r</w:t>
      </w:r>
      <w:r w:rsidRPr="00EB3D94">
        <w:rPr>
          <w:rFonts w:cs="Arial"/>
          <w:spacing w:val="-1"/>
          <w:lang w:val="es-ES"/>
        </w:rPr>
        <w:t>id</w:t>
      </w:r>
      <w:r w:rsidRPr="00EB3D94">
        <w:rPr>
          <w:rFonts w:cs="Arial"/>
          <w:lang w:val="es-ES"/>
        </w:rPr>
        <w:t>ad</w:t>
      </w:r>
      <w:r w:rsidRPr="00EB3D94">
        <w:rPr>
          <w:rFonts w:cs="Arial"/>
          <w:spacing w:val="2"/>
          <w:lang w:val="es-ES"/>
        </w:rPr>
        <w:t xml:space="preserve"> </w:t>
      </w:r>
      <w:r w:rsidRPr="00EB3D94">
        <w:rPr>
          <w:rFonts w:cs="Arial"/>
          <w:lang w:val="es-ES"/>
        </w:rPr>
        <w:t>c</w:t>
      </w:r>
      <w:r w:rsidRPr="00EB3D94">
        <w:rPr>
          <w:rFonts w:cs="Arial"/>
          <w:spacing w:val="-3"/>
          <w:lang w:val="es-ES"/>
        </w:rPr>
        <w:t>o</w:t>
      </w:r>
      <w:r w:rsidRPr="00EB3D94">
        <w:rPr>
          <w:rFonts w:cs="Arial"/>
          <w:spacing w:val="1"/>
          <w:lang w:val="es-ES"/>
        </w:rPr>
        <w:t>m</w:t>
      </w:r>
      <w:r w:rsidRPr="00EB3D94">
        <w:rPr>
          <w:rFonts w:cs="Arial"/>
          <w:lang w:val="es-ES"/>
        </w:rPr>
        <w:t>p</w:t>
      </w:r>
      <w:r w:rsidRPr="00EB3D94">
        <w:rPr>
          <w:rFonts w:cs="Arial"/>
          <w:spacing w:val="-1"/>
          <w:lang w:val="es-ES"/>
        </w:rPr>
        <w:t>e</w:t>
      </w:r>
      <w:r w:rsidRPr="00EB3D94">
        <w:rPr>
          <w:rFonts w:cs="Arial"/>
          <w:spacing w:val="1"/>
          <w:lang w:val="es-ES"/>
        </w:rPr>
        <w:t>t</w:t>
      </w:r>
      <w:r w:rsidRPr="00EB3D94">
        <w:rPr>
          <w:rFonts w:cs="Arial"/>
          <w:lang w:val="es-ES"/>
        </w:rPr>
        <w:t>e</w:t>
      </w:r>
      <w:r w:rsidRPr="00EB3D94">
        <w:rPr>
          <w:rFonts w:cs="Arial"/>
          <w:spacing w:val="-3"/>
          <w:lang w:val="es-ES"/>
        </w:rPr>
        <w:t>n</w:t>
      </w:r>
      <w:r w:rsidRPr="00EB3D94">
        <w:rPr>
          <w:rFonts w:cs="Arial"/>
          <w:spacing w:val="-1"/>
          <w:lang w:val="es-ES"/>
        </w:rPr>
        <w:t>te</w:t>
      </w:r>
      <w:r w:rsidRPr="00EB3D94">
        <w:rPr>
          <w:rFonts w:cs="Arial"/>
          <w:lang w:val="es-ES"/>
        </w:rPr>
        <w:t>.</w:t>
      </w:r>
    </w:p>
    <w:p w14:paraId="68D3EAE9" w14:textId="77777777" w:rsidR="00D24DA7" w:rsidRPr="00EB3D94" w:rsidRDefault="00D24DA7" w:rsidP="00BC4866">
      <w:pPr>
        <w:pStyle w:val="Textindependent2"/>
        <w:spacing w:after="0" w:line="240" w:lineRule="auto"/>
        <w:ind w:left="360"/>
        <w:jc w:val="both"/>
        <w:rPr>
          <w:rFonts w:cs="Arial"/>
          <w:bCs/>
          <w:szCs w:val="22"/>
          <w:lang w:val="es-ES"/>
        </w:rPr>
      </w:pPr>
    </w:p>
    <w:p w14:paraId="24E7DFA9" w14:textId="259BA743" w:rsidR="00870935" w:rsidRPr="00EB3D94" w:rsidRDefault="00870935" w:rsidP="00BC4866">
      <w:pPr>
        <w:pStyle w:val="Textindependent2"/>
        <w:numPr>
          <w:ilvl w:val="0"/>
          <w:numId w:val="47"/>
        </w:numPr>
        <w:spacing w:after="0" w:line="240" w:lineRule="auto"/>
        <w:jc w:val="both"/>
        <w:rPr>
          <w:rFonts w:cs="Arial"/>
          <w:bCs/>
          <w:szCs w:val="22"/>
          <w:lang w:val="es-ES"/>
        </w:rPr>
      </w:pPr>
      <w:r w:rsidRPr="00EB3D94">
        <w:rPr>
          <w:rFonts w:cs="Arial"/>
          <w:bCs/>
          <w:szCs w:val="22"/>
          <w:lang w:val="es-ES"/>
        </w:rPr>
        <w:t xml:space="preserve">Las entidades licitadoras que se presenten a cualquiera de los dos </w:t>
      </w:r>
      <w:proofErr w:type="gramStart"/>
      <w:r w:rsidRPr="00EB3D94">
        <w:rPr>
          <w:rFonts w:cs="Arial"/>
          <w:bCs/>
          <w:szCs w:val="22"/>
          <w:lang w:val="es-ES"/>
        </w:rPr>
        <w:t>lotes,</w:t>
      </w:r>
      <w:proofErr w:type="gramEnd"/>
      <w:r w:rsidRPr="00EB3D94">
        <w:rPr>
          <w:rFonts w:cs="Arial"/>
          <w:bCs/>
          <w:szCs w:val="22"/>
          <w:lang w:val="es-ES"/>
        </w:rPr>
        <w:t xml:space="preserve"> </w:t>
      </w:r>
      <w:r w:rsidR="00A25938" w:rsidRPr="00EB3D94">
        <w:rPr>
          <w:rFonts w:cs="Arial"/>
          <w:bCs/>
          <w:szCs w:val="22"/>
          <w:lang w:val="es-ES"/>
        </w:rPr>
        <w:t xml:space="preserve">deberán </w:t>
      </w:r>
      <w:r w:rsidRPr="00EB3D94">
        <w:rPr>
          <w:rFonts w:cs="Arial"/>
          <w:bCs/>
          <w:szCs w:val="22"/>
          <w:lang w:val="es-ES"/>
        </w:rPr>
        <w:t>presentar el Estado de Información No Financiera (EINF) verificado del último ejercicio.</w:t>
      </w:r>
    </w:p>
    <w:p w14:paraId="6E7C2943" w14:textId="77777777" w:rsidR="00E54208" w:rsidRPr="00EB3D94" w:rsidRDefault="00E54208" w:rsidP="00BC4866">
      <w:pPr>
        <w:pStyle w:val="Textindependent2"/>
        <w:spacing w:after="0" w:line="240" w:lineRule="auto"/>
        <w:jc w:val="both"/>
        <w:rPr>
          <w:rFonts w:cs="Arial"/>
          <w:bCs/>
          <w:szCs w:val="22"/>
          <w:lang w:val="es-ES"/>
        </w:rPr>
      </w:pPr>
    </w:p>
    <w:p w14:paraId="2C47EB7F" w14:textId="1653B47D" w:rsidR="00313571" w:rsidRPr="00EB3D94" w:rsidRDefault="00AB2B5B" w:rsidP="00BC4866">
      <w:pPr>
        <w:pStyle w:val="Default"/>
        <w:numPr>
          <w:ilvl w:val="0"/>
          <w:numId w:val="16"/>
        </w:numPr>
        <w:jc w:val="both"/>
        <w:rPr>
          <w:rFonts w:cs="Times New Roman"/>
          <w:bCs/>
          <w:color w:val="auto"/>
          <w:sz w:val="22"/>
          <w:szCs w:val="22"/>
          <w:lang w:val="es-ES" w:eastAsia="es-ES"/>
        </w:rPr>
      </w:pPr>
      <w:r w:rsidRPr="00EB3D94">
        <w:rPr>
          <w:rFonts w:cs="Times New Roman"/>
          <w:b/>
          <w:bCs/>
          <w:color w:val="auto"/>
          <w:sz w:val="22"/>
          <w:szCs w:val="22"/>
          <w:lang w:val="es-ES" w:eastAsia="es-ES"/>
        </w:rPr>
        <w:t>2</w:t>
      </w:r>
      <w:r w:rsidR="00313571" w:rsidRPr="00EB3D94">
        <w:rPr>
          <w:rFonts w:cs="Times New Roman"/>
          <w:b/>
          <w:bCs/>
          <w:color w:val="auto"/>
          <w:sz w:val="22"/>
          <w:szCs w:val="22"/>
          <w:lang w:val="es-ES" w:eastAsia="es-ES"/>
        </w:rPr>
        <w:t>.-</w:t>
      </w:r>
      <w:r w:rsidR="00313571" w:rsidRPr="00EB3D94">
        <w:rPr>
          <w:rFonts w:cs="Times New Roman"/>
          <w:bCs/>
          <w:color w:val="auto"/>
          <w:sz w:val="22"/>
          <w:szCs w:val="22"/>
          <w:lang w:val="es-ES" w:eastAsia="es-ES"/>
        </w:rPr>
        <w:t xml:space="preserve"> </w:t>
      </w:r>
      <w:r w:rsidR="00313571" w:rsidRPr="00EB3D94">
        <w:rPr>
          <w:rFonts w:cs="Times New Roman"/>
          <w:b/>
          <w:bCs/>
          <w:color w:val="auto"/>
          <w:sz w:val="22"/>
          <w:szCs w:val="22"/>
          <w:lang w:val="es-ES" w:eastAsia="es-ES"/>
        </w:rPr>
        <w:t>Habilitación profesional:</w:t>
      </w:r>
    </w:p>
    <w:p w14:paraId="5E22403A" w14:textId="77777777" w:rsidR="00313571" w:rsidRPr="00EB3D94" w:rsidRDefault="00313571" w:rsidP="00BC4866">
      <w:pPr>
        <w:pStyle w:val="Default"/>
        <w:jc w:val="both"/>
        <w:rPr>
          <w:rFonts w:cs="Times New Roman"/>
          <w:b/>
          <w:bCs/>
          <w:color w:val="auto"/>
          <w:sz w:val="22"/>
          <w:szCs w:val="22"/>
          <w:lang w:val="es-ES" w:eastAsia="es-ES"/>
        </w:rPr>
      </w:pPr>
    </w:p>
    <w:p w14:paraId="6306C9C9" w14:textId="6464B379" w:rsidR="006F5E19" w:rsidRPr="00EB3D94" w:rsidRDefault="006F5E19" w:rsidP="00BC4866">
      <w:pPr>
        <w:jc w:val="both"/>
        <w:rPr>
          <w:lang w:val="es-ES"/>
        </w:rPr>
      </w:pPr>
      <w:r w:rsidRPr="00EB3D94">
        <w:rPr>
          <w:rFonts w:cs="Arial"/>
          <w:bCs/>
          <w:szCs w:val="22"/>
          <w:u w:val="single"/>
          <w:lang w:val="es-ES"/>
        </w:rPr>
        <w:t>Referida</w:t>
      </w:r>
      <w:r w:rsidR="00E54208" w:rsidRPr="00EB3D94">
        <w:rPr>
          <w:rFonts w:cs="Arial"/>
          <w:bCs/>
          <w:szCs w:val="22"/>
          <w:u w:val="single"/>
          <w:lang w:val="es-ES"/>
        </w:rPr>
        <w:t xml:space="preserve"> </w:t>
      </w:r>
      <w:r w:rsidR="001E0739" w:rsidRPr="00EB3D94">
        <w:rPr>
          <w:rFonts w:cs="Arial"/>
          <w:bCs/>
          <w:szCs w:val="22"/>
          <w:u w:val="single"/>
          <w:lang w:val="es-ES"/>
        </w:rPr>
        <w:t>a</w:t>
      </w:r>
      <w:r w:rsidR="00E54208" w:rsidRPr="00EB3D94">
        <w:rPr>
          <w:rFonts w:cs="Arial"/>
          <w:bCs/>
          <w:szCs w:val="22"/>
          <w:u w:val="single"/>
          <w:lang w:val="es-ES"/>
        </w:rPr>
        <w:t xml:space="preserve"> los dos lotes</w:t>
      </w:r>
      <w:r w:rsidRPr="00EB3D94">
        <w:rPr>
          <w:rFonts w:cs="Arial"/>
          <w:bCs/>
          <w:szCs w:val="22"/>
          <w:lang w:val="es-ES"/>
        </w:rPr>
        <w:t>. L</w:t>
      </w:r>
      <w:r w:rsidRPr="00EB3D94">
        <w:rPr>
          <w:lang w:val="es-ES"/>
        </w:rPr>
        <w:t>a naturaleza de la prestación de los servicios</w:t>
      </w:r>
      <w:r w:rsidRPr="00EB3D94">
        <w:rPr>
          <w:spacing w:val="1"/>
          <w:lang w:val="es-ES"/>
        </w:rPr>
        <w:t xml:space="preserve"> </w:t>
      </w:r>
      <w:r w:rsidRPr="00EB3D94">
        <w:rPr>
          <w:lang w:val="es-ES"/>
        </w:rPr>
        <w:t xml:space="preserve">bancarios asociados a la </w:t>
      </w:r>
      <w:proofErr w:type="gramStart"/>
      <w:r w:rsidRPr="00EB3D94">
        <w:rPr>
          <w:lang w:val="es-ES"/>
        </w:rPr>
        <w:t>operativa</w:t>
      </w:r>
      <w:r w:rsidR="00EB2DC9" w:rsidRPr="00EB3D94">
        <w:rPr>
          <w:lang w:val="es-ES"/>
        </w:rPr>
        <w:t xml:space="preserve"> </w:t>
      </w:r>
      <w:r w:rsidRPr="00EB3D94">
        <w:rPr>
          <w:lang w:val="es-ES"/>
        </w:rPr>
        <w:t>objeto</w:t>
      </w:r>
      <w:proofErr w:type="gramEnd"/>
      <w:r w:rsidRPr="00EB3D94">
        <w:rPr>
          <w:lang w:val="es-ES"/>
        </w:rPr>
        <w:t xml:space="preserve"> del contrato, exige que las entidades licitadoras</w:t>
      </w:r>
      <w:r w:rsidRPr="00EB3D94">
        <w:rPr>
          <w:spacing w:val="1"/>
          <w:lang w:val="es-ES"/>
        </w:rPr>
        <w:t xml:space="preserve"> </w:t>
      </w:r>
      <w:r w:rsidRPr="00EB3D94">
        <w:rPr>
          <w:lang w:val="es-ES"/>
        </w:rPr>
        <w:t>tengan la calificación de entidades de crédito que tendrán acreditada su solvencia para licitar</w:t>
      </w:r>
      <w:r w:rsidRPr="00EB3D94">
        <w:rPr>
          <w:spacing w:val="1"/>
          <w:lang w:val="es-ES"/>
        </w:rPr>
        <w:t xml:space="preserve"> </w:t>
      </w:r>
      <w:r w:rsidRPr="00EB3D94">
        <w:rPr>
          <w:lang w:val="es-ES"/>
        </w:rPr>
        <w:t>con</w:t>
      </w:r>
      <w:r w:rsidRPr="00EB3D94">
        <w:rPr>
          <w:spacing w:val="-2"/>
          <w:lang w:val="es-ES"/>
        </w:rPr>
        <w:t xml:space="preserve"> </w:t>
      </w:r>
      <w:r w:rsidRPr="00EB3D94">
        <w:rPr>
          <w:lang w:val="es-ES"/>
        </w:rPr>
        <w:t>la acreditación</w:t>
      </w:r>
      <w:r w:rsidRPr="00EB3D94">
        <w:rPr>
          <w:spacing w:val="-4"/>
          <w:lang w:val="es-ES"/>
        </w:rPr>
        <w:t xml:space="preserve"> </w:t>
      </w:r>
      <w:r w:rsidRPr="00EB3D94">
        <w:rPr>
          <w:lang w:val="es-ES"/>
        </w:rPr>
        <w:t>de</w:t>
      </w:r>
      <w:r w:rsidRPr="00EB3D94">
        <w:rPr>
          <w:spacing w:val="-2"/>
          <w:lang w:val="es-ES"/>
        </w:rPr>
        <w:t xml:space="preserve"> </w:t>
      </w:r>
      <w:r w:rsidRPr="00EB3D94">
        <w:rPr>
          <w:lang w:val="es-ES"/>
        </w:rPr>
        <w:t>su</w:t>
      </w:r>
      <w:r w:rsidRPr="00EB3D94">
        <w:rPr>
          <w:spacing w:val="-4"/>
          <w:lang w:val="es-ES"/>
        </w:rPr>
        <w:t xml:space="preserve"> </w:t>
      </w:r>
      <w:r w:rsidRPr="00EB3D94">
        <w:rPr>
          <w:lang w:val="es-ES"/>
        </w:rPr>
        <w:t>inscripción</w:t>
      </w:r>
      <w:r w:rsidRPr="00EB3D94">
        <w:rPr>
          <w:spacing w:val="-2"/>
          <w:lang w:val="es-ES"/>
        </w:rPr>
        <w:t xml:space="preserve"> </w:t>
      </w:r>
      <w:r w:rsidR="001E0739" w:rsidRPr="00EB3D94">
        <w:rPr>
          <w:lang w:val="es-ES"/>
        </w:rPr>
        <w:t>en e</w:t>
      </w:r>
      <w:r w:rsidRPr="00EB3D94">
        <w:rPr>
          <w:lang w:val="es-ES"/>
        </w:rPr>
        <w:t>l</w:t>
      </w:r>
      <w:r w:rsidRPr="00EB3D94">
        <w:rPr>
          <w:spacing w:val="-2"/>
          <w:lang w:val="es-ES"/>
        </w:rPr>
        <w:t xml:space="preserve"> </w:t>
      </w:r>
      <w:r w:rsidRPr="00EB3D94">
        <w:rPr>
          <w:lang w:val="es-ES"/>
        </w:rPr>
        <w:t>Registro</w:t>
      </w:r>
      <w:r w:rsidRPr="00EB3D94">
        <w:rPr>
          <w:spacing w:val="-3"/>
          <w:lang w:val="es-ES"/>
        </w:rPr>
        <w:t xml:space="preserve"> </w:t>
      </w:r>
      <w:r w:rsidRPr="00EB3D94">
        <w:rPr>
          <w:lang w:val="es-ES"/>
        </w:rPr>
        <w:t>Oficial</w:t>
      </w:r>
      <w:r w:rsidRPr="00EB3D94">
        <w:rPr>
          <w:spacing w:val="-3"/>
          <w:lang w:val="es-ES"/>
        </w:rPr>
        <w:t xml:space="preserve"> </w:t>
      </w:r>
      <w:r w:rsidRPr="00EB3D94">
        <w:rPr>
          <w:lang w:val="es-ES"/>
        </w:rPr>
        <w:t>de Entidades</w:t>
      </w:r>
      <w:r w:rsidRPr="00EB3D94">
        <w:rPr>
          <w:spacing w:val="-4"/>
          <w:lang w:val="es-ES"/>
        </w:rPr>
        <w:t xml:space="preserve"> </w:t>
      </w:r>
      <w:r w:rsidRPr="00EB3D94">
        <w:rPr>
          <w:lang w:val="es-ES"/>
        </w:rPr>
        <w:t>del</w:t>
      </w:r>
      <w:r w:rsidRPr="00EB3D94">
        <w:rPr>
          <w:spacing w:val="-5"/>
          <w:lang w:val="es-ES"/>
        </w:rPr>
        <w:t xml:space="preserve"> </w:t>
      </w:r>
      <w:r w:rsidRPr="00EB3D94">
        <w:rPr>
          <w:lang w:val="es-ES"/>
        </w:rPr>
        <w:t>Banco</w:t>
      </w:r>
      <w:r w:rsidRPr="00EB3D94">
        <w:rPr>
          <w:spacing w:val="-1"/>
          <w:lang w:val="es-ES"/>
        </w:rPr>
        <w:t xml:space="preserve"> </w:t>
      </w:r>
      <w:r w:rsidRPr="00EB3D94">
        <w:rPr>
          <w:lang w:val="es-ES"/>
        </w:rPr>
        <w:t>de España.</w:t>
      </w:r>
    </w:p>
    <w:p w14:paraId="7AB71762" w14:textId="688D061B" w:rsidR="007B329C" w:rsidRPr="00EB3D94" w:rsidRDefault="007C78A5" w:rsidP="00BC4866">
      <w:pPr>
        <w:jc w:val="both"/>
        <w:rPr>
          <w:szCs w:val="22"/>
          <w:lang w:val="es-ES"/>
        </w:rPr>
      </w:pPr>
      <w:r w:rsidRPr="00EB3D94">
        <w:rPr>
          <w:szCs w:val="22"/>
          <w:lang w:val="es-ES"/>
        </w:rPr>
        <w:t xml:space="preserve"> </w:t>
      </w:r>
    </w:p>
    <w:p w14:paraId="5D08FF1D" w14:textId="77777777" w:rsidR="007C78A5" w:rsidRPr="00EB3D94" w:rsidRDefault="007C78A5" w:rsidP="00BC4866">
      <w:pPr>
        <w:jc w:val="both"/>
        <w:rPr>
          <w:rFonts w:cs="Arial"/>
          <w:b/>
          <w:snapToGrid w:val="0"/>
          <w:szCs w:val="22"/>
          <w:lang w:val="es-ES"/>
        </w:rPr>
      </w:pPr>
      <w:r w:rsidRPr="00EB3D94">
        <w:rPr>
          <w:rFonts w:cs="Arial"/>
          <w:b/>
          <w:snapToGrid w:val="0"/>
          <w:szCs w:val="22"/>
          <w:lang w:val="es-ES"/>
        </w:rPr>
        <w:t xml:space="preserve">II. CLÁUSULAS ESPECIALES </w:t>
      </w:r>
      <w:r w:rsidR="00382A77" w:rsidRPr="00EB3D94">
        <w:rPr>
          <w:rFonts w:cs="Arial"/>
          <w:b/>
          <w:snapToGrid w:val="0"/>
          <w:szCs w:val="22"/>
          <w:lang w:val="es-ES"/>
        </w:rPr>
        <w:t>DE ADJUDICACIÓN</w:t>
      </w:r>
    </w:p>
    <w:p w14:paraId="3D2FE6C2" w14:textId="77777777" w:rsidR="00382A77" w:rsidRPr="00EB3D94" w:rsidRDefault="00382A77" w:rsidP="00BC4866">
      <w:pPr>
        <w:jc w:val="both"/>
        <w:rPr>
          <w:rFonts w:cs="Arial"/>
          <w:b/>
          <w:snapToGrid w:val="0"/>
          <w:szCs w:val="22"/>
          <w:lang w:val="es-ES"/>
        </w:rPr>
      </w:pPr>
    </w:p>
    <w:p w14:paraId="71B4778A" w14:textId="77777777" w:rsidR="00900BF8" w:rsidRPr="00EB3D94" w:rsidRDefault="00CD6123" w:rsidP="00BC4866">
      <w:pPr>
        <w:pStyle w:val="CM25"/>
        <w:spacing w:after="0"/>
        <w:jc w:val="both"/>
        <w:rPr>
          <w:rFonts w:cs="Arial"/>
          <w:b/>
          <w:bCs/>
          <w:sz w:val="22"/>
          <w:szCs w:val="22"/>
          <w:u w:val="single"/>
          <w:lang w:val="es-ES"/>
        </w:rPr>
      </w:pPr>
      <w:r w:rsidRPr="00EB3D94">
        <w:rPr>
          <w:rFonts w:cs="Arial"/>
          <w:b/>
          <w:bCs/>
          <w:sz w:val="22"/>
          <w:szCs w:val="22"/>
          <w:lang w:val="es-ES"/>
        </w:rPr>
        <w:t>Oc</w:t>
      </w:r>
      <w:r w:rsidR="00382A77" w:rsidRPr="00EB3D94">
        <w:rPr>
          <w:rFonts w:cs="Arial"/>
          <w:b/>
          <w:bCs/>
          <w:sz w:val="22"/>
          <w:szCs w:val="22"/>
          <w:lang w:val="es-ES"/>
        </w:rPr>
        <w:t>tava:</w:t>
      </w:r>
      <w:r w:rsidR="00900BF8" w:rsidRPr="00EB3D94">
        <w:rPr>
          <w:rFonts w:cs="Arial"/>
          <w:b/>
          <w:bCs/>
          <w:sz w:val="22"/>
          <w:szCs w:val="22"/>
          <w:lang w:val="es-ES"/>
        </w:rPr>
        <w:t xml:space="preserve"> </w:t>
      </w:r>
      <w:r w:rsidR="00382A77" w:rsidRPr="00EB3D94">
        <w:rPr>
          <w:rFonts w:cs="Arial"/>
          <w:b/>
          <w:bCs/>
          <w:sz w:val="22"/>
          <w:szCs w:val="22"/>
          <w:u w:val="single"/>
          <w:lang w:val="es-ES"/>
        </w:rPr>
        <w:t xml:space="preserve">Procedimiento de adjudicación </w:t>
      </w:r>
      <w:r w:rsidR="00900BF8" w:rsidRPr="00EB3D94">
        <w:rPr>
          <w:rFonts w:cs="Arial"/>
          <w:b/>
          <w:bCs/>
          <w:sz w:val="22"/>
          <w:szCs w:val="22"/>
          <w:u w:val="single"/>
          <w:lang w:val="es-ES"/>
        </w:rPr>
        <w:t xml:space="preserve">y </w:t>
      </w:r>
      <w:r w:rsidR="00382A77" w:rsidRPr="00EB3D94">
        <w:rPr>
          <w:rFonts w:cs="Arial"/>
          <w:b/>
          <w:bCs/>
          <w:sz w:val="22"/>
          <w:szCs w:val="22"/>
          <w:u w:val="single"/>
          <w:lang w:val="es-ES"/>
        </w:rPr>
        <w:t>t</w:t>
      </w:r>
      <w:r w:rsidR="00900BF8" w:rsidRPr="00EB3D94">
        <w:rPr>
          <w:rFonts w:cs="Arial"/>
          <w:b/>
          <w:bCs/>
          <w:sz w:val="22"/>
          <w:szCs w:val="22"/>
          <w:u w:val="single"/>
          <w:lang w:val="es-ES"/>
        </w:rPr>
        <w:t xml:space="preserve">ramitación del expediente </w:t>
      </w:r>
    </w:p>
    <w:p w14:paraId="335AEBE2" w14:textId="77777777" w:rsidR="00354168" w:rsidRPr="00EB3D94" w:rsidRDefault="00354168" w:rsidP="00BC4866">
      <w:pPr>
        <w:pStyle w:val="Default"/>
        <w:rPr>
          <w:color w:val="auto"/>
          <w:lang w:val="es-ES"/>
        </w:rPr>
      </w:pPr>
    </w:p>
    <w:p w14:paraId="42181598" w14:textId="77777777" w:rsidR="00EC7285" w:rsidRPr="00EB3D94" w:rsidRDefault="00382A77" w:rsidP="00BC4866">
      <w:pPr>
        <w:tabs>
          <w:tab w:val="left" w:pos="0"/>
        </w:tabs>
        <w:suppressAutoHyphens/>
        <w:jc w:val="both"/>
        <w:rPr>
          <w:rFonts w:cs="Arial"/>
          <w:szCs w:val="22"/>
          <w:lang w:val="es-ES"/>
        </w:rPr>
      </w:pPr>
      <w:r w:rsidRPr="00EB3D94">
        <w:rPr>
          <w:rFonts w:cs="Arial"/>
          <w:szCs w:val="22"/>
          <w:lang w:val="es-ES"/>
        </w:rPr>
        <w:t xml:space="preserve">La adjudicación del contrato se realizará por el órgano de contratación mediante </w:t>
      </w:r>
      <w:r w:rsidR="005844DC" w:rsidRPr="00EB3D94">
        <w:rPr>
          <w:rFonts w:cs="Arial"/>
          <w:szCs w:val="22"/>
          <w:lang w:val="es-ES"/>
        </w:rPr>
        <w:t xml:space="preserve">el </w:t>
      </w:r>
      <w:r w:rsidRPr="00EB3D94">
        <w:rPr>
          <w:rFonts w:cs="Arial"/>
          <w:szCs w:val="22"/>
          <w:lang w:val="es-ES"/>
        </w:rPr>
        <w:t>procedimiento abierto, pr</w:t>
      </w:r>
      <w:r w:rsidR="00555F1E" w:rsidRPr="00EB3D94">
        <w:rPr>
          <w:rFonts w:cs="Arial"/>
          <w:szCs w:val="22"/>
          <w:lang w:val="es-ES"/>
        </w:rPr>
        <w:t>evisto y regulado en los artículos 156 a 158</w:t>
      </w:r>
      <w:r w:rsidRPr="00EB3D94">
        <w:rPr>
          <w:rFonts w:cs="Arial"/>
          <w:szCs w:val="22"/>
          <w:lang w:val="es-ES"/>
        </w:rPr>
        <w:t xml:space="preserve"> </w:t>
      </w:r>
      <w:r w:rsidR="00D4654E" w:rsidRPr="00EB3D94">
        <w:rPr>
          <w:rFonts w:cs="Arial"/>
          <w:szCs w:val="22"/>
          <w:lang w:val="es-ES"/>
        </w:rPr>
        <w:t>LCSP</w:t>
      </w:r>
      <w:r w:rsidRPr="00EB3D94">
        <w:rPr>
          <w:rFonts w:cs="Arial"/>
          <w:szCs w:val="22"/>
          <w:lang w:val="es-ES"/>
        </w:rPr>
        <w:t xml:space="preserve">. </w:t>
      </w:r>
    </w:p>
    <w:p w14:paraId="31012F8D" w14:textId="77777777" w:rsidR="001167F9" w:rsidRPr="00EB3D94" w:rsidRDefault="001167F9" w:rsidP="00BC4866">
      <w:pPr>
        <w:tabs>
          <w:tab w:val="left" w:pos="0"/>
        </w:tabs>
        <w:suppressAutoHyphens/>
        <w:jc w:val="both"/>
        <w:rPr>
          <w:rFonts w:cs="Arial"/>
          <w:szCs w:val="22"/>
          <w:lang w:val="es-ES"/>
        </w:rPr>
      </w:pPr>
    </w:p>
    <w:p w14:paraId="158A0B11" w14:textId="77777777" w:rsidR="00382A77" w:rsidRPr="00EB3D94" w:rsidRDefault="005E549D" w:rsidP="00BC4866">
      <w:pPr>
        <w:tabs>
          <w:tab w:val="left" w:pos="0"/>
        </w:tabs>
        <w:suppressAutoHyphens/>
        <w:jc w:val="both"/>
        <w:rPr>
          <w:rFonts w:cs="Arial"/>
          <w:b/>
          <w:szCs w:val="22"/>
          <w:lang w:val="es-ES"/>
        </w:rPr>
      </w:pPr>
      <w:r w:rsidRPr="00EB3D94">
        <w:rPr>
          <w:rFonts w:cs="Arial"/>
          <w:szCs w:val="22"/>
          <w:lang w:val="es-ES"/>
        </w:rPr>
        <w:t>Este contrato, de acuerdo con el es</w:t>
      </w:r>
      <w:r w:rsidR="009547A1" w:rsidRPr="00EB3D94">
        <w:rPr>
          <w:rFonts w:cs="Arial"/>
          <w:szCs w:val="22"/>
          <w:lang w:val="es-ES"/>
        </w:rPr>
        <w:t xml:space="preserve">tablecido en el artículo 22 </w:t>
      </w:r>
      <w:r w:rsidR="00734182" w:rsidRPr="00EB3D94">
        <w:rPr>
          <w:rFonts w:cs="Arial"/>
          <w:szCs w:val="22"/>
          <w:lang w:val="es-ES"/>
        </w:rPr>
        <w:t>LCSP está sujeto a regulación armonizada.</w:t>
      </w:r>
    </w:p>
    <w:p w14:paraId="6BD752A8" w14:textId="77777777" w:rsidR="001167F9" w:rsidRPr="00EB3D94" w:rsidRDefault="001167F9" w:rsidP="00BC4866">
      <w:pPr>
        <w:tabs>
          <w:tab w:val="left" w:pos="0"/>
        </w:tabs>
        <w:suppressAutoHyphens/>
        <w:jc w:val="both"/>
        <w:rPr>
          <w:rFonts w:cs="Arial"/>
          <w:szCs w:val="22"/>
          <w:lang w:val="es-ES"/>
        </w:rPr>
      </w:pPr>
    </w:p>
    <w:p w14:paraId="3E8ADBCF" w14:textId="77777777" w:rsidR="00EC7285" w:rsidRPr="00EB3D94" w:rsidRDefault="00382A77" w:rsidP="00BC4866">
      <w:pPr>
        <w:pStyle w:val="CM25"/>
        <w:spacing w:after="0"/>
        <w:jc w:val="both"/>
        <w:rPr>
          <w:rFonts w:cs="Arial"/>
          <w:bCs/>
          <w:sz w:val="22"/>
          <w:szCs w:val="22"/>
          <w:lang w:val="es-ES"/>
        </w:rPr>
      </w:pPr>
      <w:r w:rsidRPr="00EB3D94">
        <w:rPr>
          <w:rFonts w:cs="Arial"/>
          <w:sz w:val="22"/>
          <w:szCs w:val="22"/>
          <w:lang w:val="es-ES"/>
        </w:rPr>
        <w:t xml:space="preserve">La tramitación </w:t>
      </w:r>
      <w:r w:rsidR="005E3350" w:rsidRPr="00EB3D94">
        <w:rPr>
          <w:rFonts w:cs="Arial"/>
          <w:sz w:val="22"/>
          <w:szCs w:val="22"/>
          <w:lang w:val="es-ES"/>
        </w:rPr>
        <w:t xml:space="preserve">que de acuerdo </w:t>
      </w:r>
      <w:r w:rsidR="005E549D" w:rsidRPr="00EB3D94">
        <w:rPr>
          <w:rFonts w:cs="Arial"/>
          <w:sz w:val="22"/>
          <w:szCs w:val="22"/>
          <w:lang w:val="es-ES"/>
        </w:rPr>
        <w:t xml:space="preserve">con </w:t>
      </w:r>
      <w:r w:rsidR="00927198" w:rsidRPr="00EB3D94">
        <w:rPr>
          <w:rFonts w:cs="Arial"/>
          <w:sz w:val="22"/>
          <w:szCs w:val="22"/>
          <w:lang w:val="es-ES"/>
        </w:rPr>
        <w:t>el artículo</w:t>
      </w:r>
      <w:r w:rsidR="005E549D" w:rsidRPr="00EB3D94">
        <w:rPr>
          <w:rFonts w:cs="Arial"/>
          <w:sz w:val="22"/>
          <w:szCs w:val="22"/>
          <w:lang w:val="es-ES"/>
        </w:rPr>
        <w:t xml:space="preserve"> </w:t>
      </w:r>
      <w:r w:rsidR="009547A1" w:rsidRPr="00EB3D94">
        <w:rPr>
          <w:rFonts w:cs="Arial"/>
          <w:sz w:val="22"/>
          <w:szCs w:val="22"/>
          <w:lang w:val="es-ES"/>
        </w:rPr>
        <w:t>119 LCSP</w:t>
      </w:r>
      <w:r w:rsidR="00EC7285" w:rsidRPr="00EB3D94">
        <w:rPr>
          <w:rFonts w:cs="Arial"/>
          <w:sz w:val="22"/>
          <w:szCs w:val="22"/>
          <w:lang w:val="es-ES"/>
        </w:rPr>
        <w:t xml:space="preserve"> </w:t>
      </w:r>
      <w:r w:rsidR="005844DC" w:rsidRPr="00EB3D94">
        <w:rPr>
          <w:rFonts w:cs="Arial"/>
          <w:sz w:val="22"/>
          <w:szCs w:val="22"/>
          <w:lang w:val="es-ES"/>
        </w:rPr>
        <w:t>s</w:t>
      </w:r>
      <w:r w:rsidR="00927198" w:rsidRPr="00EB3D94">
        <w:rPr>
          <w:rFonts w:cs="Arial"/>
          <w:sz w:val="22"/>
          <w:szCs w:val="22"/>
          <w:lang w:val="es-ES"/>
        </w:rPr>
        <w:t>e sigue</w:t>
      </w:r>
      <w:r w:rsidR="00EC7285" w:rsidRPr="00EB3D94">
        <w:rPr>
          <w:rFonts w:cs="Arial"/>
          <w:sz w:val="22"/>
          <w:szCs w:val="22"/>
          <w:lang w:val="es-ES"/>
        </w:rPr>
        <w:t xml:space="preserve"> para </w:t>
      </w:r>
      <w:r w:rsidR="005E549D" w:rsidRPr="00EB3D94">
        <w:rPr>
          <w:rFonts w:cs="Arial"/>
          <w:sz w:val="22"/>
          <w:szCs w:val="22"/>
          <w:lang w:val="es-ES"/>
        </w:rPr>
        <w:t xml:space="preserve">este expediente </w:t>
      </w:r>
      <w:r w:rsidR="005E549D" w:rsidRPr="00EB3D94">
        <w:rPr>
          <w:rFonts w:cs="Arial"/>
          <w:b/>
          <w:sz w:val="22"/>
          <w:szCs w:val="22"/>
          <w:lang w:val="es-ES"/>
        </w:rPr>
        <w:t xml:space="preserve">es </w:t>
      </w:r>
      <w:r w:rsidR="009547A1" w:rsidRPr="00EB3D94">
        <w:rPr>
          <w:rFonts w:cs="Arial"/>
          <w:b/>
          <w:sz w:val="22"/>
          <w:szCs w:val="22"/>
          <w:lang w:val="es-ES"/>
        </w:rPr>
        <w:t>urgente</w:t>
      </w:r>
      <w:r w:rsidR="009547A1" w:rsidRPr="00EB3D94">
        <w:rPr>
          <w:rFonts w:cs="Arial"/>
          <w:sz w:val="22"/>
          <w:szCs w:val="22"/>
          <w:lang w:val="es-ES"/>
        </w:rPr>
        <w:t>, tal como consta en la declaración realizada por el órgano de contratación en la resolución de inicio del expediente.</w:t>
      </w:r>
    </w:p>
    <w:p w14:paraId="701F79E0" w14:textId="77777777" w:rsidR="001167F9" w:rsidRPr="00EB3D94" w:rsidRDefault="001167F9" w:rsidP="00BC4866">
      <w:pPr>
        <w:pStyle w:val="Default"/>
        <w:rPr>
          <w:color w:val="auto"/>
          <w:lang w:val="es-ES"/>
        </w:rPr>
      </w:pPr>
    </w:p>
    <w:p w14:paraId="029372E0" w14:textId="205FBB03" w:rsidR="001167F9" w:rsidRPr="00EB3D94" w:rsidRDefault="00382A77" w:rsidP="00BC4866">
      <w:pPr>
        <w:jc w:val="both"/>
        <w:rPr>
          <w:rFonts w:cs="Arial"/>
          <w:szCs w:val="22"/>
          <w:lang w:val="es-ES"/>
        </w:rPr>
      </w:pPr>
      <w:r w:rsidRPr="00EB3D94">
        <w:rPr>
          <w:rFonts w:cs="Arial"/>
          <w:szCs w:val="22"/>
          <w:lang w:val="es-ES"/>
        </w:rPr>
        <w:t>El órgano de contratación, de acuerd</w:t>
      </w:r>
      <w:r w:rsidR="005E3350" w:rsidRPr="00EB3D94">
        <w:rPr>
          <w:rFonts w:cs="Arial"/>
          <w:szCs w:val="22"/>
          <w:lang w:val="es-ES"/>
        </w:rPr>
        <w:t>o con lo que establece el a</w:t>
      </w:r>
      <w:r w:rsidR="009547A1" w:rsidRPr="00EB3D94">
        <w:rPr>
          <w:rFonts w:cs="Arial"/>
          <w:szCs w:val="22"/>
          <w:lang w:val="es-ES"/>
        </w:rPr>
        <w:t>rtículo 150</w:t>
      </w:r>
      <w:r w:rsidRPr="00EB3D94">
        <w:rPr>
          <w:rFonts w:cs="Arial"/>
          <w:szCs w:val="22"/>
          <w:lang w:val="es-ES"/>
        </w:rPr>
        <w:t xml:space="preserve"> </w:t>
      </w:r>
      <w:r w:rsidR="00D4654E" w:rsidRPr="00EB3D94">
        <w:rPr>
          <w:rFonts w:cs="Arial"/>
          <w:szCs w:val="22"/>
          <w:lang w:val="es-ES"/>
        </w:rPr>
        <w:t>LCSP</w:t>
      </w:r>
      <w:r w:rsidRPr="00EB3D94">
        <w:rPr>
          <w:rFonts w:cs="Arial"/>
          <w:szCs w:val="22"/>
          <w:lang w:val="es-ES"/>
        </w:rPr>
        <w:t xml:space="preserve">, adjudicará las prestaciones objeto de este contrato </w:t>
      </w:r>
      <w:r w:rsidR="00BC0979" w:rsidRPr="00EB3D94">
        <w:rPr>
          <w:rFonts w:cs="Arial"/>
          <w:szCs w:val="22"/>
          <w:lang w:val="es-ES"/>
        </w:rPr>
        <w:t xml:space="preserve">de acuerdo con los criterios establecidos </w:t>
      </w:r>
      <w:r w:rsidR="00B72108" w:rsidRPr="00EB3D94">
        <w:rPr>
          <w:rFonts w:cs="Arial"/>
          <w:szCs w:val="22"/>
          <w:lang w:val="es-ES"/>
        </w:rPr>
        <w:t xml:space="preserve">en </w:t>
      </w:r>
      <w:r w:rsidR="00AC279D" w:rsidRPr="00EB3D94">
        <w:rPr>
          <w:rFonts w:cs="Arial"/>
          <w:b/>
          <w:szCs w:val="22"/>
          <w:lang w:val="es-ES"/>
        </w:rPr>
        <w:t xml:space="preserve">la cláusula </w:t>
      </w:r>
      <w:r w:rsidR="00BC0979" w:rsidRPr="00EB3D94">
        <w:rPr>
          <w:rFonts w:cs="Arial"/>
          <w:b/>
          <w:szCs w:val="22"/>
          <w:lang w:val="es-ES"/>
        </w:rPr>
        <w:t>décima</w:t>
      </w:r>
      <w:r w:rsidR="005844DC" w:rsidRPr="00EB3D94">
        <w:rPr>
          <w:rFonts w:cs="Arial"/>
          <w:szCs w:val="22"/>
          <w:lang w:val="es-ES"/>
        </w:rPr>
        <w:t>, y en base a</w:t>
      </w:r>
      <w:r w:rsidRPr="00EB3D94">
        <w:rPr>
          <w:rFonts w:cs="Arial"/>
          <w:szCs w:val="22"/>
          <w:lang w:val="es-ES"/>
        </w:rPr>
        <w:t xml:space="preserve"> la ponderación que se los atribuya, sin perjuicio de la facultad de declararlo desierto, cuándo no haya ninguna oferta que sea </w:t>
      </w:r>
      <w:r w:rsidR="00B72108" w:rsidRPr="00EB3D94">
        <w:rPr>
          <w:rFonts w:cs="Arial"/>
          <w:szCs w:val="22"/>
          <w:lang w:val="es-ES"/>
        </w:rPr>
        <w:t>admisible</w:t>
      </w:r>
      <w:r w:rsidRPr="00EB3D94">
        <w:rPr>
          <w:rFonts w:cs="Arial"/>
          <w:szCs w:val="22"/>
          <w:lang w:val="es-ES"/>
        </w:rPr>
        <w:t xml:space="preserve"> </w:t>
      </w:r>
      <w:r w:rsidR="005844DC" w:rsidRPr="00EB3D94">
        <w:rPr>
          <w:rFonts w:cs="Arial"/>
          <w:szCs w:val="22"/>
          <w:lang w:val="es-ES"/>
        </w:rPr>
        <w:t>de acuerdo con</w:t>
      </w:r>
      <w:r w:rsidRPr="00EB3D94">
        <w:rPr>
          <w:rFonts w:cs="Arial"/>
          <w:szCs w:val="22"/>
          <w:lang w:val="es-ES"/>
        </w:rPr>
        <w:t xml:space="preserve"> los criterios que figuran en </w:t>
      </w:r>
      <w:r w:rsidR="001E0739" w:rsidRPr="00EB3D94">
        <w:rPr>
          <w:rFonts w:cs="Arial"/>
          <w:szCs w:val="22"/>
          <w:lang w:val="es-ES"/>
        </w:rPr>
        <w:t>el pliego</w:t>
      </w:r>
      <w:r w:rsidRPr="00EB3D94">
        <w:rPr>
          <w:rFonts w:cs="Arial"/>
          <w:vanish/>
          <w:szCs w:val="22"/>
          <w:lang w:val="es-ES"/>
        </w:rPr>
        <w:t>&lt;A[pliegue|pliego]&gt;</w:t>
      </w:r>
      <w:r w:rsidRPr="00EB3D94">
        <w:rPr>
          <w:rFonts w:cs="Arial"/>
          <w:szCs w:val="22"/>
          <w:lang w:val="es-ES"/>
        </w:rPr>
        <w:t xml:space="preserve">. </w:t>
      </w:r>
    </w:p>
    <w:p w14:paraId="6DAAAF73" w14:textId="77777777" w:rsidR="001167F9" w:rsidRPr="00EB3D94" w:rsidRDefault="001167F9" w:rsidP="00BC4866">
      <w:pPr>
        <w:jc w:val="both"/>
        <w:rPr>
          <w:rFonts w:cs="Arial"/>
          <w:szCs w:val="22"/>
          <w:lang w:val="es-ES"/>
        </w:rPr>
      </w:pPr>
    </w:p>
    <w:p w14:paraId="4819B1D6" w14:textId="77777777" w:rsidR="000401D7" w:rsidRPr="00EB3D94" w:rsidRDefault="00382A77" w:rsidP="00BC4866">
      <w:pPr>
        <w:jc w:val="both"/>
        <w:rPr>
          <w:rFonts w:cs="Arial"/>
          <w:bCs/>
          <w:szCs w:val="22"/>
          <w:lang w:val="es-ES"/>
        </w:rPr>
      </w:pPr>
      <w:r w:rsidRPr="00EB3D94">
        <w:rPr>
          <w:rFonts w:cs="Arial"/>
          <w:bCs/>
          <w:szCs w:val="22"/>
          <w:lang w:val="es-ES"/>
        </w:rPr>
        <w:t>Corresponde al órgano de contratación, por razones de interés público debidamente justificadas, renunciar a celebrar el contrato antes de la adjudicación. También podrá desistir del procedimiento</w:t>
      </w:r>
      <w:r w:rsidR="00B72108" w:rsidRPr="00EB3D94">
        <w:rPr>
          <w:rFonts w:cs="Arial"/>
          <w:bCs/>
          <w:szCs w:val="22"/>
          <w:lang w:val="es-ES"/>
        </w:rPr>
        <w:t xml:space="preserve"> </w:t>
      </w:r>
      <w:r w:rsidRPr="00EB3D94">
        <w:rPr>
          <w:rFonts w:cs="Arial"/>
          <w:bCs/>
          <w:szCs w:val="22"/>
          <w:lang w:val="es-ES"/>
        </w:rPr>
        <w:t xml:space="preserve">antes de la adjudicación cuando se advierta una infracción no enmendable de las normas de preparación del contrato o de las reguladoras del procedimiento de adjudicación. </w:t>
      </w:r>
    </w:p>
    <w:p w14:paraId="1CC82E3E" w14:textId="77777777" w:rsidR="00BC4DBB" w:rsidRPr="00EB3D94" w:rsidRDefault="00BC4DBB" w:rsidP="00BC4866">
      <w:pPr>
        <w:jc w:val="both"/>
        <w:rPr>
          <w:szCs w:val="22"/>
          <w:u w:val="single"/>
          <w:lang w:val="es-ES"/>
        </w:rPr>
      </w:pPr>
    </w:p>
    <w:p w14:paraId="46A2CFA6" w14:textId="2C1CA022" w:rsidR="00BC4DBB" w:rsidRPr="00EB3D94" w:rsidRDefault="00BC4DBB" w:rsidP="00BC4DBB">
      <w:pPr>
        <w:jc w:val="both"/>
        <w:rPr>
          <w:b/>
          <w:bCs/>
          <w:u w:val="single"/>
          <w:lang w:val="es-ES"/>
        </w:rPr>
      </w:pPr>
      <w:r w:rsidRPr="00EB3D94">
        <w:rPr>
          <w:b/>
          <w:bCs/>
          <w:u w:val="single"/>
          <w:lang w:val="es-ES"/>
        </w:rPr>
        <w:t>Las entidades financieras pueden presentarse a ambos lotes. El número máximo de entidades que se podrán adjudicar es de tres (3) para el LOT</w:t>
      </w:r>
      <w:r w:rsidR="001E0739" w:rsidRPr="00EB3D94">
        <w:rPr>
          <w:b/>
          <w:bCs/>
          <w:u w:val="single"/>
          <w:lang w:val="es-ES"/>
        </w:rPr>
        <w:t>E</w:t>
      </w:r>
      <w:r w:rsidRPr="00EB3D94">
        <w:rPr>
          <w:b/>
          <w:bCs/>
          <w:u w:val="single"/>
          <w:lang w:val="es-ES"/>
        </w:rPr>
        <w:t xml:space="preserve"> 1 y de seis (6) para el LOT</w:t>
      </w:r>
      <w:r w:rsidR="001E0739" w:rsidRPr="00EB3D94">
        <w:rPr>
          <w:b/>
          <w:bCs/>
          <w:u w:val="single"/>
          <w:lang w:val="es-ES"/>
        </w:rPr>
        <w:t>E</w:t>
      </w:r>
      <w:r w:rsidRPr="00EB3D94">
        <w:rPr>
          <w:b/>
          <w:bCs/>
          <w:u w:val="single"/>
          <w:lang w:val="es-ES"/>
        </w:rPr>
        <w:t xml:space="preserve"> 2. </w:t>
      </w:r>
    </w:p>
    <w:p w14:paraId="6F04E5F3" w14:textId="77777777" w:rsidR="00BC4DBB" w:rsidRPr="00EB3D94" w:rsidRDefault="00BC4DBB" w:rsidP="00BC4DBB">
      <w:pPr>
        <w:ind w:left="284"/>
        <w:jc w:val="both"/>
        <w:rPr>
          <w:b/>
          <w:bCs/>
          <w:lang w:val="es-ES"/>
        </w:rPr>
      </w:pPr>
    </w:p>
    <w:p w14:paraId="29F68288" w14:textId="2198B0E2" w:rsidR="00BC4DBB" w:rsidRPr="00EB3D94" w:rsidRDefault="00BC4DBB" w:rsidP="00BC4DBB">
      <w:pPr>
        <w:jc w:val="both"/>
        <w:rPr>
          <w:rFonts w:cs="Arial"/>
          <w:bCs/>
          <w:szCs w:val="22"/>
          <w:lang w:val="es-ES"/>
        </w:rPr>
      </w:pPr>
      <w:r w:rsidRPr="00EB3D94">
        <w:rPr>
          <w:rFonts w:cs="Arial"/>
          <w:bCs/>
          <w:szCs w:val="22"/>
          <w:lang w:val="es-ES"/>
        </w:rPr>
        <w:t xml:space="preserve">En primer lugar, se adjudicará el </w:t>
      </w:r>
      <w:r w:rsidR="00307CC4" w:rsidRPr="00EB3D94">
        <w:rPr>
          <w:rFonts w:cs="Arial"/>
          <w:bCs/>
          <w:szCs w:val="22"/>
          <w:lang w:val="es-ES"/>
        </w:rPr>
        <w:t>LOT</w:t>
      </w:r>
      <w:r w:rsidR="001E0739" w:rsidRPr="00EB3D94">
        <w:rPr>
          <w:rFonts w:cs="Arial"/>
          <w:bCs/>
          <w:szCs w:val="22"/>
          <w:lang w:val="es-ES"/>
        </w:rPr>
        <w:t>E</w:t>
      </w:r>
      <w:r w:rsidRPr="00EB3D94">
        <w:rPr>
          <w:rFonts w:cs="Arial"/>
          <w:bCs/>
          <w:szCs w:val="22"/>
          <w:lang w:val="es-ES"/>
        </w:rPr>
        <w:t xml:space="preserve"> 1, teniendo en cuenta que las entidades adjudicarías no podrá </w:t>
      </w:r>
      <w:proofErr w:type="gramStart"/>
      <w:r w:rsidRPr="00EB3D94">
        <w:rPr>
          <w:rFonts w:cs="Arial"/>
          <w:bCs/>
          <w:szCs w:val="22"/>
          <w:lang w:val="es-ES"/>
        </w:rPr>
        <w:t>exceder  de</w:t>
      </w:r>
      <w:proofErr w:type="gramEnd"/>
      <w:r w:rsidRPr="00EB3D94">
        <w:rPr>
          <w:rFonts w:cs="Arial"/>
          <w:bCs/>
          <w:szCs w:val="22"/>
          <w:lang w:val="es-ES"/>
        </w:rPr>
        <w:t xml:space="preserve"> tres entidades y que serán seleccionadas las que mejor “Puntuación total” hayan obtenido. </w:t>
      </w:r>
    </w:p>
    <w:p w14:paraId="70FA5A91" w14:textId="77777777" w:rsidR="00BC4DBB" w:rsidRPr="00EB3D94" w:rsidRDefault="00BC4DBB" w:rsidP="00BC4DBB">
      <w:pPr>
        <w:jc w:val="both"/>
        <w:rPr>
          <w:rFonts w:cs="Arial"/>
          <w:bCs/>
          <w:szCs w:val="22"/>
          <w:lang w:val="es-ES"/>
        </w:rPr>
      </w:pPr>
    </w:p>
    <w:p w14:paraId="4F717199" w14:textId="7DE7D9C3" w:rsidR="00BC4DBB" w:rsidRPr="00EB3D94" w:rsidRDefault="00BC4DBB" w:rsidP="00BC4DBB">
      <w:pPr>
        <w:jc w:val="both"/>
        <w:rPr>
          <w:rFonts w:cs="Arial"/>
          <w:bCs/>
          <w:szCs w:val="22"/>
          <w:lang w:val="es-ES"/>
        </w:rPr>
      </w:pPr>
      <w:r w:rsidRPr="00EB3D94">
        <w:rPr>
          <w:rFonts w:cs="Arial"/>
          <w:bCs/>
          <w:szCs w:val="22"/>
          <w:lang w:val="es-ES"/>
        </w:rPr>
        <w:t>En segundo lugar, se adjudicará el LOT</w:t>
      </w:r>
      <w:r w:rsidR="001E0739" w:rsidRPr="00EB3D94">
        <w:rPr>
          <w:rFonts w:cs="Arial"/>
          <w:bCs/>
          <w:szCs w:val="22"/>
          <w:lang w:val="es-ES"/>
        </w:rPr>
        <w:t>E</w:t>
      </w:r>
      <w:r w:rsidRPr="00EB3D94">
        <w:rPr>
          <w:rFonts w:cs="Arial"/>
          <w:bCs/>
          <w:szCs w:val="22"/>
          <w:lang w:val="es-ES"/>
        </w:rPr>
        <w:t xml:space="preserve"> 2, entre las entidades que hayan presentado ofertas por</w:t>
      </w:r>
      <w:r w:rsidRPr="00EB3D94">
        <w:rPr>
          <w:rFonts w:cs="Arial"/>
          <w:bCs/>
          <w:vanish/>
          <w:szCs w:val="22"/>
          <w:lang w:val="es-ES"/>
        </w:rPr>
        <w:t>&lt;A[por|para]&gt;</w:t>
      </w:r>
      <w:r w:rsidRPr="00EB3D94">
        <w:rPr>
          <w:rFonts w:cs="Arial"/>
          <w:bCs/>
          <w:szCs w:val="22"/>
          <w:lang w:val="es-ES"/>
        </w:rPr>
        <w:t xml:space="preserve"> este segundo lote y no hayan sido adjudicatarias del LOT</w:t>
      </w:r>
      <w:r w:rsidR="001E0739" w:rsidRPr="00EB3D94">
        <w:rPr>
          <w:rFonts w:cs="Arial"/>
          <w:bCs/>
          <w:szCs w:val="22"/>
          <w:lang w:val="es-ES"/>
        </w:rPr>
        <w:t>E</w:t>
      </w:r>
      <w:r w:rsidRPr="00EB3D94">
        <w:rPr>
          <w:rFonts w:cs="Arial"/>
          <w:bCs/>
          <w:szCs w:val="22"/>
          <w:lang w:val="es-ES"/>
        </w:rPr>
        <w:t xml:space="preserve"> 1. En caso de que no se llegara al importe de 500M se podrá tener en cuenta las ofertas de las entidades que también hayan sido adjudicatarias en el LOT</w:t>
      </w:r>
      <w:r w:rsidR="001E0739" w:rsidRPr="00EB3D94">
        <w:rPr>
          <w:rFonts w:cs="Arial"/>
          <w:bCs/>
          <w:szCs w:val="22"/>
          <w:lang w:val="es-ES"/>
        </w:rPr>
        <w:t>E</w:t>
      </w:r>
      <w:r w:rsidRPr="00EB3D94">
        <w:rPr>
          <w:rFonts w:cs="Arial"/>
          <w:bCs/>
          <w:szCs w:val="22"/>
          <w:lang w:val="es-ES"/>
        </w:rPr>
        <w:t xml:space="preserve"> 1.</w:t>
      </w:r>
    </w:p>
    <w:p w14:paraId="4E1FDD69" w14:textId="77777777" w:rsidR="00BC4DBB" w:rsidRPr="00EB3D94" w:rsidRDefault="00BC4DBB" w:rsidP="00BC4DBB">
      <w:pPr>
        <w:jc w:val="both"/>
        <w:rPr>
          <w:rFonts w:cs="Arial"/>
          <w:bCs/>
          <w:szCs w:val="22"/>
          <w:lang w:val="es-ES"/>
        </w:rPr>
      </w:pPr>
    </w:p>
    <w:p w14:paraId="377DF563" w14:textId="06461CF3" w:rsidR="00BC4DBB" w:rsidRPr="00EB3D94" w:rsidRDefault="00BC4DBB" w:rsidP="00BC4DBB">
      <w:pPr>
        <w:jc w:val="both"/>
        <w:rPr>
          <w:rFonts w:cs="Arial"/>
          <w:bCs/>
          <w:szCs w:val="22"/>
          <w:lang w:val="es-ES"/>
        </w:rPr>
      </w:pPr>
      <w:r w:rsidRPr="00EB3D94">
        <w:rPr>
          <w:rFonts w:cs="Arial"/>
          <w:bCs/>
          <w:szCs w:val="22"/>
          <w:lang w:val="es-ES"/>
        </w:rPr>
        <w:lastRenderedPageBreak/>
        <w:t>Para cada uno de los lotes y en caso de que la suma de todas las operaciones de endeudamiento ofrecidas por las entidades adjudicatarias sea superior a las del lote correspondiente, una vez hechas las valoraciones y repartido el volumen de negocio, se asignará a cada entidad el importe mínimo establecido para los respectivos lotes y el importe restante se prorrateará de forma que el importe final no supere el importe total del LOT</w:t>
      </w:r>
      <w:r w:rsidR="001E0739" w:rsidRPr="00EB3D94">
        <w:rPr>
          <w:rFonts w:cs="Arial"/>
          <w:bCs/>
          <w:szCs w:val="22"/>
          <w:lang w:val="es-ES"/>
        </w:rPr>
        <w:t>E</w:t>
      </w:r>
      <w:r w:rsidRPr="00EB3D94">
        <w:rPr>
          <w:rFonts w:cs="Arial"/>
          <w:bCs/>
          <w:szCs w:val="22"/>
          <w:lang w:val="es-ES"/>
        </w:rPr>
        <w:t>.</w:t>
      </w:r>
    </w:p>
    <w:p w14:paraId="763BB48C" w14:textId="77777777" w:rsidR="007C1803" w:rsidRPr="00EB3D94" w:rsidRDefault="007C1803" w:rsidP="00BC4866">
      <w:pPr>
        <w:jc w:val="both"/>
        <w:rPr>
          <w:rFonts w:cs="Arial"/>
          <w:szCs w:val="22"/>
          <w:lang w:val="es-ES"/>
        </w:rPr>
      </w:pPr>
    </w:p>
    <w:p w14:paraId="6B8A5A0A" w14:textId="77777777" w:rsidR="003E2789" w:rsidRPr="00EB3D94" w:rsidRDefault="00CD6123" w:rsidP="00BC4866">
      <w:pPr>
        <w:autoSpaceDE w:val="0"/>
        <w:autoSpaceDN w:val="0"/>
        <w:adjustRightInd w:val="0"/>
        <w:rPr>
          <w:rFonts w:cs="Arial"/>
          <w:b/>
          <w:bCs/>
          <w:szCs w:val="22"/>
          <w:lang w:val="es-ES"/>
        </w:rPr>
      </w:pPr>
      <w:r w:rsidRPr="00EB3D94">
        <w:rPr>
          <w:rFonts w:cs="Arial"/>
          <w:b/>
          <w:bCs/>
          <w:szCs w:val="22"/>
          <w:lang w:val="es-ES"/>
        </w:rPr>
        <w:t>Nov</w:t>
      </w:r>
      <w:r w:rsidR="009A4D9B" w:rsidRPr="00EB3D94">
        <w:rPr>
          <w:rFonts w:cs="Arial"/>
          <w:b/>
          <w:bCs/>
          <w:szCs w:val="22"/>
          <w:lang w:val="es-ES"/>
        </w:rPr>
        <w:t xml:space="preserve">ena: </w:t>
      </w:r>
      <w:r w:rsidR="009A4D9B" w:rsidRPr="00EB3D94">
        <w:rPr>
          <w:rFonts w:cs="Arial"/>
          <w:b/>
          <w:bCs/>
          <w:szCs w:val="22"/>
          <w:u w:val="single"/>
          <w:lang w:val="es-ES"/>
        </w:rPr>
        <w:t xml:space="preserve">Presentación de </w:t>
      </w:r>
      <w:r w:rsidR="00921C32" w:rsidRPr="00EB3D94">
        <w:rPr>
          <w:rFonts w:cs="Arial"/>
          <w:b/>
          <w:bCs/>
          <w:szCs w:val="22"/>
          <w:u w:val="single"/>
          <w:lang w:val="es-ES"/>
        </w:rPr>
        <w:t xml:space="preserve">documentación y </w:t>
      </w:r>
      <w:r w:rsidR="00C4244C" w:rsidRPr="00EB3D94">
        <w:rPr>
          <w:rFonts w:cs="Arial"/>
          <w:b/>
          <w:bCs/>
          <w:szCs w:val="22"/>
          <w:u w:val="single"/>
          <w:lang w:val="es-ES"/>
        </w:rPr>
        <w:t xml:space="preserve">de </w:t>
      </w:r>
      <w:r w:rsidR="009A4D9B" w:rsidRPr="00EB3D94">
        <w:rPr>
          <w:rFonts w:cs="Arial"/>
          <w:b/>
          <w:bCs/>
          <w:szCs w:val="22"/>
          <w:u w:val="single"/>
          <w:lang w:val="es-ES"/>
        </w:rPr>
        <w:t>proposiciones</w:t>
      </w:r>
    </w:p>
    <w:p w14:paraId="35AD2326" w14:textId="77777777" w:rsidR="000752BA" w:rsidRPr="00EB3D94" w:rsidRDefault="000752BA" w:rsidP="00BC4866">
      <w:pPr>
        <w:autoSpaceDE w:val="0"/>
        <w:autoSpaceDN w:val="0"/>
        <w:adjustRightInd w:val="0"/>
        <w:rPr>
          <w:rFonts w:cs="Arial"/>
          <w:b/>
          <w:szCs w:val="22"/>
          <w:lang w:val="es-ES"/>
        </w:rPr>
      </w:pPr>
    </w:p>
    <w:p w14:paraId="4E2A49D6" w14:textId="77777777" w:rsidR="009A4D9B" w:rsidRPr="00EB3D94" w:rsidRDefault="00850010" w:rsidP="00BC4866">
      <w:pPr>
        <w:autoSpaceDE w:val="0"/>
        <w:autoSpaceDN w:val="0"/>
        <w:adjustRightInd w:val="0"/>
        <w:jc w:val="both"/>
        <w:rPr>
          <w:rFonts w:cs="Arial"/>
          <w:b/>
          <w:bCs/>
          <w:szCs w:val="22"/>
          <w:lang w:val="es-ES"/>
        </w:rPr>
      </w:pPr>
      <w:r w:rsidRPr="00EB3D94">
        <w:rPr>
          <w:rFonts w:cs="Arial"/>
          <w:b/>
          <w:szCs w:val="22"/>
          <w:lang w:val="es-ES"/>
        </w:rPr>
        <w:t>9.1</w:t>
      </w:r>
      <w:r w:rsidRPr="00EB3D94">
        <w:rPr>
          <w:rFonts w:cs="Arial"/>
          <w:szCs w:val="22"/>
          <w:lang w:val="es-ES"/>
        </w:rPr>
        <w:t xml:space="preserve"> </w:t>
      </w:r>
      <w:r w:rsidR="009A4D9B" w:rsidRPr="00EB3D94">
        <w:rPr>
          <w:rFonts w:cs="Arial"/>
          <w:szCs w:val="22"/>
          <w:lang w:val="es-ES"/>
        </w:rPr>
        <w:t>El órgano de contratación</w:t>
      </w:r>
      <w:r w:rsidR="00C4244C" w:rsidRPr="00EB3D94">
        <w:rPr>
          <w:rFonts w:cs="Arial"/>
          <w:szCs w:val="22"/>
          <w:lang w:val="es-ES"/>
        </w:rPr>
        <w:t>, dado que el contrato está sujeto a una regulación armonizada,</w:t>
      </w:r>
      <w:r w:rsidR="009A4D9B" w:rsidRPr="00EB3D94">
        <w:rPr>
          <w:rFonts w:cs="Arial"/>
          <w:szCs w:val="22"/>
          <w:lang w:val="es-ES"/>
        </w:rPr>
        <w:t xml:space="preserve"> </w:t>
      </w:r>
      <w:r w:rsidR="00C4244C" w:rsidRPr="00EB3D94">
        <w:rPr>
          <w:rFonts w:cs="Arial"/>
          <w:szCs w:val="22"/>
          <w:lang w:val="es-ES"/>
        </w:rPr>
        <w:t>anunciará la licitación en el Diario Oficial de la Unión Europea</w:t>
      </w:r>
      <w:r w:rsidR="009A4D9B" w:rsidRPr="00EB3D94">
        <w:rPr>
          <w:rFonts w:cs="Arial"/>
          <w:szCs w:val="22"/>
          <w:lang w:val="es-ES"/>
        </w:rPr>
        <w:t xml:space="preserve">, </w:t>
      </w:r>
      <w:r w:rsidR="00C4244C" w:rsidRPr="00EB3D94">
        <w:rPr>
          <w:rFonts w:cs="Arial"/>
          <w:szCs w:val="22"/>
          <w:lang w:val="es-ES"/>
        </w:rPr>
        <w:t xml:space="preserve">asimismo lo anunciará </w:t>
      </w:r>
      <w:r w:rsidR="009A4D9B" w:rsidRPr="00EB3D94">
        <w:rPr>
          <w:rFonts w:cs="Arial"/>
          <w:szCs w:val="22"/>
          <w:lang w:val="es-ES"/>
        </w:rPr>
        <w:t>en su perfil del contratante.</w:t>
      </w:r>
    </w:p>
    <w:p w14:paraId="475F7933" w14:textId="77777777" w:rsidR="00AC279D" w:rsidRPr="00EB3D94" w:rsidRDefault="00AC279D" w:rsidP="00BC4866">
      <w:pPr>
        <w:autoSpaceDE w:val="0"/>
        <w:autoSpaceDN w:val="0"/>
        <w:adjustRightInd w:val="0"/>
        <w:jc w:val="both"/>
        <w:rPr>
          <w:rFonts w:cs="Arial"/>
          <w:szCs w:val="22"/>
          <w:lang w:val="es-ES"/>
        </w:rPr>
      </w:pPr>
    </w:p>
    <w:p w14:paraId="34B966EE" w14:textId="77777777" w:rsidR="00D35366" w:rsidRPr="00EB3D94" w:rsidRDefault="00C4244C" w:rsidP="00BC4866">
      <w:pPr>
        <w:autoSpaceDE w:val="0"/>
        <w:autoSpaceDN w:val="0"/>
        <w:adjustRightInd w:val="0"/>
        <w:jc w:val="both"/>
        <w:rPr>
          <w:rFonts w:cs="Arial"/>
          <w:szCs w:val="22"/>
          <w:lang w:val="es-ES"/>
        </w:rPr>
      </w:pPr>
      <w:r w:rsidRPr="00EB3D94">
        <w:rPr>
          <w:rFonts w:cs="Arial"/>
          <w:szCs w:val="22"/>
          <w:lang w:val="es-ES"/>
        </w:rPr>
        <w:t>No se prevé ningún gasto en concepto de anuncio de licitación.</w:t>
      </w:r>
    </w:p>
    <w:p w14:paraId="47AE844A" w14:textId="77777777" w:rsidR="00D35366" w:rsidRPr="00EB3D94" w:rsidRDefault="00D35366" w:rsidP="00BC4866">
      <w:pPr>
        <w:autoSpaceDE w:val="0"/>
        <w:autoSpaceDN w:val="0"/>
        <w:adjustRightInd w:val="0"/>
        <w:jc w:val="both"/>
        <w:rPr>
          <w:rFonts w:cs="Arial"/>
          <w:szCs w:val="22"/>
          <w:lang w:val="es-ES"/>
        </w:rPr>
      </w:pPr>
    </w:p>
    <w:p w14:paraId="0D15DDD5" w14:textId="1AE10760" w:rsidR="00D35366" w:rsidRPr="00EB3D94" w:rsidRDefault="00850010" w:rsidP="00BC4866">
      <w:pPr>
        <w:autoSpaceDE w:val="0"/>
        <w:autoSpaceDN w:val="0"/>
        <w:adjustRightInd w:val="0"/>
        <w:jc w:val="both"/>
        <w:rPr>
          <w:rStyle w:val="Enlla"/>
          <w:rFonts w:cs="Arial"/>
          <w:color w:val="auto"/>
          <w:szCs w:val="22"/>
          <w:u w:val="none"/>
          <w:lang w:val="es-ES"/>
        </w:rPr>
      </w:pPr>
      <w:r w:rsidRPr="00EB3D94">
        <w:rPr>
          <w:rFonts w:cs="Arial"/>
          <w:b/>
          <w:szCs w:val="22"/>
          <w:lang w:val="es-ES"/>
        </w:rPr>
        <w:t>9.2</w:t>
      </w:r>
      <w:r w:rsidRPr="00EB3D94">
        <w:rPr>
          <w:rFonts w:cs="Arial"/>
          <w:szCs w:val="22"/>
          <w:lang w:val="es-ES"/>
        </w:rPr>
        <w:t xml:space="preserve"> </w:t>
      </w:r>
      <w:r w:rsidR="00D35366" w:rsidRPr="00EB3D94">
        <w:rPr>
          <w:rFonts w:cs="Arial"/>
          <w:szCs w:val="22"/>
          <w:lang w:val="es-ES"/>
        </w:rPr>
        <w:t xml:space="preserve">Las empresas licitadoras </w:t>
      </w:r>
      <w:r w:rsidR="00A25938" w:rsidRPr="00EB3D94">
        <w:rPr>
          <w:rFonts w:cs="Arial"/>
          <w:szCs w:val="22"/>
          <w:lang w:val="es-ES"/>
        </w:rPr>
        <w:t xml:space="preserve">deben </w:t>
      </w:r>
      <w:r w:rsidR="00D35366" w:rsidRPr="00EB3D94">
        <w:rPr>
          <w:rFonts w:cs="Arial"/>
          <w:szCs w:val="22"/>
          <w:lang w:val="es-ES"/>
        </w:rPr>
        <w:t>presentar la documentación que conforme sus ofertas en lo</w:t>
      </w:r>
      <w:r w:rsidR="00E869B2" w:rsidRPr="00EB3D94">
        <w:rPr>
          <w:rFonts w:cs="Arial"/>
          <w:szCs w:val="22"/>
          <w:lang w:val="es-ES"/>
        </w:rPr>
        <w:t xml:space="preserve">s sobres y en la forma indicados en </w:t>
      </w:r>
      <w:r w:rsidR="00B74D31" w:rsidRPr="00EB3D94">
        <w:rPr>
          <w:rFonts w:cs="Arial"/>
          <w:szCs w:val="22"/>
          <w:lang w:val="es-ES"/>
        </w:rPr>
        <w:t xml:space="preserve">la </w:t>
      </w:r>
      <w:r w:rsidR="00B74D31" w:rsidRPr="00EB3D94">
        <w:rPr>
          <w:rFonts w:cs="Arial"/>
          <w:b/>
          <w:szCs w:val="22"/>
          <w:lang w:val="es-ES"/>
        </w:rPr>
        <w:t>cláusula 9.</w:t>
      </w:r>
      <w:r w:rsidR="003732CA" w:rsidRPr="00EB3D94">
        <w:rPr>
          <w:rFonts w:cs="Arial"/>
          <w:b/>
          <w:szCs w:val="22"/>
          <w:lang w:val="es-ES"/>
        </w:rPr>
        <w:t>9</w:t>
      </w:r>
      <w:r w:rsidR="00E869B2" w:rsidRPr="00EB3D94">
        <w:rPr>
          <w:rFonts w:cs="Arial"/>
          <w:b/>
          <w:szCs w:val="22"/>
          <w:lang w:val="es-ES"/>
        </w:rPr>
        <w:t xml:space="preserve"> </w:t>
      </w:r>
      <w:r w:rsidR="00E869B2" w:rsidRPr="00EB3D94">
        <w:rPr>
          <w:rFonts w:cs="Arial"/>
          <w:szCs w:val="22"/>
          <w:lang w:val="es-ES"/>
        </w:rPr>
        <w:t xml:space="preserve">de </w:t>
      </w:r>
      <w:r w:rsidR="00384EF7" w:rsidRPr="00EB3D94">
        <w:rPr>
          <w:rFonts w:cs="Arial"/>
          <w:szCs w:val="22"/>
          <w:lang w:val="es-ES"/>
        </w:rPr>
        <w:t>este pliego</w:t>
      </w:r>
      <w:r w:rsidR="00D35366" w:rsidRPr="00EB3D94">
        <w:rPr>
          <w:rFonts w:cs="Arial"/>
          <w:szCs w:val="22"/>
          <w:lang w:val="es-ES"/>
        </w:rPr>
        <w:t xml:space="preserve"> en el plazo máximo que se señala en el anuncio de licitación, </w:t>
      </w:r>
      <w:r w:rsidR="00D35366" w:rsidRPr="00EB3D94">
        <w:rPr>
          <w:rFonts w:cs="Arial"/>
          <w:snapToGrid w:val="0"/>
          <w:lang w:val="es-ES"/>
        </w:rPr>
        <w:t xml:space="preserve">mediante </w:t>
      </w:r>
      <w:r w:rsidR="00D35366" w:rsidRPr="00EB3D94">
        <w:rPr>
          <w:rFonts w:ascii="Helvetica*" w:hAnsi="Helvetica*" w:cs="Arial"/>
          <w:bCs/>
          <w:iCs/>
          <w:lang w:val="es-ES"/>
        </w:rPr>
        <w:t xml:space="preserve">la aplicación de </w:t>
      </w:r>
      <w:r w:rsidR="00D35366" w:rsidRPr="00EB3D94">
        <w:rPr>
          <w:rFonts w:ascii="Helvetica*" w:hAnsi="Helvetica*" w:cs="Arial"/>
          <w:b/>
          <w:bCs/>
          <w:iCs/>
          <w:u w:val="single"/>
          <w:lang w:val="es-ES"/>
        </w:rPr>
        <w:t>“Sobre Digital”</w:t>
      </w:r>
      <w:r w:rsidR="00D35366" w:rsidRPr="00EB3D94">
        <w:rPr>
          <w:rFonts w:ascii="Helvetica*" w:hAnsi="Helvetica*" w:cs="Arial"/>
          <w:bCs/>
          <w:iCs/>
          <w:lang w:val="es-ES"/>
        </w:rPr>
        <w:t xml:space="preserve"> accesible al espacio virtual de esta licitación, </w:t>
      </w:r>
      <w:r w:rsidR="00384EF7" w:rsidRPr="00EB3D94">
        <w:rPr>
          <w:rFonts w:ascii="Helvetica*" w:hAnsi="Helvetica*" w:cs="Arial"/>
          <w:bCs/>
          <w:iCs/>
          <w:lang w:val="es-ES"/>
        </w:rPr>
        <w:t>en</w:t>
      </w:r>
      <w:r w:rsidR="00D35366" w:rsidRPr="00EB3D94">
        <w:rPr>
          <w:rFonts w:ascii="Helvetica*" w:hAnsi="Helvetica*" w:cs="Arial"/>
          <w:bCs/>
          <w:iCs/>
          <w:lang w:val="es-ES"/>
        </w:rPr>
        <w:t xml:space="preserve"> la dirección web siguiente</w:t>
      </w:r>
      <w:r w:rsidR="00D35366" w:rsidRPr="00EB3D94">
        <w:rPr>
          <w:rFonts w:cs="Arial"/>
          <w:snapToGrid w:val="0"/>
          <w:lang w:val="es-ES"/>
        </w:rPr>
        <w:t>:</w:t>
      </w:r>
      <w:r w:rsidR="00D35366" w:rsidRPr="00EB3D94">
        <w:rPr>
          <w:rFonts w:cs="Arial"/>
          <w:bCs/>
          <w:lang w:val="es-ES"/>
        </w:rPr>
        <w:t xml:space="preserve"> </w:t>
      </w:r>
      <w:hyperlink r:id="rId8" w:history="1">
        <w:r w:rsidR="00D35366" w:rsidRPr="00EB3D94">
          <w:rPr>
            <w:rStyle w:val="Enlla"/>
            <w:rFonts w:cs="Arial"/>
            <w:bCs/>
            <w:color w:val="auto"/>
            <w:lang w:val="es-ES"/>
          </w:rPr>
          <w:t>https://</w:t>
        </w:r>
        <w:r w:rsidR="00D35366" w:rsidRPr="00EB3D94">
          <w:rPr>
            <w:rStyle w:val="Enlla"/>
            <w:rFonts w:cs="Arial"/>
            <w:color w:val="auto"/>
            <w:lang w:val="es-ES"/>
          </w:rPr>
          <w:t>contractaciopublica</w:t>
        </w:r>
        <w:r w:rsidR="00D35366" w:rsidRPr="00EB3D94">
          <w:rPr>
            <w:rStyle w:val="Enlla"/>
            <w:rFonts w:cs="Arial"/>
            <w:bCs/>
            <w:color w:val="auto"/>
            <w:lang w:val="es-ES"/>
          </w:rPr>
          <w:t>.gencat.cat/perfil/eco</w:t>
        </w:r>
      </w:hyperlink>
    </w:p>
    <w:p w14:paraId="1AEBEAC8" w14:textId="77777777" w:rsidR="00D35366" w:rsidRPr="00EB3D94" w:rsidRDefault="00D35366" w:rsidP="00BC4866">
      <w:pPr>
        <w:autoSpaceDE w:val="0"/>
        <w:autoSpaceDN w:val="0"/>
        <w:adjustRightInd w:val="0"/>
        <w:jc w:val="both"/>
        <w:rPr>
          <w:rFonts w:cs="Arial"/>
          <w:szCs w:val="22"/>
          <w:lang w:val="es-ES"/>
        </w:rPr>
      </w:pPr>
      <w:r w:rsidRPr="00EB3D94">
        <w:rPr>
          <w:rFonts w:cs="Arial"/>
          <w:szCs w:val="22"/>
          <w:lang w:val="es-ES"/>
        </w:rPr>
        <w:t xml:space="preserve"> </w:t>
      </w:r>
    </w:p>
    <w:p w14:paraId="679AA92F" w14:textId="7B8291A6" w:rsidR="00927198" w:rsidRPr="00EB3D94" w:rsidRDefault="00927198" w:rsidP="00BC4866">
      <w:pPr>
        <w:pStyle w:val="Default"/>
        <w:jc w:val="both"/>
        <w:rPr>
          <w:rFonts w:cs="Times New Roman"/>
          <w:bCs/>
          <w:color w:val="auto"/>
          <w:sz w:val="22"/>
          <w:szCs w:val="22"/>
          <w:lang w:val="es-ES" w:eastAsia="es-ES"/>
        </w:rPr>
      </w:pPr>
      <w:r w:rsidRPr="00EB3D94">
        <w:rPr>
          <w:rFonts w:cs="Times New Roman"/>
          <w:bCs/>
          <w:color w:val="auto"/>
          <w:sz w:val="22"/>
          <w:szCs w:val="22"/>
          <w:lang w:val="es-ES" w:eastAsia="es-ES"/>
        </w:rPr>
        <w:t xml:space="preserve">En la propuesta se hará constar expresamente la aceptación de las condiciones establecidas en </w:t>
      </w:r>
      <w:r w:rsidR="00384EF7" w:rsidRPr="00EB3D94">
        <w:rPr>
          <w:rFonts w:cs="Times New Roman"/>
          <w:bCs/>
          <w:color w:val="auto"/>
          <w:sz w:val="22"/>
          <w:szCs w:val="22"/>
          <w:lang w:val="es-ES" w:eastAsia="es-ES"/>
        </w:rPr>
        <w:t xml:space="preserve">el pliego </w:t>
      </w:r>
      <w:r w:rsidRPr="00EB3D94">
        <w:rPr>
          <w:rFonts w:cs="Times New Roman"/>
          <w:bCs/>
          <w:color w:val="auto"/>
          <w:sz w:val="22"/>
          <w:szCs w:val="22"/>
          <w:lang w:val="es-ES" w:eastAsia="es-ES"/>
        </w:rPr>
        <w:t xml:space="preserve">de cláusulas administrativas particulares y se pronunciará de manera expresa para cada una de las circunstancias solicitadas en </w:t>
      </w:r>
      <w:r w:rsidR="00384EF7" w:rsidRPr="00EB3D94">
        <w:rPr>
          <w:rFonts w:cs="Times New Roman"/>
          <w:bCs/>
          <w:color w:val="auto"/>
          <w:sz w:val="22"/>
          <w:szCs w:val="22"/>
          <w:lang w:val="es-ES" w:eastAsia="es-ES"/>
        </w:rPr>
        <w:t>este pliego</w:t>
      </w:r>
      <w:r w:rsidRPr="00EB3D94">
        <w:rPr>
          <w:rFonts w:cs="Times New Roman"/>
          <w:bCs/>
          <w:color w:val="auto"/>
          <w:sz w:val="22"/>
          <w:szCs w:val="22"/>
          <w:lang w:val="es-ES" w:eastAsia="es-ES"/>
        </w:rPr>
        <w:t xml:space="preserve"> y de acuerdo con los anexos de lo mismo.</w:t>
      </w:r>
    </w:p>
    <w:p w14:paraId="3359688F" w14:textId="77777777" w:rsidR="009A4D9B" w:rsidRPr="00EB3D94" w:rsidRDefault="009A4D9B" w:rsidP="00BC4866">
      <w:pPr>
        <w:autoSpaceDE w:val="0"/>
        <w:autoSpaceDN w:val="0"/>
        <w:adjustRightInd w:val="0"/>
        <w:jc w:val="both"/>
        <w:rPr>
          <w:rFonts w:cs="Arial"/>
          <w:szCs w:val="22"/>
          <w:lang w:val="es-ES"/>
        </w:rPr>
      </w:pPr>
    </w:p>
    <w:p w14:paraId="080D12CA" w14:textId="76FCE5E2" w:rsidR="00603D49" w:rsidRPr="00EB3D94" w:rsidRDefault="00603D49" w:rsidP="00BC4866">
      <w:pPr>
        <w:jc w:val="both"/>
        <w:rPr>
          <w:rFonts w:ascii="Helvetica*" w:hAnsi="Helvetica*" w:cs="Arial"/>
          <w:bCs/>
          <w:iCs/>
          <w:lang w:val="es-ES"/>
        </w:rPr>
      </w:pPr>
      <w:r w:rsidRPr="00EB3D94">
        <w:rPr>
          <w:rFonts w:ascii="Helvetica*" w:hAnsi="Helvetica*" w:cs="Arial"/>
          <w:bCs/>
          <w:iCs/>
          <w:lang w:val="es-ES"/>
        </w:rPr>
        <w:t xml:space="preserve">Desde esta dirección, se </w:t>
      </w:r>
      <w:r w:rsidR="00982820" w:rsidRPr="00EB3D94">
        <w:rPr>
          <w:rFonts w:ascii="Helvetica*" w:hAnsi="Helvetica*" w:cs="Arial"/>
          <w:bCs/>
          <w:iCs/>
          <w:lang w:val="es-ES"/>
        </w:rPr>
        <w:t xml:space="preserve">debe </w:t>
      </w:r>
      <w:r w:rsidRPr="00EB3D94">
        <w:rPr>
          <w:rFonts w:ascii="Helvetica*" w:hAnsi="Helvetica*" w:cs="Arial"/>
          <w:bCs/>
          <w:iCs/>
          <w:lang w:val="es-ES"/>
        </w:rPr>
        <w:t xml:space="preserve">acceder al anuncio concreto de esta licitación y entrar a “Presentar oferta vía </w:t>
      </w:r>
      <w:r w:rsidR="00384EF7" w:rsidRPr="00EB3D94">
        <w:rPr>
          <w:rFonts w:ascii="Helvetica*" w:hAnsi="Helvetica*" w:cs="Arial"/>
          <w:bCs/>
          <w:iCs/>
          <w:lang w:val="es-ES"/>
        </w:rPr>
        <w:t xml:space="preserve">Sobre </w:t>
      </w:r>
      <w:r w:rsidRPr="00EB3D94">
        <w:rPr>
          <w:rFonts w:ascii="Helvetica*" w:hAnsi="Helvetica*" w:cs="Arial"/>
          <w:bCs/>
          <w:iCs/>
          <w:lang w:val="es-ES"/>
        </w:rPr>
        <w:t xml:space="preserve">Digital” dentro del espacio “e-licita”, el cual accede al espacio web que permite a las empresas licitadoras la preparación y presentación de ofertas, mediante la herramienta web de </w:t>
      </w:r>
      <w:r w:rsidR="00384EF7" w:rsidRPr="00EB3D94">
        <w:rPr>
          <w:rFonts w:ascii="Helvetica*" w:hAnsi="Helvetica*" w:cs="Arial"/>
          <w:bCs/>
          <w:iCs/>
          <w:lang w:val="es-ES"/>
        </w:rPr>
        <w:t xml:space="preserve">Sobre </w:t>
      </w:r>
      <w:r w:rsidRPr="00EB3D94">
        <w:rPr>
          <w:rFonts w:ascii="Helvetica*" w:hAnsi="Helvetica*" w:cs="Arial"/>
          <w:bCs/>
          <w:iCs/>
          <w:lang w:val="es-ES"/>
        </w:rPr>
        <w:t>Digital, siguiendo los pasos siguientes:</w:t>
      </w:r>
    </w:p>
    <w:p w14:paraId="789684E1" w14:textId="77777777" w:rsidR="00603D49" w:rsidRPr="00EB3D94" w:rsidRDefault="00603D49" w:rsidP="00BC4866">
      <w:pPr>
        <w:jc w:val="both"/>
        <w:rPr>
          <w:rFonts w:ascii="Helvetica*" w:hAnsi="Helvetica*" w:cs="Arial"/>
          <w:bCs/>
          <w:iCs/>
          <w:lang w:val="es-ES"/>
        </w:rPr>
      </w:pPr>
    </w:p>
    <w:p w14:paraId="4174A01A" w14:textId="0F2C4123" w:rsidR="00603D49" w:rsidRPr="00EB3D94" w:rsidRDefault="00603D49" w:rsidP="00BC4866">
      <w:pPr>
        <w:jc w:val="both"/>
        <w:rPr>
          <w:rFonts w:ascii="Helvetica*" w:eastAsia="Calibri" w:hAnsi="Helvetica*"/>
          <w:bCs/>
          <w:iCs/>
          <w:lang w:val="es-ES"/>
        </w:rPr>
      </w:pPr>
      <w:r w:rsidRPr="00EB3D94">
        <w:rPr>
          <w:rFonts w:ascii="Helvetica*" w:eastAsia="Calibri" w:hAnsi="Helvetica*"/>
          <w:bCs/>
          <w:iCs/>
          <w:lang w:val="es-ES"/>
        </w:rPr>
        <w:t xml:space="preserve">En primer lugar, las empresas licitadoras </w:t>
      </w:r>
      <w:r w:rsidR="00A25938" w:rsidRPr="00EB3D94">
        <w:rPr>
          <w:rFonts w:ascii="Helvetica*" w:eastAsia="Calibri" w:hAnsi="Helvetica*"/>
          <w:bCs/>
          <w:iCs/>
          <w:lang w:val="es-ES"/>
        </w:rPr>
        <w:t xml:space="preserve">deben </w:t>
      </w:r>
      <w:r w:rsidRPr="00EB3D94">
        <w:rPr>
          <w:rFonts w:ascii="Helvetica*" w:eastAsia="Calibri" w:hAnsi="Helvetica*"/>
          <w:bCs/>
          <w:iCs/>
          <w:lang w:val="es-ES"/>
        </w:rPr>
        <w:t>rellenar un formulario para darse de alta en la herramienta web del Sobre Digital y, a continuación, recibirán un mensaje de activación al/</w:t>
      </w:r>
      <w:proofErr w:type="gramStart"/>
      <w:r w:rsidR="00384EF7" w:rsidRPr="00EB3D94">
        <w:rPr>
          <w:rFonts w:ascii="Helvetica*" w:eastAsia="Calibri" w:hAnsi="Helvetica*"/>
          <w:bCs/>
          <w:iCs/>
          <w:lang w:val="es-ES"/>
        </w:rPr>
        <w:t>a lo</w:t>
      </w:r>
      <w:r w:rsidRPr="00EB3D94">
        <w:rPr>
          <w:rFonts w:ascii="Helvetica*" w:eastAsia="Calibri" w:hAnsi="Helvetica*"/>
          <w:bCs/>
          <w:iCs/>
          <w:lang w:val="es-ES"/>
        </w:rPr>
        <w:t>s corre</w:t>
      </w:r>
      <w:r w:rsidR="00384EF7" w:rsidRPr="00EB3D94">
        <w:rPr>
          <w:rFonts w:ascii="Helvetica*" w:eastAsia="Calibri" w:hAnsi="Helvetica*"/>
          <w:bCs/>
          <w:iCs/>
          <w:lang w:val="es-ES"/>
        </w:rPr>
        <w:t>o</w:t>
      </w:r>
      <w:proofErr w:type="gramEnd"/>
      <w:r w:rsidRPr="00EB3D94">
        <w:rPr>
          <w:rFonts w:ascii="Helvetica*" w:eastAsia="Calibri" w:hAnsi="Helvetica*"/>
          <w:bCs/>
          <w:iCs/>
          <w:lang w:val="es-ES"/>
        </w:rPr>
        <w:t>/s electr</w:t>
      </w:r>
      <w:r w:rsidR="00384EF7" w:rsidRPr="00EB3D94">
        <w:rPr>
          <w:rFonts w:ascii="Helvetica*" w:eastAsia="Calibri" w:hAnsi="Helvetica*"/>
          <w:bCs/>
          <w:iCs/>
          <w:lang w:val="es-ES"/>
        </w:rPr>
        <w:t>ó</w:t>
      </w:r>
      <w:r w:rsidRPr="00EB3D94">
        <w:rPr>
          <w:rFonts w:ascii="Helvetica*" w:eastAsia="Calibri" w:hAnsi="Helvetica*"/>
          <w:bCs/>
          <w:iCs/>
          <w:lang w:val="es-ES"/>
        </w:rPr>
        <w:t>nic</w:t>
      </w:r>
      <w:r w:rsidR="00384EF7" w:rsidRPr="00EB3D94">
        <w:rPr>
          <w:rFonts w:ascii="Helvetica*" w:eastAsia="Calibri" w:hAnsi="Helvetica*"/>
          <w:bCs/>
          <w:iCs/>
          <w:lang w:val="es-ES"/>
        </w:rPr>
        <w:t>o</w:t>
      </w:r>
      <w:r w:rsidRPr="00EB3D94">
        <w:rPr>
          <w:rFonts w:ascii="Helvetica*" w:eastAsia="Calibri" w:hAnsi="Helvetica*"/>
          <w:bCs/>
          <w:iCs/>
          <w:lang w:val="es-ES"/>
        </w:rPr>
        <w:t>/s indica</w:t>
      </w:r>
      <w:r w:rsidR="00384EF7" w:rsidRPr="00EB3D94">
        <w:rPr>
          <w:rFonts w:ascii="Helvetica*" w:eastAsia="Calibri" w:hAnsi="Helvetica*"/>
          <w:bCs/>
          <w:iCs/>
          <w:lang w:val="es-ES"/>
        </w:rPr>
        <w:t>do</w:t>
      </w:r>
      <w:r w:rsidRPr="00EB3D94">
        <w:rPr>
          <w:rFonts w:ascii="Helvetica*" w:eastAsia="Calibri" w:hAnsi="Helvetica*"/>
          <w:bCs/>
          <w:iCs/>
          <w:lang w:val="es-ES"/>
        </w:rPr>
        <w:t>/s en este formulario de alta.</w:t>
      </w:r>
    </w:p>
    <w:p w14:paraId="322EE2BB" w14:textId="77777777" w:rsidR="00603D49" w:rsidRPr="00EB3D94" w:rsidRDefault="00603D49" w:rsidP="00BC4866">
      <w:pPr>
        <w:pStyle w:val="Textindependent3"/>
        <w:spacing w:after="0"/>
        <w:rPr>
          <w:b/>
          <w:i/>
          <w:szCs w:val="22"/>
          <w:highlight w:val="green"/>
          <w:lang w:val="es-ES"/>
        </w:rPr>
      </w:pPr>
    </w:p>
    <w:p w14:paraId="4BBCFF3E" w14:textId="43A7ADCF" w:rsidR="00603D49" w:rsidRPr="00EB3D94" w:rsidRDefault="00603D49" w:rsidP="00BC4866">
      <w:pPr>
        <w:autoSpaceDE w:val="0"/>
        <w:autoSpaceDN w:val="0"/>
        <w:adjustRightInd w:val="0"/>
        <w:jc w:val="both"/>
        <w:rPr>
          <w:rFonts w:cs="Arial"/>
          <w:lang w:val="es-ES"/>
        </w:rPr>
      </w:pPr>
      <w:r w:rsidRPr="00EB3D94">
        <w:rPr>
          <w:rFonts w:cs="Arial"/>
          <w:lang w:val="es-ES"/>
        </w:rPr>
        <w:t>Las direcciones electrónicas que las empresas licitadoras indiquen en el formulario de inscripción de la herramienta de</w:t>
      </w:r>
      <w:r w:rsidR="00384EF7" w:rsidRPr="00EB3D94">
        <w:rPr>
          <w:rFonts w:cs="Arial"/>
          <w:lang w:val="es-ES"/>
        </w:rPr>
        <w:t xml:space="preserve"> Sobre</w:t>
      </w:r>
      <w:r w:rsidRPr="00EB3D94">
        <w:rPr>
          <w:rFonts w:cs="Arial"/>
          <w:lang w:val="es-ES"/>
        </w:rPr>
        <w:t xml:space="preserve"> Digital, que serán </w:t>
      </w:r>
      <w:r w:rsidR="00384EF7" w:rsidRPr="00EB3D94">
        <w:rPr>
          <w:rFonts w:cs="Arial"/>
          <w:lang w:val="es-ES"/>
        </w:rPr>
        <w:t>las utilizadas</w:t>
      </w:r>
      <w:r w:rsidRPr="00EB3D94">
        <w:rPr>
          <w:rFonts w:cs="Arial"/>
          <w:lang w:val="es-ES"/>
        </w:rPr>
        <w:t xml:space="preserve"> para enviar correos electrónicos relacionados con el uso de la herramienta de </w:t>
      </w:r>
      <w:r w:rsidR="00384EF7" w:rsidRPr="00EB3D94">
        <w:rPr>
          <w:rFonts w:cs="Arial"/>
          <w:lang w:val="es-ES"/>
        </w:rPr>
        <w:t xml:space="preserve">Sobre </w:t>
      </w:r>
      <w:r w:rsidRPr="00EB3D94">
        <w:rPr>
          <w:rFonts w:cs="Arial"/>
          <w:lang w:val="es-ES"/>
        </w:rPr>
        <w:t xml:space="preserve">Digital, </w:t>
      </w:r>
      <w:r w:rsidR="00A25938" w:rsidRPr="00EB3D94">
        <w:rPr>
          <w:rFonts w:cs="Arial"/>
          <w:lang w:val="es-ES"/>
        </w:rPr>
        <w:t xml:space="preserve">deben </w:t>
      </w:r>
      <w:r w:rsidRPr="00EB3D94">
        <w:rPr>
          <w:rFonts w:cs="Arial"/>
          <w:lang w:val="es-ES"/>
        </w:rPr>
        <w:t xml:space="preserve">ser las mismas que las que designen en su DEUC o en la declaración responsable para recibir los avisos de notificaciones y comunicaciones mediante </w:t>
      </w:r>
      <w:proofErr w:type="spellStart"/>
      <w:r w:rsidRPr="00EB3D94">
        <w:rPr>
          <w:rFonts w:cs="Arial"/>
          <w:lang w:val="es-ES"/>
        </w:rPr>
        <w:t>l'e</w:t>
      </w:r>
      <w:proofErr w:type="spellEnd"/>
      <w:r w:rsidRPr="00EB3D94">
        <w:rPr>
          <w:rFonts w:cs="Arial"/>
          <w:lang w:val="es-ES"/>
        </w:rPr>
        <w:t xml:space="preserve">-NOTUM. </w:t>
      </w:r>
    </w:p>
    <w:p w14:paraId="2C98C92A" w14:textId="77777777" w:rsidR="00603D49" w:rsidRPr="00EB3D94" w:rsidRDefault="00603D49" w:rsidP="00BC4866">
      <w:pPr>
        <w:autoSpaceDE w:val="0"/>
        <w:autoSpaceDN w:val="0"/>
        <w:adjustRightInd w:val="0"/>
        <w:jc w:val="both"/>
        <w:rPr>
          <w:rFonts w:cs="Arial"/>
          <w:lang w:val="es-ES"/>
        </w:rPr>
      </w:pPr>
    </w:p>
    <w:p w14:paraId="7C6A095A" w14:textId="57C88BCA" w:rsidR="00603D49" w:rsidRPr="00EB3D94" w:rsidRDefault="00603D49" w:rsidP="00BC4866">
      <w:pPr>
        <w:autoSpaceDE w:val="0"/>
        <w:autoSpaceDN w:val="0"/>
        <w:adjustRightInd w:val="0"/>
        <w:jc w:val="both"/>
        <w:rPr>
          <w:rFonts w:cs="Arial"/>
          <w:b/>
          <w:lang w:val="es-ES"/>
        </w:rPr>
      </w:pPr>
      <w:r w:rsidRPr="00EB3D94">
        <w:rPr>
          <w:rFonts w:cs="Arial"/>
          <w:b/>
          <w:lang w:val="es-ES"/>
        </w:rPr>
        <w:t xml:space="preserve">Las empresas licitadoras </w:t>
      </w:r>
      <w:r w:rsidR="00A25938" w:rsidRPr="00EB3D94">
        <w:rPr>
          <w:rFonts w:cs="Arial"/>
          <w:b/>
          <w:lang w:val="es-ES"/>
        </w:rPr>
        <w:t xml:space="preserve">deben </w:t>
      </w:r>
      <w:r w:rsidRPr="00EB3D94">
        <w:rPr>
          <w:rFonts w:cs="Arial"/>
          <w:b/>
          <w:lang w:val="es-ES"/>
        </w:rPr>
        <w:t xml:space="preserve">conservar el correo electrónico de activación de la oferta, dado que el enlace que se contiene en el mensaje de activación es el acceso exclusivo de que dispondrán para presentar sus ofertas a través de la herramienta de </w:t>
      </w:r>
      <w:r w:rsidR="00384EF7" w:rsidRPr="00EB3D94">
        <w:rPr>
          <w:rFonts w:cs="Arial"/>
          <w:b/>
          <w:lang w:val="es-ES"/>
        </w:rPr>
        <w:t xml:space="preserve">Sobre </w:t>
      </w:r>
      <w:r w:rsidRPr="00EB3D94">
        <w:rPr>
          <w:rFonts w:cs="Arial"/>
          <w:b/>
          <w:lang w:val="es-ES"/>
        </w:rPr>
        <w:t>Digital.</w:t>
      </w:r>
    </w:p>
    <w:p w14:paraId="0AF5AB46" w14:textId="77777777" w:rsidR="00603D49" w:rsidRPr="00EB3D94" w:rsidRDefault="00603D49" w:rsidP="00BC4866">
      <w:pPr>
        <w:autoSpaceDE w:val="0"/>
        <w:autoSpaceDN w:val="0"/>
        <w:adjustRightInd w:val="0"/>
        <w:jc w:val="both"/>
        <w:rPr>
          <w:rFonts w:cs="Arial"/>
          <w:lang w:val="es-ES"/>
        </w:rPr>
      </w:pPr>
    </w:p>
    <w:p w14:paraId="0DB84D5C" w14:textId="61285B9E" w:rsidR="00603D49" w:rsidRPr="00EB3D94" w:rsidRDefault="00603D49" w:rsidP="00BC4866">
      <w:pPr>
        <w:autoSpaceDE w:val="0"/>
        <w:autoSpaceDN w:val="0"/>
        <w:adjustRightInd w:val="0"/>
        <w:jc w:val="both"/>
        <w:rPr>
          <w:rFonts w:cs="Arial"/>
          <w:lang w:val="es-ES"/>
        </w:rPr>
      </w:pPr>
      <w:r w:rsidRPr="00EB3D94">
        <w:rPr>
          <w:rFonts w:cs="Arial"/>
          <w:lang w:val="es-ES"/>
        </w:rPr>
        <w:t xml:space="preserve">Accediendo al espacio web de presentación de ofertas a través de este enlace enviado, las empresas licitadoras </w:t>
      </w:r>
      <w:r w:rsidR="00A25938" w:rsidRPr="00EB3D94">
        <w:rPr>
          <w:rFonts w:cs="Arial"/>
          <w:lang w:val="es-ES"/>
        </w:rPr>
        <w:t xml:space="preserve">deberán </w:t>
      </w:r>
      <w:r w:rsidRPr="00EB3D94">
        <w:rPr>
          <w:rFonts w:cs="Arial"/>
          <w:lang w:val="es-ES"/>
        </w:rPr>
        <w:t xml:space="preserve">preparar toda la documentación requerida y adjuntarla en formato electrónico en los sobres correspondientes. Las empresas licitadoras pueden preparar y enviar esta documentación de forma escalonada, antes de hacer la presentación de la oferta. </w:t>
      </w:r>
    </w:p>
    <w:p w14:paraId="727C8D59" w14:textId="77777777" w:rsidR="00603D49" w:rsidRPr="00EB3D94" w:rsidRDefault="00603D49" w:rsidP="00BC4866">
      <w:pPr>
        <w:autoSpaceDE w:val="0"/>
        <w:autoSpaceDN w:val="0"/>
        <w:adjustRightInd w:val="0"/>
        <w:jc w:val="both"/>
        <w:rPr>
          <w:rFonts w:cs="Arial"/>
          <w:lang w:val="es-ES"/>
        </w:rPr>
      </w:pPr>
    </w:p>
    <w:p w14:paraId="2F4781C0" w14:textId="3E137D05" w:rsidR="00603D49" w:rsidRPr="00EB3D94" w:rsidRDefault="00603D49" w:rsidP="00BC4866">
      <w:pPr>
        <w:autoSpaceDE w:val="0"/>
        <w:autoSpaceDN w:val="0"/>
        <w:adjustRightInd w:val="0"/>
        <w:jc w:val="both"/>
        <w:rPr>
          <w:rFonts w:cs="Arial"/>
          <w:b/>
          <w:lang w:val="es-ES"/>
        </w:rPr>
      </w:pPr>
      <w:r w:rsidRPr="00EB3D94">
        <w:rPr>
          <w:rFonts w:cs="Arial"/>
          <w:lang w:val="es-ES"/>
        </w:rPr>
        <w:t xml:space="preserve">Para poder iniciar el envío de la documentación, la herramienta requerirá a las empresas licitadoras que introduzcan una palabra clave para cada sobre con documentación cifrada que forme parte de la licitación </w:t>
      </w:r>
      <w:r w:rsidR="00864615" w:rsidRPr="00EB3D94">
        <w:rPr>
          <w:rFonts w:cs="Arial"/>
          <w:lang w:val="es-ES"/>
        </w:rPr>
        <w:t xml:space="preserve">(para el </w:t>
      </w:r>
      <w:r w:rsidRPr="00EB3D94">
        <w:rPr>
          <w:rFonts w:cs="Arial"/>
          <w:lang w:val="es-ES"/>
        </w:rPr>
        <w:t xml:space="preserve">sobre A no se requiere palabra clave, dado que la documentación no está cifrada). Con esta palabra clave se cifrará, en el momento del envío de las ofertas, la documentación. Asimismo, </w:t>
      </w:r>
      <w:r w:rsidRPr="00EB3D94">
        <w:rPr>
          <w:rFonts w:cs="Arial"/>
          <w:u w:val="single"/>
          <w:lang w:val="es-ES"/>
        </w:rPr>
        <w:t xml:space="preserve">el descifrado de los documentos de las ofertas se realiza mediante la misma palabra clave, la cual </w:t>
      </w:r>
      <w:r w:rsidR="00A25938" w:rsidRPr="00EB3D94">
        <w:rPr>
          <w:rFonts w:cs="Arial"/>
          <w:u w:val="single"/>
          <w:lang w:val="es-ES"/>
        </w:rPr>
        <w:t xml:space="preserve">deben </w:t>
      </w:r>
      <w:r w:rsidRPr="00EB3D94">
        <w:rPr>
          <w:rFonts w:cs="Arial"/>
          <w:u w:val="single"/>
          <w:lang w:val="es-ES"/>
        </w:rPr>
        <w:t>custodiar las empresas licitadoras.</w:t>
      </w:r>
      <w:r w:rsidRPr="00EB3D94">
        <w:rPr>
          <w:rFonts w:cs="Arial"/>
          <w:lang w:val="es-ES"/>
        </w:rPr>
        <w:t xml:space="preserve"> </w:t>
      </w:r>
      <w:r w:rsidRPr="00EB3D94">
        <w:rPr>
          <w:rFonts w:cs="Arial"/>
          <w:b/>
          <w:lang w:val="es-ES"/>
        </w:rPr>
        <w:t xml:space="preserve">Hace falta </w:t>
      </w:r>
      <w:r w:rsidRPr="00EB3D94">
        <w:rPr>
          <w:rFonts w:cs="Arial"/>
          <w:b/>
          <w:lang w:val="es-ES"/>
        </w:rPr>
        <w:lastRenderedPageBreak/>
        <w:t xml:space="preserve">tener en cuenta la importancia de custodiar correctamente esta o </w:t>
      </w:r>
      <w:r w:rsidR="00C578CF" w:rsidRPr="00EB3D94">
        <w:rPr>
          <w:rFonts w:cs="Arial"/>
          <w:b/>
          <w:lang w:val="es-ES"/>
        </w:rPr>
        <w:t>estas claves</w:t>
      </w:r>
      <w:r w:rsidRPr="00EB3D94">
        <w:rPr>
          <w:rFonts w:cs="Arial"/>
          <w:b/>
          <w:lang w:val="es-ES"/>
        </w:rPr>
        <w:t xml:space="preserve"> (pueden ser la </w:t>
      </w:r>
      <w:r w:rsidR="00C578CF" w:rsidRPr="00EB3D94">
        <w:rPr>
          <w:rFonts w:cs="Arial"/>
          <w:b/>
          <w:lang w:val="es-ES"/>
        </w:rPr>
        <w:t>misma para</w:t>
      </w:r>
      <w:r w:rsidRPr="00EB3D94">
        <w:rPr>
          <w:rFonts w:cs="Arial"/>
          <w:b/>
          <w:lang w:val="es-ES"/>
        </w:rPr>
        <w:t xml:space="preserve"> todos los sobres o diferente</w:t>
      </w:r>
      <w:r w:rsidR="00C578CF" w:rsidRPr="00EB3D94">
        <w:rPr>
          <w:rFonts w:cs="Arial"/>
          <w:b/>
          <w:lang w:val="es-ES"/>
        </w:rPr>
        <w:t xml:space="preserve">s para cada </w:t>
      </w:r>
      <w:r w:rsidRPr="00EB3D94">
        <w:rPr>
          <w:rFonts w:cs="Arial"/>
          <w:b/>
          <w:lang w:val="es-ES"/>
        </w:rPr>
        <w:t>uno de ellos), ya que sólo las empresas licitadoras la/s tiene</w:t>
      </w:r>
      <w:r w:rsidR="00C578CF" w:rsidRPr="00EB3D94">
        <w:rPr>
          <w:rFonts w:cs="Arial"/>
          <w:b/>
          <w:lang w:val="es-ES"/>
        </w:rPr>
        <w:t>/</w:t>
      </w:r>
      <w:r w:rsidRPr="00EB3D94">
        <w:rPr>
          <w:rFonts w:cs="Arial"/>
          <w:b/>
          <w:lang w:val="es-ES"/>
        </w:rPr>
        <w:t xml:space="preserve">n (la herramienta de </w:t>
      </w:r>
      <w:r w:rsidR="00384EF7" w:rsidRPr="00EB3D94">
        <w:rPr>
          <w:rFonts w:cs="Arial"/>
          <w:b/>
          <w:lang w:val="es-ES"/>
        </w:rPr>
        <w:t>Sobre</w:t>
      </w:r>
      <w:r w:rsidR="00C578CF" w:rsidRPr="00EB3D94">
        <w:rPr>
          <w:rFonts w:cs="Arial"/>
          <w:b/>
          <w:lang w:val="es-ES"/>
        </w:rPr>
        <w:t xml:space="preserve"> </w:t>
      </w:r>
      <w:r w:rsidRPr="00EB3D94">
        <w:rPr>
          <w:rFonts w:cs="Arial"/>
          <w:b/>
          <w:lang w:val="es-ES"/>
        </w:rPr>
        <w:t>Digital no guarda ni recuerda las contraseñas introducidas) y son imprescindibles para el descifrado de las ofertas y, por lo tanto</w:t>
      </w:r>
      <w:r w:rsidR="00C578CF" w:rsidRPr="00EB3D94">
        <w:rPr>
          <w:rFonts w:cs="Arial"/>
          <w:b/>
          <w:lang w:val="es-ES"/>
        </w:rPr>
        <w:t>, para</w:t>
      </w:r>
      <w:r w:rsidRPr="00EB3D94">
        <w:rPr>
          <w:rFonts w:cs="Arial"/>
          <w:b/>
          <w:lang w:val="es-ES"/>
        </w:rPr>
        <w:t xml:space="preserve"> el acceso a su contenido.</w:t>
      </w:r>
    </w:p>
    <w:p w14:paraId="6549644F" w14:textId="77777777" w:rsidR="00603D49" w:rsidRPr="00EB3D94" w:rsidRDefault="00603D49" w:rsidP="00BC4866">
      <w:pPr>
        <w:autoSpaceDE w:val="0"/>
        <w:autoSpaceDN w:val="0"/>
        <w:adjustRightInd w:val="0"/>
        <w:jc w:val="both"/>
        <w:rPr>
          <w:rFonts w:cs="Arial"/>
          <w:lang w:val="es-ES"/>
        </w:rPr>
      </w:pPr>
    </w:p>
    <w:p w14:paraId="4B9A286E" w14:textId="6C918FE4" w:rsidR="00603D49" w:rsidRPr="00EB3D94" w:rsidRDefault="00603D49" w:rsidP="00BC4866">
      <w:pPr>
        <w:autoSpaceDE w:val="0"/>
        <w:autoSpaceDN w:val="0"/>
        <w:adjustRightInd w:val="0"/>
        <w:jc w:val="both"/>
        <w:rPr>
          <w:rFonts w:cs="Arial"/>
          <w:lang w:val="es-ES"/>
        </w:rPr>
      </w:pPr>
      <w:r w:rsidRPr="00EB3D94">
        <w:rPr>
          <w:rFonts w:cs="Arial"/>
          <w:lang w:val="es-ES"/>
        </w:rPr>
        <w:t xml:space="preserve">La Administración pedirá a las empresas licitadoras, mediante el correo electrónico señalado en el formulario de inscripción a la oferta de la herramienta de </w:t>
      </w:r>
      <w:r w:rsidR="00384EF7" w:rsidRPr="00EB3D94">
        <w:rPr>
          <w:rFonts w:cs="Arial"/>
          <w:lang w:val="es-ES"/>
        </w:rPr>
        <w:t xml:space="preserve">Sobre </w:t>
      </w:r>
      <w:r w:rsidRPr="00EB3D94">
        <w:rPr>
          <w:rFonts w:cs="Arial"/>
          <w:lang w:val="es-ES"/>
        </w:rPr>
        <w:t xml:space="preserve">Digital, que accedan a la herramienta web de </w:t>
      </w:r>
      <w:r w:rsidR="00384EF7" w:rsidRPr="00EB3D94">
        <w:rPr>
          <w:rFonts w:cs="Arial"/>
          <w:lang w:val="es-ES"/>
        </w:rPr>
        <w:t xml:space="preserve">Sobre </w:t>
      </w:r>
      <w:r w:rsidRPr="00EB3D94">
        <w:rPr>
          <w:rFonts w:cs="Arial"/>
          <w:lang w:val="es-ES"/>
        </w:rPr>
        <w:t xml:space="preserve">Digital para introducir sus palabras clave en el momento que corresponda. </w:t>
      </w:r>
    </w:p>
    <w:p w14:paraId="740DD5DB" w14:textId="77777777" w:rsidR="00603D49" w:rsidRPr="00EB3D94" w:rsidRDefault="00603D49" w:rsidP="00BC4866">
      <w:pPr>
        <w:autoSpaceDE w:val="0"/>
        <w:autoSpaceDN w:val="0"/>
        <w:adjustRightInd w:val="0"/>
        <w:jc w:val="both"/>
        <w:rPr>
          <w:rFonts w:cs="Arial"/>
          <w:lang w:val="es-ES"/>
        </w:rPr>
      </w:pPr>
    </w:p>
    <w:p w14:paraId="51D220DA" w14:textId="213A32FC" w:rsidR="00603D49" w:rsidRPr="00EB3D94" w:rsidRDefault="00603D49" w:rsidP="00BC4866">
      <w:pPr>
        <w:autoSpaceDE w:val="0"/>
        <w:autoSpaceDN w:val="0"/>
        <w:adjustRightInd w:val="0"/>
        <w:jc w:val="both"/>
        <w:rPr>
          <w:rFonts w:cs="Arial"/>
          <w:lang w:val="es-ES"/>
        </w:rPr>
      </w:pPr>
      <w:r w:rsidRPr="00EB3D94">
        <w:rPr>
          <w:rFonts w:cs="Arial"/>
          <w:lang w:val="es-ES"/>
        </w:rPr>
        <w:t>Cuando las empresas licitadoras introduzcan las palabras clave se iniciará el proceso de descifrado de la documentación, que se encontrará guardada en un espacio virtual</w:t>
      </w:r>
      <w:r w:rsidR="00D41CA6" w:rsidRPr="00EB3D94">
        <w:rPr>
          <w:rFonts w:cs="Arial"/>
          <w:lang w:val="es-ES"/>
        </w:rPr>
        <w:t xml:space="preserve"> </w:t>
      </w:r>
      <w:proofErr w:type="spellStart"/>
      <w:r w:rsidR="00D41CA6" w:rsidRPr="00EB3D94">
        <w:rPr>
          <w:rFonts w:cs="Arial"/>
          <w:lang w:val="es-ES"/>
        </w:rPr>
        <w:t>securi</w:t>
      </w:r>
      <w:r w:rsidR="00EB2DC9" w:rsidRPr="00EB3D94">
        <w:rPr>
          <w:rFonts w:cs="Arial"/>
          <w:lang w:val="es-ES"/>
        </w:rPr>
        <w:t>zado</w:t>
      </w:r>
      <w:proofErr w:type="spellEnd"/>
      <w:r w:rsidR="00EB2DC9" w:rsidRPr="00EB3D94">
        <w:rPr>
          <w:rFonts w:cs="Arial"/>
          <w:lang w:val="es-ES"/>
        </w:rPr>
        <w:t xml:space="preserve"> </w:t>
      </w:r>
      <w:r w:rsidRPr="00EB3D94">
        <w:rPr>
          <w:rFonts w:cs="Arial"/>
          <w:lang w:val="es-ES"/>
        </w:rPr>
        <w:t xml:space="preserve">que garantiza la inaccesibilidad a la documentación antes, en su caso, de la constitución de la Mesa y del acto </w:t>
      </w:r>
      <w:r w:rsidR="00EB2DC9" w:rsidRPr="00EB3D94">
        <w:rPr>
          <w:rFonts w:cs="Arial"/>
          <w:lang w:val="es-ES"/>
        </w:rPr>
        <w:t>de apertura</w:t>
      </w:r>
      <w:r w:rsidRPr="00EB3D94">
        <w:rPr>
          <w:rFonts w:cs="Arial"/>
          <w:lang w:val="es-ES"/>
        </w:rPr>
        <w:t xml:space="preserve"> de los sobres, en la fecha y la hora establecidas.</w:t>
      </w:r>
    </w:p>
    <w:p w14:paraId="0543336D" w14:textId="77777777" w:rsidR="00603D49" w:rsidRPr="00EB3D94" w:rsidRDefault="00603D49" w:rsidP="00BC4866">
      <w:pPr>
        <w:autoSpaceDE w:val="0"/>
        <w:autoSpaceDN w:val="0"/>
        <w:adjustRightInd w:val="0"/>
        <w:jc w:val="both"/>
        <w:rPr>
          <w:rFonts w:cs="Arial"/>
          <w:lang w:val="es-ES"/>
        </w:rPr>
      </w:pPr>
    </w:p>
    <w:p w14:paraId="7E18831B" w14:textId="7EB1FCD2" w:rsidR="00603D49" w:rsidRPr="00EB3D94" w:rsidRDefault="00603D49" w:rsidP="00BC4866">
      <w:pPr>
        <w:autoSpaceDE w:val="0"/>
        <w:autoSpaceDN w:val="0"/>
        <w:adjustRightInd w:val="0"/>
        <w:jc w:val="both"/>
        <w:rPr>
          <w:rFonts w:cs="Arial"/>
          <w:lang w:val="es-ES"/>
        </w:rPr>
      </w:pPr>
      <w:r w:rsidRPr="00EB3D94">
        <w:rPr>
          <w:rFonts w:cs="Arial"/>
          <w:lang w:val="es-ES"/>
        </w:rPr>
        <w:t xml:space="preserve">Se podrá pedir a las empresas licitadoras que introduzcan la palabra clave 24 horas después de finalizado el plazo de presentación de ofertas y, en todo caso, lo </w:t>
      </w:r>
      <w:r w:rsidR="00A25938" w:rsidRPr="00EB3D94">
        <w:rPr>
          <w:rFonts w:cs="Arial"/>
          <w:lang w:val="es-ES"/>
        </w:rPr>
        <w:t xml:space="preserve">deben </w:t>
      </w:r>
      <w:r w:rsidRPr="00EB3D94">
        <w:rPr>
          <w:rFonts w:cs="Arial"/>
          <w:lang w:val="es-ES"/>
        </w:rPr>
        <w:t xml:space="preserve">introducir dentro del plazo establecido antes de </w:t>
      </w:r>
      <w:r w:rsidR="00EB2DC9" w:rsidRPr="00EB3D94">
        <w:rPr>
          <w:rFonts w:cs="Arial"/>
          <w:lang w:val="es-ES"/>
        </w:rPr>
        <w:t>la apertura</w:t>
      </w:r>
      <w:r w:rsidRPr="00EB3D94">
        <w:rPr>
          <w:rFonts w:cs="Arial"/>
          <w:lang w:val="es-ES"/>
        </w:rPr>
        <w:t xml:space="preserve"> del primero sobre cifrado. </w:t>
      </w:r>
    </w:p>
    <w:p w14:paraId="0D6AB0F3" w14:textId="77777777" w:rsidR="00603D49" w:rsidRPr="00EB3D94" w:rsidRDefault="00603D49" w:rsidP="00BC4866">
      <w:pPr>
        <w:autoSpaceDE w:val="0"/>
        <w:autoSpaceDN w:val="0"/>
        <w:adjustRightInd w:val="0"/>
        <w:jc w:val="both"/>
        <w:rPr>
          <w:rFonts w:cs="Arial"/>
          <w:lang w:val="es-ES"/>
        </w:rPr>
      </w:pPr>
    </w:p>
    <w:p w14:paraId="511323C8" w14:textId="07E95FFE" w:rsidR="00603D49" w:rsidRPr="00EB3D94" w:rsidRDefault="00603D49" w:rsidP="00BC4866">
      <w:pPr>
        <w:autoSpaceDE w:val="0"/>
        <w:autoSpaceDN w:val="0"/>
        <w:adjustRightInd w:val="0"/>
        <w:jc w:val="both"/>
        <w:rPr>
          <w:rFonts w:cs="Arial"/>
          <w:lang w:val="es-ES"/>
        </w:rPr>
      </w:pPr>
      <w:proofErr w:type="gramStart"/>
      <w:r w:rsidRPr="00EB3D94">
        <w:rPr>
          <w:rFonts w:cs="Arial"/>
          <w:u w:val="single"/>
          <w:lang w:val="es-ES"/>
        </w:rPr>
        <w:t>En caso que</w:t>
      </w:r>
      <w:proofErr w:type="gramEnd"/>
      <w:r w:rsidRPr="00EB3D94">
        <w:rPr>
          <w:rFonts w:cs="Arial"/>
          <w:u w:val="single"/>
          <w:lang w:val="es-ES"/>
        </w:rPr>
        <w:t xml:space="preserve"> alguna empresa licitadora no introduzca la palabra clave, no se podrá acceder al contenido del sobre cifrado</w:t>
      </w:r>
      <w:r w:rsidRPr="00EB3D94">
        <w:rPr>
          <w:rFonts w:cs="Arial"/>
          <w:lang w:val="es-ES"/>
        </w:rPr>
        <w:t xml:space="preserve">. Así, dado que la presentación de ofertas a través de la herramienta de </w:t>
      </w:r>
      <w:r w:rsidR="00384EF7" w:rsidRPr="00EB3D94">
        <w:rPr>
          <w:rFonts w:cs="Arial"/>
          <w:lang w:val="es-ES"/>
        </w:rPr>
        <w:t>Sobre</w:t>
      </w:r>
      <w:r w:rsidR="00C578CF" w:rsidRPr="00EB3D94">
        <w:rPr>
          <w:rFonts w:cs="Arial"/>
          <w:lang w:val="es-ES"/>
        </w:rPr>
        <w:t xml:space="preserve"> </w:t>
      </w:r>
      <w:r w:rsidRPr="00EB3D94">
        <w:rPr>
          <w:rFonts w:cs="Arial"/>
          <w:lang w:val="es-ES"/>
        </w:rPr>
        <w:t xml:space="preserve">Digital se basa en </w:t>
      </w:r>
      <w:r w:rsidR="00EB2DC9" w:rsidRPr="00EB3D94">
        <w:rPr>
          <w:rFonts w:cs="Arial"/>
          <w:lang w:val="es-ES"/>
        </w:rPr>
        <w:t xml:space="preserve">el cifrado </w:t>
      </w:r>
      <w:r w:rsidRPr="00EB3D94">
        <w:rPr>
          <w:rFonts w:cs="Arial"/>
          <w:lang w:val="es-ES"/>
        </w:rPr>
        <w:t>de la documentación y requiere necesariamente la introducción por parte de las empresas licitadoras de la/s pa</w:t>
      </w:r>
      <w:r w:rsidR="00EB2DC9" w:rsidRPr="00EB3D94">
        <w:rPr>
          <w:rFonts w:cs="Arial"/>
          <w:lang w:val="es-ES"/>
        </w:rPr>
        <w:t>labra</w:t>
      </w:r>
      <w:r w:rsidRPr="00EB3D94">
        <w:rPr>
          <w:rFonts w:cs="Arial"/>
          <w:lang w:val="es-ES"/>
        </w:rPr>
        <w:t>/</w:t>
      </w:r>
      <w:r w:rsidR="00EB2DC9" w:rsidRPr="00EB3D94">
        <w:rPr>
          <w:rFonts w:cs="Arial"/>
          <w:lang w:val="es-ES"/>
        </w:rPr>
        <w:t>s clave</w:t>
      </w:r>
      <w:r w:rsidRPr="00EB3D94">
        <w:rPr>
          <w:rFonts w:cs="Arial"/>
          <w:vanish/>
          <w:lang w:val="es-ES"/>
        </w:rPr>
        <w:t>&lt;A[clave|clavo|llave]&gt;</w:t>
      </w:r>
      <w:r w:rsidRPr="00EB3D94">
        <w:rPr>
          <w:rFonts w:cs="Arial"/>
          <w:lang w:val="es-ES"/>
        </w:rPr>
        <w:t>, que sólo ellas custodiaban durante todo el proceso, para poder acceder al contenido cifrado de los sobres, no se podrá efectuar la valoración de la documentación de su oferta que no se pueda de</w:t>
      </w:r>
      <w:r w:rsidR="00EB2DC9" w:rsidRPr="00EB3D94">
        <w:rPr>
          <w:rFonts w:cs="Arial"/>
          <w:lang w:val="es-ES"/>
        </w:rPr>
        <w:t>sc</w:t>
      </w:r>
      <w:r w:rsidRPr="00EB3D94">
        <w:rPr>
          <w:rFonts w:cs="Arial"/>
          <w:lang w:val="es-ES"/>
        </w:rPr>
        <w:t>ifrar por no haber introducido la empresa la palabra clave.</w:t>
      </w:r>
    </w:p>
    <w:p w14:paraId="665090C3" w14:textId="77777777" w:rsidR="00603D49" w:rsidRPr="00EB3D94" w:rsidRDefault="00603D49" w:rsidP="00BC4866">
      <w:pPr>
        <w:autoSpaceDE w:val="0"/>
        <w:autoSpaceDN w:val="0"/>
        <w:adjustRightInd w:val="0"/>
        <w:jc w:val="both"/>
        <w:rPr>
          <w:rFonts w:cs="Arial"/>
          <w:lang w:val="es-ES"/>
        </w:rPr>
      </w:pPr>
    </w:p>
    <w:p w14:paraId="3BCE7244" w14:textId="2B6BEC98" w:rsidR="00603D49" w:rsidRPr="00EB3D94" w:rsidRDefault="00603D49" w:rsidP="00BC4866">
      <w:pPr>
        <w:autoSpaceDE w:val="0"/>
        <w:autoSpaceDN w:val="0"/>
        <w:adjustRightInd w:val="0"/>
        <w:jc w:val="both"/>
        <w:rPr>
          <w:rFonts w:cs="Arial"/>
          <w:lang w:val="es-ES"/>
        </w:rPr>
      </w:pPr>
      <w:r w:rsidRPr="00EB3D94">
        <w:rPr>
          <w:rFonts w:cs="Arial"/>
          <w:lang w:val="es-ES"/>
        </w:rPr>
        <w:t xml:space="preserve">Una vez </w:t>
      </w:r>
      <w:r w:rsidR="00EB2DC9" w:rsidRPr="00EB3D94">
        <w:rPr>
          <w:rFonts w:cs="Arial"/>
          <w:lang w:val="es-ES"/>
        </w:rPr>
        <w:t>cumplimentada t</w:t>
      </w:r>
      <w:r w:rsidRPr="00EB3D94">
        <w:rPr>
          <w:rFonts w:cs="Arial"/>
          <w:lang w:val="es-ES"/>
        </w:rPr>
        <w:t xml:space="preserve">oda la documentación de la oferta y adjuntados los documentos que la conforman, se hará la presentación propiamente dicha de la oferta. A partir del momento en que la oferta se haya presentado, ya no se podrá modificar la documentación enviada. </w:t>
      </w:r>
    </w:p>
    <w:p w14:paraId="7A0263FB" w14:textId="77777777" w:rsidR="00603D49" w:rsidRPr="00EB3D94" w:rsidRDefault="00603D49" w:rsidP="00BC4866">
      <w:pPr>
        <w:autoSpaceDE w:val="0"/>
        <w:autoSpaceDN w:val="0"/>
        <w:adjustRightInd w:val="0"/>
        <w:jc w:val="both"/>
        <w:rPr>
          <w:rFonts w:cs="Arial"/>
          <w:lang w:val="es-ES"/>
        </w:rPr>
      </w:pPr>
    </w:p>
    <w:p w14:paraId="48C286C0" w14:textId="47CDF272" w:rsidR="00603D49" w:rsidRPr="00EB3D94" w:rsidRDefault="00603D49" w:rsidP="00BC4866">
      <w:pPr>
        <w:autoSpaceDE w:val="0"/>
        <w:autoSpaceDN w:val="0"/>
        <w:adjustRightInd w:val="0"/>
        <w:jc w:val="both"/>
        <w:rPr>
          <w:rFonts w:cs="Arial"/>
          <w:lang w:val="es-ES"/>
        </w:rPr>
      </w:pPr>
      <w:r w:rsidRPr="00EB3D94">
        <w:rPr>
          <w:rFonts w:cs="Arial"/>
          <w:lang w:val="es-ES"/>
        </w:rPr>
        <w:t>En caso de fall</w:t>
      </w:r>
      <w:r w:rsidR="00EB2DC9" w:rsidRPr="00EB3D94">
        <w:rPr>
          <w:rFonts w:cs="Arial"/>
          <w:lang w:val="es-ES"/>
        </w:rPr>
        <w:t>o</w:t>
      </w:r>
      <w:r w:rsidRPr="00EB3D94">
        <w:rPr>
          <w:rFonts w:cs="Arial"/>
          <w:lang w:val="es-ES"/>
        </w:rPr>
        <w:t xml:space="preserve"> técnic</w:t>
      </w:r>
      <w:r w:rsidR="00EB2DC9" w:rsidRPr="00EB3D94">
        <w:rPr>
          <w:rFonts w:cs="Arial"/>
          <w:lang w:val="es-ES"/>
        </w:rPr>
        <w:t>o</w:t>
      </w:r>
      <w:r w:rsidRPr="00EB3D94">
        <w:rPr>
          <w:rFonts w:cs="Arial"/>
          <w:lang w:val="es-ES"/>
        </w:rPr>
        <w:t xml:space="preserve"> que imposibilite el uso de la herramienta de </w:t>
      </w:r>
      <w:r w:rsidR="00384EF7" w:rsidRPr="00EB3D94">
        <w:rPr>
          <w:rFonts w:cs="Arial"/>
          <w:lang w:val="es-ES"/>
        </w:rPr>
        <w:t xml:space="preserve">Sobre </w:t>
      </w:r>
      <w:r w:rsidRPr="00EB3D94">
        <w:rPr>
          <w:rFonts w:cs="Arial"/>
          <w:lang w:val="es-ES"/>
        </w:rPr>
        <w:t xml:space="preserve">Digital el último día de presentación de las proposiciones, el órgano de contratación ampliará el plazo de presentación de </w:t>
      </w:r>
      <w:proofErr w:type="gramStart"/>
      <w:r w:rsidRPr="00EB3D94">
        <w:rPr>
          <w:rFonts w:cs="Arial"/>
          <w:lang w:val="es-ES"/>
        </w:rPr>
        <w:t>las mismas</w:t>
      </w:r>
      <w:proofErr w:type="gramEnd"/>
      <w:r w:rsidRPr="00EB3D94">
        <w:rPr>
          <w:rFonts w:cs="Arial"/>
          <w:lang w:val="es-ES"/>
        </w:rPr>
        <w:t xml:space="preserve"> el tiempo que se considere imprescindible, modificando el plazo de presentación de ofertas; publicando en la Plataforma de Servicios de Contratación Pública la enmienda correspondiente; y, adicionalmente, comunicando el cambio de fecha a todas las empresas que hubieran activado oferta.</w:t>
      </w:r>
    </w:p>
    <w:p w14:paraId="69B8433F" w14:textId="77777777" w:rsidR="00603D49" w:rsidRPr="00EB3D94" w:rsidRDefault="00603D49" w:rsidP="00BC4866">
      <w:pPr>
        <w:autoSpaceDE w:val="0"/>
        <w:autoSpaceDN w:val="0"/>
        <w:adjustRightInd w:val="0"/>
        <w:jc w:val="both"/>
        <w:rPr>
          <w:rFonts w:cs="Arial"/>
          <w:lang w:val="es-ES"/>
        </w:rPr>
      </w:pPr>
    </w:p>
    <w:p w14:paraId="5CF8BD5F" w14:textId="6791E683" w:rsidR="00603D49" w:rsidRPr="00EB3D94" w:rsidRDefault="00603D49" w:rsidP="00BC4866">
      <w:pPr>
        <w:tabs>
          <w:tab w:val="left" w:pos="0"/>
          <w:tab w:val="left" w:pos="680"/>
          <w:tab w:val="left" w:pos="1473"/>
          <w:tab w:val="left" w:pos="4320"/>
        </w:tabs>
        <w:jc w:val="both"/>
        <w:rPr>
          <w:rFonts w:cs="Arial"/>
          <w:lang w:val="es-ES"/>
        </w:rPr>
      </w:pPr>
      <w:r w:rsidRPr="00EB3D94">
        <w:rPr>
          <w:rFonts w:cs="Arial"/>
          <w:snapToGrid w:val="0"/>
          <w:lang w:val="es-ES"/>
        </w:rPr>
        <w:t xml:space="preserve">Podéis encontrar material </w:t>
      </w:r>
      <w:r w:rsidR="00EB2DC9" w:rsidRPr="00EB3D94">
        <w:rPr>
          <w:rFonts w:cs="Arial"/>
          <w:snapToGrid w:val="0"/>
          <w:lang w:val="es-ES"/>
        </w:rPr>
        <w:t>de soporte</w:t>
      </w:r>
      <w:r w:rsidRPr="00EB3D94">
        <w:rPr>
          <w:rFonts w:cs="Arial"/>
          <w:snapToGrid w:val="0"/>
          <w:lang w:val="es-ES"/>
        </w:rPr>
        <w:t xml:space="preserve"> sobre cómo preparar una oferta mediante la herramienta de </w:t>
      </w:r>
      <w:r w:rsidR="00384EF7" w:rsidRPr="00EB3D94">
        <w:rPr>
          <w:rFonts w:cs="Arial"/>
          <w:snapToGrid w:val="0"/>
          <w:lang w:val="es-ES"/>
        </w:rPr>
        <w:t xml:space="preserve">Sobre </w:t>
      </w:r>
      <w:r w:rsidR="00EB2DC9" w:rsidRPr="00EB3D94">
        <w:rPr>
          <w:rFonts w:cs="Arial"/>
          <w:snapToGrid w:val="0"/>
          <w:lang w:val="es-ES"/>
        </w:rPr>
        <w:t>D</w:t>
      </w:r>
      <w:r w:rsidRPr="00EB3D94">
        <w:rPr>
          <w:rFonts w:cs="Arial"/>
          <w:snapToGrid w:val="0"/>
          <w:lang w:val="es-ES"/>
        </w:rPr>
        <w:t xml:space="preserve">igital </w:t>
      </w:r>
      <w:r w:rsidRPr="00EB3D94">
        <w:rPr>
          <w:rFonts w:cs="Arial"/>
          <w:lang w:val="es-ES"/>
        </w:rPr>
        <w:t>en el apartado de “Licitación electrónica” de la Plataforma de Servicios de Contratación Pública, a la dirección web siguiente:</w:t>
      </w:r>
    </w:p>
    <w:p w14:paraId="4D85DE85" w14:textId="77777777" w:rsidR="0013483A" w:rsidRPr="00EB3D94" w:rsidRDefault="00EB3D94" w:rsidP="00BC4866">
      <w:pPr>
        <w:autoSpaceDE w:val="0"/>
        <w:autoSpaceDN w:val="0"/>
        <w:adjustRightInd w:val="0"/>
        <w:jc w:val="both"/>
        <w:rPr>
          <w:rStyle w:val="Enlla"/>
          <w:color w:val="auto"/>
          <w:lang w:val="es-ES"/>
        </w:rPr>
      </w:pPr>
      <w:hyperlink r:id="rId9" w:history="1">
        <w:r w:rsidR="0013483A" w:rsidRPr="00EB3D94">
          <w:rPr>
            <w:rStyle w:val="Enlla"/>
            <w:color w:val="auto"/>
            <w:lang w:val="es-ES"/>
          </w:rPr>
          <w:t>https://contractaciopublica.cat/ca/manuals/usuari</w:t>
        </w:r>
      </w:hyperlink>
    </w:p>
    <w:p w14:paraId="23B67B92" w14:textId="77777777" w:rsidR="00863684" w:rsidRPr="00EB3D94" w:rsidRDefault="00863684" w:rsidP="00BC4866">
      <w:pPr>
        <w:autoSpaceDE w:val="0"/>
        <w:autoSpaceDN w:val="0"/>
        <w:adjustRightInd w:val="0"/>
        <w:jc w:val="both"/>
        <w:rPr>
          <w:rFonts w:cs="Arial"/>
          <w:szCs w:val="22"/>
          <w:lang w:val="es-ES"/>
        </w:rPr>
      </w:pPr>
    </w:p>
    <w:p w14:paraId="2AAF4F0E" w14:textId="6B312B00" w:rsidR="00D02E41" w:rsidRPr="00EB3D94" w:rsidRDefault="00CD6123" w:rsidP="00BC4866">
      <w:pPr>
        <w:tabs>
          <w:tab w:val="left" w:pos="0"/>
          <w:tab w:val="left" w:pos="680"/>
          <w:tab w:val="left" w:pos="1473"/>
          <w:tab w:val="left" w:pos="4320"/>
        </w:tabs>
        <w:jc w:val="both"/>
        <w:rPr>
          <w:rFonts w:cs="Arial"/>
          <w:lang w:val="es-ES"/>
        </w:rPr>
      </w:pPr>
      <w:r w:rsidRPr="00EB3D94">
        <w:rPr>
          <w:rFonts w:cs="Arial"/>
          <w:b/>
          <w:szCs w:val="22"/>
          <w:lang w:val="es-ES"/>
        </w:rPr>
        <w:t>9</w:t>
      </w:r>
      <w:r w:rsidR="00CC6C74" w:rsidRPr="00EB3D94">
        <w:rPr>
          <w:rFonts w:cs="Arial"/>
          <w:b/>
          <w:szCs w:val="22"/>
          <w:lang w:val="es-ES"/>
        </w:rPr>
        <w:t>.3</w:t>
      </w:r>
      <w:r w:rsidR="009A4D9B" w:rsidRPr="00EB3D94">
        <w:rPr>
          <w:rFonts w:cs="Arial"/>
          <w:b/>
          <w:szCs w:val="22"/>
          <w:lang w:val="es-ES"/>
        </w:rPr>
        <w:t xml:space="preserve"> </w:t>
      </w:r>
      <w:r w:rsidR="00D02E41" w:rsidRPr="00EB3D94">
        <w:rPr>
          <w:rFonts w:cs="Arial"/>
          <w:snapToGrid w:val="0"/>
          <w:lang w:val="es-ES"/>
        </w:rPr>
        <w:t>De acuerdo con el que dispone el apartado 1.</w:t>
      </w:r>
      <w:r w:rsidR="00D02E41" w:rsidRPr="00EB3D94">
        <w:rPr>
          <w:rFonts w:cs="Arial"/>
          <w:i/>
          <w:snapToGrid w:val="0"/>
          <w:lang w:val="es-ES"/>
        </w:rPr>
        <w:t>h</w:t>
      </w:r>
      <w:r w:rsidR="00D02E41" w:rsidRPr="00EB3D94">
        <w:rPr>
          <w:rFonts w:cs="Arial"/>
          <w:snapToGrid w:val="0"/>
          <w:lang w:val="es-ES"/>
        </w:rPr>
        <w:t xml:space="preserve"> de la Disposición adicional decimosexta de la LCSP, el envío de las ofertas mediante la herramienta de </w:t>
      </w:r>
      <w:r w:rsidR="00EB2DC9" w:rsidRPr="00EB3D94">
        <w:rPr>
          <w:rFonts w:cs="Arial"/>
          <w:snapToGrid w:val="0"/>
          <w:lang w:val="es-ES"/>
        </w:rPr>
        <w:t>S</w:t>
      </w:r>
      <w:r w:rsidR="00D02E41" w:rsidRPr="00EB3D94">
        <w:rPr>
          <w:rFonts w:cs="Arial"/>
          <w:snapToGrid w:val="0"/>
          <w:lang w:val="es-ES"/>
        </w:rPr>
        <w:t>obre Digital se</w:t>
      </w:r>
      <w:r w:rsidR="00D02E41" w:rsidRPr="00EB3D94">
        <w:rPr>
          <w:rFonts w:cs="Arial"/>
          <w:lang w:val="es-ES"/>
        </w:rPr>
        <w:t xml:space="preserve"> podrá hacer en dos fases, transmitiendo primero la huella electrónica de la documentación de la oferta, dentro del plazo de presentación de ofertas, con la recepción de la cual se considerará efectuada su presentación a todos los efectos, y después haciendo el envío de la documentación de la oferta propiamente dicha, en un plazo máximo de 24 horas. En caso de no efectuarse esta segunda remisión en el plazo de 24 horas, se considerará que la oferta ha sido retirada. </w:t>
      </w:r>
    </w:p>
    <w:p w14:paraId="22789CB6" w14:textId="77777777" w:rsidR="00D02E41" w:rsidRPr="00EB3D94" w:rsidRDefault="00D02E41" w:rsidP="00BC4866">
      <w:pPr>
        <w:tabs>
          <w:tab w:val="left" w:pos="0"/>
          <w:tab w:val="left" w:pos="680"/>
          <w:tab w:val="left" w:pos="1473"/>
          <w:tab w:val="left" w:pos="4320"/>
        </w:tabs>
        <w:jc w:val="both"/>
        <w:rPr>
          <w:rFonts w:cs="Arial"/>
          <w:lang w:val="es-ES"/>
        </w:rPr>
      </w:pPr>
    </w:p>
    <w:p w14:paraId="0820B6AE" w14:textId="7CFE3408" w:rsidR="00D02E41" w:rsidRPr="00EB3D94" w:rsidRDefault="00D02E41" w:rsidP="00BC4866">
      <w:pPr>
        <w:tabs>
          <w:tab w:val="left" w:pos="0"/>
          <w:tab w:val="left" w:pos="680"/>
          <w:tab w:val="left" w:pos="1473"/>
          <w:tab w:val="left" w:pos="4320"/>
        </w:tabs>
        <w:jc w:val="both"/>
        <w:rPr>
          <w:rFonts w:cs="Arial"/>
          <w:lang w:val="es-ES"/>
        </w:rPr>
      </w:pPr>
      <w:r w:rsidRPr="00EB3D94">
        <w:rPr>
          <w:rFonts w:cs="Arial"/>
          <w:lang w:val="es-ES"/>
        </w:rPr>
        <w:lastRenderedPageBreak/>
        <w:t xml:space="preserve">Si se hace uso de esta posibilidad, hay que tener en cuenta que la documentación enviada en esta segunda fase </w:t>
      </w:r>
      <w:r w:rsidR="00982820" w:rsidRPr="00EB3D94">
        <w:rPr>
          <w:rFonts w:cs="Arial"/>
          <w:lang w:val="es-ES"/>
        </w:rPr>
        <w:t xml:space="preserve">debe </w:t>
      </w:r>
      <w:r w:rsidRPr="00EB3D94">
        <w:rPr>
          <w:rFonts w:cs="Arial"/>
          <w:lang w:val="es-ES"/>
        </w:rPr>
        <w:t xml:space="preserve">coincidir totalmente con aquella respecto de la que se ha enviado la huella digital previamente, de manera que no se puede </w:t>
      </w:r>
      <w:r w:rsidR="00A62D80" w:rsidRPr="00EB3D94">
        <w:rPr>
          <w:rFonts w:cs="Arial"/>
          <w:lang w:val="es-ES"/>
        </w:rPr>
        <w:t>producir</w:t>
      </w:r>
      <w:r w:rsidRPr="00EB3D94">
        <w:rPr>
          <w:rFonts w:cs="Arial"/>
          <w:lang w:val="es-ES"/>
        </w:rPr>
        <w:t xml:space="preserve"> ninguna modificación de los ficheros electrónicos que configuran la documentación de la oferta. En este sentido, hay que señalar la importancia de no manipular estos archivos (ni, por ejemplo, hacer copias, aunque sean de contenido idéntico) con el fin de no variar </w:t>
      </w:r>
      <w:r w:rsidR="00A62D80" w:rsidRPr="00EB3D94">
        <w:rPr>
          <w:rFonts w:cs="Arial"/>
          <w:lang w:val="es-ES"/>
        </w:rPr>
        <w:t>la huella</w:t>
      </w:r>
      <w:r w:rsidRPr="00EB3D94">
        <w:rPr>
          <w:rFonts w:cs="Arial"/>
          <w:lang w:val="es-ES"/>
        </w:rPr>
        <w:t xml:space="preserve"> electrónica, que es la que se comprobará para asegurar la coincidencia de documentos en las ofertas enviadas en dos fases.</w:t>
      </w:r>
    </w:p>
    <w:p w14:paraId="6A0CEC67" w14:textId="77777777" w:rsidR="00D02E41" w:rsidRPr="00EB3D94" w:rsidRDefault="00D02E41" w:rsidP="00BC4866">
      <w:pPr>
        <w:tabs>
          <w:tab w:val="left" w:pos="0"/>
          <w:tab w:val="left" w:pos="680"/>
          <w:tab w:val="left" w:pos="1473"/>
          <w:tab w:val="left" w:pos="4320"/>
        </w:tabs>
        <w:jc w:val="both"/>
        <w:rPr>
          <w:rFonts w:cs="Arial"/>
          <w:lang w:val="es-ES"/>
        </w:rPr>
      </w:pPr>
    </w:p>
    <w:p w14:paraId="0CD6184B" w14:textId="77777777" w:rsidR="00000FA3" w:rsidRPr="00EB3D94" w:rsidRDefault="00000FA3" w:rsidP="00BC4866">
      <w:pPr>
        <w:tabs>
          <w:tab w:val="num" w:pos="2160"/>
        </w:tabs>
        <w:jc w:val="both"/>
        <w:rPr>
          <w:rFonts w:cs="Arial"/>
          <w:snapToGrid w:val="0"/>
          <w:lang w:val="es-ES"/>
        </w:rPr>
      </w:pPr>
      <w:r w:rsidRPr="00EB3D94">
        <w:rPr>
          <w:rFonts w:cs="Arial"/>
          <w:snapToGrid w:val="0"/>
          <w:lang w:val="es-ES"/>
        </w:rPr>
        <w:t>El plazo para presentar ofertas en esta licitación finaliza el día y la hora que se indica en el anuncio de licitación, de manera que las ofertas recibidas con posterioridad a esta fecha y hora se considerarán extemporáneas.</w:t>
      </w:r>
    </w:p>
    <w:p w14:paraId="0C6EA5CE" w14:textId="77777777" w:rsidR="00000FA3" w:rsidRPr="00EB3D94" w:rsidRDefault="00000FA3" w:rsidP="00BC4866">
      <w:pPr>
        <w:tabs>
          <w:tab w:val="left" w:pos="0"/>
          <w:tab w:val="left" w:pos="680"/>
          <w:tab w:val="left" w:pos="1473"/>
          <w:tab w:val="left" w:pos="4320"/>
        </w:tabs>
        <w:jc w:val="both"/>
        <w:rPr>
          <w:rFonts w:cs="Arial"/>
          <w:lang w:val="es-ES"/>
        </w:rPr>
      </w:pPr>
    </w:p>
    <w:p w14:paraId="0BDB77ED" w14:textId="77777777" w:rsidR="00D02E41" w:rsidRPr="00EB3D94" w:rsidRDefault="00D02E41" w:rsidP="00BC4866">
      <w:pPr>
        <w:tabs>
          <w:tab w:val="left" w:pos="0"/>
          <w:tab w:val="left" w:pos="680"/>
          <w:tab w:val="left" w:pos="1473"/>
          <w:tab w:val="left" w:pos="4320"/>
        </w:tabs>
        <w:jc w:val="both"/>
        <w:rPr>
          <w:rFonts w:cs="Arial"/>
          <w:snapToGrid w:val="0"/>
          <w:lang w:val="es-ES"/>
        </w:rPr>
      </w:pPr>
      <w:r w:rsidRPr="00EB3D94">
        <w:rPr>
          <w:rFonts w:cs="Arial"/>
          <w:b/>
          <w:lang w:val="es-ES"/>
        </w:rPr>
        <w:t>Las proposiciones presentadas fuera de plazo no serán admitidas bajo ningún concepto</w:t>
      </w:r>
      <w:r w:rsidRPr="00EB3D94">
        <w:rPr>
          <w:rFonts w:cs="Arial"/>
          <w:lang w:val="es-ES"/>
        </w:rPr>
        <w:t>.</w:t>
      </w:r>
    </w:p>
    <w:p w14:paraId="7D947963" w14:textId="77777777" w:rsidR="00D02E41" w:rsidRPr="00EB3D94" w:rsidRDefault="00D02E41" w:rsidP="00BC4866">
      <w:pPr>
        <w:autoSpaceDE w:val="0"/>
        <w:autoSpaceDN w:val="0"/>
        <w:adjustRightInd w:val="0"/>
        <w:jc w:val="both"/>
        <w:rPr>
          <w:rFonts w:cs="Arial"/>
          <w:b/>
          <w:szCs w:val="22"/>
          <w:lang w:val="es-ES"/>
        </w:rPr>
      </w:pPr>
    </w:p>
    <w:p w14:paraId="4401D74E" w14:textId="531178AD" w:rsidR="00D02E41" w:rsidRPr="00EB3D94" w:rsidRDefault="00CC6C74" w:rsidP="00BC4866">
      <w:pPr>
        <w:tabs>
          <w:tab w:val="left" w:pos="0"/>
          <w:tab w:val="left" w:pos="680"/>
          <w:tab w:val="left" w:pos="1134"/>
          <w:tab w:val="left" w:pos="5040"/>
          <w:tab w:val="left" w:pos="6450"/>
        </w:tabs>
        <w:jc w:val="both"/>
        <w:rPr>
          <w:rFonts w:cs="Arial"/>
          <w:lang w:val="es-ES"/>
        </w:rPr>
      </w:pPr>
      <w:r w:rsidRPr="00EB3D94">
        <w:rPr>
          <w:rFonts w:cs="Arial"/>
          <w:b/>
          <w:szCs w:val="22"/>
          <w:lang w:val="es-ES"/>
        </w:rPr>
        <w:t xml:space="preserve">9.4 </w:t>
      </w:r>
      <w:r w:rsidR="00D02E41" w:rsidRPr="00EB3D94">
        <w:rPr>
          <w:rFonts w:cs="Arial"/>
          <w:lang w:val="es-ES"/>
        </w:rPr>
        <w:t xml:space="preserve">Las ofertas presentadas </w:t>
      </w:r>
      <w:r w:rsidR="00A25938" w:rsidRPr="00EB3D94">
        <w:rPr>
          <w:rFonts w:cs="Arial"/>
          <w:lang w:val="es-ES"/>
        </w:rPr>
        <w:t xml:space="preserve">deben </w:t>
      </w:r>
      <w:r w:rsidR="00D02E41" w:rsidRPr="00EB3D94">
        <w:rPr>
          <w:rFonts w:cs="Arial"/>
          <w:lang w:val="es-ES"/>
        </w:rPr>
        <w:t>estar libres de virus informáticos y de cualquier tipo de programa o código nocivo, ya que en ningún caso se pueden abrir los documentos afectados por un virus con las herramientas corporativas de la Generalitat de Catalunya. Así, es obligación de las empresas contratistas pasar los documentos</w:t>
      </w:r>
      <w:r w:rsidR="00EB2DC9" w:rsidRPr="00EB3D94">
        <w:rPr>
          <w:rFonts w:cs="Arial"/>
          <w:lang w:val="es-ES"/>
        </w:rPr>
        <w:t xml:space="preserve"> por </w:t>
      </w:r>
      <w:r w:rsidR="00D02E41" w:rsidRPr="00EB3D94">
        <w:rPr>
          <w:rFonts w:cs="Arial"/>
          <w:lang w:val="es-ES"/>
        </w:rPr>
        <w:t xml:space="preserve">un antivirus y, en caso de llegar documentos de sus ofertas con virus, será responsabilidad de ellas que la Administración no pueda acceder al contenido de estos. </w:t>
      </w:r>
    </w:p>
    <w:p w14:paraId="15ADAD6C" w14:textId="77777777" w:rsidR="00D02E41" w:rsidRPr="00EB3D94" w:rsidRDefault="00D02E41" w:rsidP="00BC4866">
      <w:pPr>
        <w:tabs>
          <w:tab w:val="left" w:pos="0"/>
          <w:tab w:val="left" w:pos="680"/>
          <w:tab w:val="left" w:pos="1134"/>
          <w:tab w:val="left" w:pos="5040"/>
          <w:tab w:val="left" w:pos="6450"/>
        </w:tabs>
        <w:jc w:val="both"/>
        <w:rPr>
          <w:rFonts w:cs="Arial"/>
          <w:lang w:val="es-ES"/>
        </w:rPr>
      </w:pPr>
    </w:p>
    <w:p w14:paraId="42E2B2CB" w14:textId="77777777" w:rsidR="00D02E41" w:rsidRPr="00EB3D94" w:rsidRDefault="00D02E41" w:rsidP="00BC4866">
      <w:pPr>
        <w:tabs>
          <w:tab w:val="left" w:pos="0"/>
          <w:tab w:val="left" w:pos="680"/>
          <w:tab w:val="left" w:pos="1134"/>
          <w:tab w:val="left" w:pos="5040"/>
          <w:tab w:val="left" w:pos="6450"/>
        </w:tabs>
        <w:jc w:val="both"/>
        <w:rPr>
          <w:rFonts w:cs="Arial"/>
          <w:lang w:val="es-ES"/>
        </w:rPr>
      </w:pPr>
      <w:r w:rsidRPr="00EB3D94">
        <w:rPr>
          <w:rFonts w:cs="Arial"/>
          <w:lang w:val="es-ES"/>
        </w:rPr>
        <w:t>En caso de que algún documento presentado por las empresas licitadoras esté estropeado, en blanco o sea ilegible o esté afectado por algún virus informático, la Mesa de contratación valorará, en función de cuál sea la documentación afectada, las consecuencias jurídicas respecto de la participación de esta empresa en el procedimiento, que se tengan que derivar de la imposibilidad de acceder al contenido de alguno de los documentos de la oferta. En caso de tratarse de documentos imprescindibles para conocer o valorar la oferta, la mesa podrá acordar la exclusión de la empresa.</w:t>
      </w:r>
    </w:p>
    <w:p w14:paraId="0DF1F62F" w14:textId="77777777" w:rsidR="00D02E41" w:rsidRPr="00EB3D94" w:rsidRDefault="00D02E41" w:rsidP="00BC4866">
      <w:pPr>
        <w:tabs>
          <w:tab w:val="left" w:pos="0"/>
          <w:tab w:val="left" w:pos="680"/>
          <w:tab w:val="left" w:pos="1134"/>
          <w:tab w:val="left" w:pos="5040"/>
          <w:tab w:val="left" w:pos="6450"/>
        </w:tabs>
        <w:jc w:val="both"/>
        <w:rPr>
          <w:rFonts w:cs="Arial"/>
          <w:i/>
          <w:lang w:val="es-ES"/>
        </w:rPr>
      </w:pPr>
      <w:r w:rsidRPr="00EB3D94">
        <w:rPr>
          <w:rFonts w:cs="Arial"/>
          <w:i/>
          <w:lang w:val="es-ES"/>
        </w:rPr>
        <w:t xml:space="preserve"> </w:t>
      </w:r>
    </w:p>
    <w:p w14:paraId="167E13C9" w14:textId="590C555B" w:rsidR="00D02E41" w:rsidRPr="00EB3D94" w:rsidRDefault="00D02E41" w:rsidP="00BC4866">
      <w:pPr>
        <w:tabs>
          <w:tab w:val="left" w:pos="0"/>
          <w:tab w:val="left" w:pos="680"/>
          <w:tab w:val="left" w:pos="1473"/>
          <w:tab w:val="left" w:pos="4320"/>
        </w:tabs>
        <w:jc w:val="both"/>
        <w:rPr>
          <w:rFonts w:cs="Arial"/>
          <w:lang w:val="es-ES"/>
        </w:rPr>
      </w:pPr>
      <w:r w:rsidRPr="00EB3D94">
        <w:rPr>
          <w:rFonts w:cs="Arial"/>
          <w:snapToGrid w:val="0"/>
          <w:lang w:val="es-ES"/>
        </w:rPr>
        <w:t xml:space="preserve">Las empresas licitadoras podrán presentar una copia de seguridad de los documentos electrónicos presentados </w:t>
      </w:r>
      <w:r w:rsidR="00EB2DC9" w:rsidRPr="00EB3D94">
        <w:rPr>
          <w:rFonts w:cs="Arial"/>
          <w:snapToGrid w:val="0"/>
          <w:lang w:val="es-ES"/>
        </w:rPr>
        <w:t>en soporte</w:t>
      </w:r>
      <w:r w:rsidRPr="00EB3D94">
        <w:rPr>
          <w:rFonts w:cs="Arial"/>
          <w:snapToGrid w:val="0"/>
          <w:lang w:val="es-ES"/>
        </w:rPr>
        <w:t xml:space="preserve"> físico electrónico, que será solicitada a las empresas licitadoras en caso de necesidad, con el fin de poder acceder al contenido de los documentos en caso de que estén estropeados. En este sentido, hay que recordar </w:t>
      </w:r>
      <w:r w:rsidRPr="00EB3D94">
        <w:rPr>
          <w:rFonts w:cs="Arial"/>
          <w:lang w:val="es-ES"/>
        </w:rPr>
        <w:t xml:space="preserve">la importancia de no manipular estos archivos con el fin de no variar </w:t>
      </w:r>
      <w:r w:rsidR="00A62D80" w:rsidRPr="00EB3D94">
        <w:rPr>
          <w:rFonts w:cs="Arial"/>
          <w:lang w:val="es-ES"/>
        </w:rPr>
        <w:t>la huella</w:t>
      </w:r>
      <w:r w:rsidRPr="00EB3D94">
        <w:rPr>
          <w:rFonts w:cs="Arial"/>
          <w:lang w:val="es-ES"/>
        </w:rPr>
        <w:t xml:space="preserve"> electrónica, que es la que se comprobará para asegurar la coincidencia de los documentos de la copia de seguridad, </w:t>
      </w:r>
      <w:r w:rsidRPr="00EB3D94">
        <w:rPr>
          <w:rFonts w:cs="Arial"/>
          <w:snapToGrid w:val="0"/>
          <w:lang w:val="es-ES"/>
        </w:rPr>
        <w:t xml:space="preserve">enviados </w:t>
      </w:r>
      <w:r w:rsidR="00EB2DC9" w:rsidRPr="00EB3D94">
        <w:rPr>
          <w:rFonts w:cs="Arial"/>
          <w:snapToGrid w:val="0"/>
          <w:lang w:val="es-ES"/>
        </w:rPr>
        <w:t>en soporte</w:t>
      </w:r>
      <w:r w:rsidRPr="00EB3D94">
        <w:rPr>
          <w:rFonts w:cs="Arial"/>
          <w:snapToGrid w:val="0"/>
          <w:lang w:val="es-ES"/>
        </w:rPr>
        <w:t xml:space="preserve"> físico electrónico, </w:t>
      </w:r>
      <w:r w:rsidRPr="00EB3D94">
        <w:rPr>
          <w:rFonts w:cs="Arial"/>
          <w:lang w:val="es-ES"/>
        </w:rPr>
        <w:t xml:space="preserve">y de los enviados en la oferta, a través de la herramienta de </w:t>
      </w:r>
      <w:r w:rsidR="00384EF7" w:rsidRPr="00EB3D94">
        <w:rPr>
          <w:rFonts w:cs="Arial"/>
          <w:lang w:val="es-ES"/>
        </w:rPr>
        <w:t xml:space="preserve">Sobre </w:t>
      </w:r>
      <w:r w:rsidRPr="00EB3D94">
        <w:rPr>
          <w:rFonts w:cs="Arial"/>
          <w:lang w:val="es-ES"/>
        </w:rPr>
        <w:t xml:space="preserve">Digital. Asimismo, hace falta tener en cuenta que esta copia no podrá ser utilizada en el caso de haber enviado documentos con virus a través de la herramienta de </w:t>
      </w:r>
      <w:r w:rsidR="00384EF7" w:rsidRPr="00EB3D94">
        <w:rPr>
          <w:rFonts w:cs="Arial"/>
          <w:lang w:val="es-ES"/>
        </w:rPr>
        <w:t>Sobre</w:t>
      </w:r>
      <w:r w:rsidR="00EB2DC9" w:rsidRPr="00EB3D94">
        <w:rPr>
          <w:rFonts w:cs="Arial"/>
          <w:lang w:val="es-ES"/>
        </w:rPr>
        <w:t xml:space="preserve"> </w:t>
      </w:r>
      <w:r w:rsidRPr="00EB3D94">
        <w:rPr>
          <w:rFonts w:cs="Arial"/>
          <w:lang w:val="es-ES"/>
        </w:rPr>
        <w:t xml:space="preserve">Digital, vista la imposibilidad técnica en estos casos de poder hacer la comparación de las </w:t>
      </w:r>
      <w:r w:rsidR="00A62D80" w:rsidRPr="00EB3D94">
        <w:rPr>
          <w:rFonts w:cs="Arial"/>
          <w:lang w:val="es-ES"/>
        </w:rPr>
        <w:t>huellas</w:t>
      </w:r>
      <w:r w:rsidRPr="00EB3D94">
        <w:rPr>
          <w:rFonts w:cs="Arial"/>
          <w:lang w:val="es-ES"/>
        </w:rPr>
        <w:t xml:space="preserve"> electrónicas y, por lo tanto, poder garantizar la no modificación de las ofertas una vez finalizado el plazo de presentación.</w:t>
      </w:r>
    </w:p>
    <w:p w14:paraId="7DC9CE06" w14:textId="77777777" w:rsidR="00D02E41" w:rsidRPr="00EB3D94" w:rsidRDefault="00D02E41" w:rsidP="00BC4866">
      <w:pPr>
        <w:tabs>
          <w:tab w:val="left" w:pos="0"/>
          <w:tab w:val="left" w:pos="680"/>
          <w:tab w:val="left" w:pos="1473"/>
          <w:tab w:val="left" w:pos="4320"/>
        </w:tabs>
        <w:jc w:val="both"/>
        <w:rPr>
          <w:rFonts w:cs="Arial"/>
          <w:lang w:val="es-ES"/>
        </w:rPr>
      </w:pPr>
    </w:p>
    <w:p w14:paraId="41F1AB60" w14:textId="6447B585" w:rsidR="00D02E41" w:rsidRPr="00EB3D94" w:rsidRDefault="00D02E41" w:rsidP="00BC4866">
      <w:pPr>
        <w:tabs>
          <w:tab w:val="left" w:pos="0"/>
          <w:tab w:val="left" w:pos="680"/>
          <w:tab w:val="left" w:pos="1473"/>
          <w:tab w:val="left" w:pos="4320"/>
        </w:tabs>
        <w:jc w:val="both"/>
        <w:rPr>
          <w:rFonts w:cs="Arial"/>
          <w:lang w:val="es-ES"/>
        </w:rPr>
      </w:pPr>
      <w:r w:rsidRPr="00EB3D94">
        <w:rPr>
          <w:rFonts w:cs="Arial"/>
          <w:lang w:val="es-ES"/>
        </w:rPr>
        <w:t xml:space="preserve">Las empresas licitadoras pueden presentar, </w:t>
      </w:r>
      <w:r w:rsidR="00EB2DC9" w:rsidRPr="00EB3D94">
        <w:rPr>
          <w:rFonts w:cs="Arial"/>
          <w:lang w:val="es-ES"/>
        </w:rPr>
        <w:t>en soporte</w:t>
      </w:r>
      <w:r w:rsidRPr="00EB3D94">
        <w:rPr>
          <w:rFonts w:cs="Arial"/>
          <w:lang w:val="es-ES"/>
        </w:rPr>
        <w:t xml:space="preserve"> físico electrónico, una copia de seguridad de los documentos electrónicos presentados.</w:t>
      </w:r>
    </w:p>
    <w:p w14:paraId="6F484AA1" w14:textId="77777777" w:rsidR="00D02E41" w:rsidRPr="00EB3D94" w:rsidRDefault="00D02E41" w:rsidP="00BC4866">
      <w:pPr>
        <w:tabs>
          <w:tab w:val="left" w:pos="0"/>
          <w:tab w:val="left" w:pos="680"/>
          <w:tab w:val="left" w:pos="1473"/>
          <w:tab w:val="left" w:pos="4320"/>
        </w:tabs>
        <w:jc w:val="both"/>
        <w:rPr>
          <w:rFonts w:cs="Arial"/>
          <w:lang w:val="es-ES"/>
        </w:rPr>
      </w:pPr>
    </w:p>
    <w:p w14:paraId="4363EAA4" w14:textId="77777777" w:rsidR="00D02E41" w:rsidRPr="00EB3D94" w:rsidRDefault="00D02E41" w:rsidP="00BC4866">
      <w:pPr>
        <w:autoSpaceDE w:val="0"/>
        <w:autoSpaceDN w:val="0"/>
        <w:adjustRightInd w:val="0"/>
        <w:jc w:val="both"/>
        <w:rPr>
          <w:rFonts w:cs="Arial"/>
          <w:lang w:val="es-ES"/>
        </w:rPr>
      </w:pPr>
      <w:r w:rsidRPr="00EB3D94">
        <w:rPr>
          <w:rFonts w:cs="Arial"/>
          <w:b/>
          <w:snapToGrid w:val="0"/>
          <w:lang w:val="es-ES"/>
        </w:rPr>
        <w:t>9.</w:t>
      </w:r>
      <w:r w:rsidR="00CC6C74" w:rsidRPr="00EB3D94">
        <w:rPr>
          <w:rFonts w:cs="Arial"/>
          <w:b/>
          <w:snapToGrid w:val="0"/>
          <w:lang w:val="es-ES"/>
        </w:rPr>
        <w:t>5</w:t>
      </w:r>
      <w:r w:rsidRPr="00EB3D94">
        <w:rPr>
          <w:rFonts w:cs="Arial"/>
          <w:snapToGrid w:val="0"/>
          <w:lang w:val="es-ES"/>
        </w:rPr>
        <w:t xml:space="preserve"> </w:t>
      </w:r>
      <w:r w:rsidRPr="00EB3D94">
        <w:rPr>
          <w:rFonts w:cs="Arial"/>
          <w:lang w:val="es-ES"/>
        </w:rPr>
        <w:t>Las especificaciones técnicas necesarias para la presentación electrónica de ofertas se encuentran disponibles en el apartado de “Licitación electrónica” de la Plataforma de Servicios de Contratación Pública, a la dirección web siguiente:</w:t>
      </w:r>
    </w:p>
    <w:p w14:paraId="6B2D5BA2" w14:textId="77777777" w:rsidR="0013483A" w:rsidRPr="00EB3D94" w:rsidRDefault="00EB3D94" w:rsidP="00BC4866">
      <w:pPr>
        <w:autoSpaceDE w:val="0"/>
        <w:autoSpaceDN w:val="0"/>
        <w:adjustRightInd w:val="0"/>
        <w:jc w:val="both"/>
        <w:rPr>
          <w:rStyle w:val="Enlla"/>
          <w:color w:val="auto"/>
          <w:lang w:val="es-ES"/>
        </w:rPr>
      </w:pPr>
      <w:hyperlink r:id="rId10" w:history="1">
        <w:r w:rsidR="0013483A" w:rsidRPr="00EB3D94">
          <w:rPr>
            <w:rStyle w:val="Enlla"/>
            <w:color w:val="auto"/>
            <w:lang w:val="es-ES"/>
          </w:rPr>
          <w:t>https://contractaciopublica.cat/ca/manuals/usuari</w:t>
        </w:r>
      </w:hyperlink>
    </w:p>
    <w:p w14:paraId="46214FAF" w14:textId="77777777" w:rsidR="00D02E41" w:rsidRPr="00EB3D94" w:rsidRDefault="00D02E41" w:rsidP="00BC4866">
      <w:pPr>
        <w:autoSpaceDE w:val="0"/>
        <w:autoSpaceDN w:val="0"/>
        <w:adjustRightInd w:val="0"/>
        <w:jc w:val="both"/>
        <w:rPr>
          <w:rFonts w:cs="Arial"/>
          <w:i/>
          <w:lang w:val="es-ES"/>
        </w:rPr>
      </w:pPr>
    </w:p>
    <w:p w14:paraId="06FAD3E7" w14:textId="3D0A5CE1" w:rsidR="00D02E41" w:rsidRPr="00EB3D94" w:rsidRDefault="00D02E41" w:rsidP="00BC4866">
      <w:pPr>
        <w:tabs>
          <w:tab w:val="left" w:pos="0"/>
          <w:tab w:val="left" w:pos="680"/>
          <w:tab w:val="left" w:pos="1473"/>
          <w:tab w:val="left" w:pos="4320"/>
        </w:tabs>
        <w:jc w:val="both"/>
        <w:rPr>
          <w:rFonts w:cs="Arial"/>
          <w:snapToGrid w:val="0"/>
          <w:lang w:val="es-ES"/>
        </w:rPr>
      </w:pPr>
      <w:r w:rsidRPr="00EB3D94">
        <w:rPr>
          <w:rFonts w:cs="Arial"/>
          <w:b/>
          <w:snapToGrid w:val="0"/>
          <w:lang w:val="es-ES"/>
        </w:rPr>
        <w:t>9.</w:t>
      </w:r>
      <w:r w:rsidR="00CC6C74" w:rsidRPr="00EB3D94">
        <w:rPr>
          <w:rFonts w:cs="Arial"/>
          <w:b/>
          <w:snapToGrid w:val="0"/>
          <w:lang w:val="es-ES"/>
        </w:rPr>
        <w:t>6</w:t>
      </w:r>
      <w:r w:rsidRPr="00EB3D94">
        <w:rPr>
          <w:rFonts w:cs="Arial"/>
          <w:snapToGrid w:val="0"/>
          <w:lang w:val="es-ES"/>
        </w:rPr>
        <w:t xml:space="preserve"> De acuerdo con el artículo 23 del RGLCAP, las empresas extranjeras </w:t>
      </w:r>
      <w:r w:rsidR="00A25938" w:rsidRPr="00EB3D94">
        <w:rPr>
          <w:rFonts w:cs="Arial"/>
          <w:snapToGrid w:val="0"/>
          <w:lang w:val="es-ES"/>
        </w:rPr>
        <w:t xml:space="preserve">deben </w:t>
      </w:r>
      <w:r w:rsidRPr="00EB3D94">
        <w:rPr>
          <w:rFonts w:cs="Arial"/>
          <w:snapToGrid w:val="0"/>
          <w:lang w:val="es-ES"/>
        </w:rPr>
        <w:t>presentar la documentación traducida de forma oficial al catalán y/o al castellano.</w:t>
      </w:r>
    </w:p>
    <w:p w14:paraId="5FA00AE6" w14:textId="77777777" w:rsidR="00D02E41" w:rsidRPr="00EB3D94" w:rsidRDefault="00D02E41" w:rsidP="00BC4866">
      <w:pPr>
        <w:tabs>
          <w:tab w:val="left" w:pos="0"/>
          <w:tab w:val="left" w:pos="680"/>
          <w:tab w:val="left" w:pos="1473"/>
          <w:tab w:val="left" w:pos="4320"/>
        </w:tabs>
        <w:jc w:val="both"/>
        <w:rPr>
          <w:rFonts w:cs="Arial"/>
          <w:i/>
          <w:lang w:val="es-ES"/>
        </w:rPr>
      </w:pPr>
    </w:p>
    <w:p w14:paraId="19CF0C6C" w14:textId="6F3F79E4" w:rsidR="00D02E41" w:rsidRPr="00EB3D94" w:rsidRDefault="00CC6C74" w:rsidP="00BC4866">
      <w:pPr>
        <w:tabs>
          <w:tab w:val="left" w:pos="0"/>
          <w:tab w:val="left" w:pos="680"/>
          <w:tab w:val="left" w:pos="1473"/>
          <w:tab w:val="left" w:pos="4320"/>
        </w:tabs>
        <w:jc w:val="both"/>
        <w:rPr>
          <w:rFonts w:cs="Arial"/>
          <w:lang w:val="es-ES"/>
        </w:rPr>
      </w:pPr>
      <w:r w:rsidRPr="00EB3D94">
        <w:rPr>
          <w:rFonts w:cs="Arial"/>
          <w:b/>
          <w:lang w:val="es-ES"/>
        </w:rPr>
        <w:lastRenderedPageBreak/>
        <w:t>9.7</w:t>
      </w:r>
      <w:r w:rsidR="00D02E41" w:rsidRPr="00EB3D94">
        <w:rPr>
          <w:rFonts w:cs="Arial"/>
          <w:b/>
          <w:lang w:val="es-ES"/>
        </w:rPr>
        <w:t xml:space="preserve"> </w:t>
      </w:r>
      <w:r w:rsidR="00D02E41" w:rsidRPr="00EB3D94">
        <w:rPr>
          <w:rFonts w:cs="Arial"/>
          <w:lang w:val="es-ES"/>
        </w:rPr>
        <w:t xml:space="preserve">Las personas interesadas en el procedimiento de licitación podrán solicitar en el órgano de contratación información adicional sobre </w:t>
      </w:r>
      <w:r w:rsidR="00EB2DC9" w:rsidRPr="00EB3D94">
        <w:rPr>
          <w:rFonts w:cs="Arial"/>
          <w:lang w:val="es-ES"/>
        </w:rPr>
        <w:t>los pliegos</w:t>
      </w:r>
      <w:r w:rsidR="00D02E41" w:rsidRPr="00EB3D94">
        <w:rPr>
          <w:rFonts w:cs="Arial"/>
          <w:lang w:val="es-ES"/>
        </w:rPr>
        <w:t xml:space="preserve"> y demás documentación complementaria, </w:t>
      </w:r>
      <w:r w:rsidR="00EB2DC9" w:rsidRPr="00EB3D94">
        <w:rPr>
          <w:rFonts w:cs="Arial"/>
          <w:lang w:val="es-ES"/>
        </w:rPr>
        <w:t xml:space="preserve">la </w:t>
      </w:r>
      <w:r w:rsidR="00D02E41" w:rsidRPr="00EB3D94">
        <w:rPr>
          <w:rFonts w:cs="Arial"/>
          <w:lang w:val="es-ES"/>
        </w:rPr>
        <w:t xml:space="preserve">cual la facilitará al menos </w:t>
      </w:r>
      <w:r w:rsidR="00CA08E0" w:rsidRPr="00EB3D94">
        <w:rPr>
          <w:rFonts w:cs="Arial"/>
          <w:b/>
          <w:lang w:val="es-ES"/>
        </w:rPr>
        <w:t>4</w:t>
      </w:r>
      <w:r w:rsidR="00D02E41" w:rsidRPr="00EB3D94">
        <w:rPr>
          <w:rFonts w:cs="Arial"/>
          <w:lang w:val="es-ES"/>
        </w:rPr>
        <w:t xml:space="preserve"> días antes de los cuales finalice el plazo fijado para la presentación de ofertas, siempre que </w:t>
      </w:r>
      <w:r w:rsidR="00A35E6F" w:rsidRPr="00EB3D94">
        <w:rPr>
          <w:rFonts w:cs="Arial"/>
          <w:lang w:val="es-ES"/>
        </w:rPr>
        <w:t>lo hayan</w:t>
      </w:r>
      <w:r w:rsidR="00D02E41" w:rsidRPr="00EB3D94">
        <w:rPr>
          <w:rFonts w:cs="Arial"/>
          <w:lang w:val="es-ES"/>
        </w:rPr>
        <w:t xml:space="preserve"> pedido al menos </w:t>
      </w:r>
      <w:r w:rsidR="00CA08E0" w:rsidRPr="00EB3D94">
        <w:rPr>
          <w:rFonts w:cs="Arial"/>
          <w:b/>
          <w:lang w:val="es-ES"/>
        </w:rPr>
        <w:t>5</w:t>
      </w:r>
      <w:r w:rsidR="00D02E41" w:rsidRPr="00EB3D94">
        <w:rPr>
          <w:rFonts w:cs="Arial"/>
          <w:lang w:val="es-ES"/>
        </w:rPr>
        <w:t xml:space="preserve"> días antes del transcurso del plazo de presentación de las proposiciones.</w:t>
      </w:r>
    </w:p>
    <w:p w14:paraId="371C502B" w14:textId="77777777" w:rsidR="00D02E41" w:rsidRPr="00EB3D94" w:rsidRDefault="00D02E41" w:rsidP="00BC4866">
      <w:pPr>
        <w:tabs>
          <w:tab w:val="left" w:pos="0"/>
          <w:tab w:val="left" w:pos="680"/>
          <w:tab w:val="left" w:pos="1473"/>
          <w:tab w:val="left" w:pos="4320"/>
        </w:tabs>
        <w:jc w:val="both"/>
        <w:rPr>
          <w:rFonts w:cs="Arial"/>
          <w:i/>
          <w:lang w:val="es-ES"/>
        </w:rPr>
      </w:pPr>
    </w:p>
    <w:p w14:paraId="543C5FA8" w14:textId="1CB0EEA7" w:rsidR="00D02E41" w:rsidRPr="00EB3D94" w:rsidRDefault="00D02E41" w:rsidP="00BC4866">
      <w:pPr>
        <w:tabs>
          <w:tab w:val="left" w:pos="0"/>
          <w:tab w:val="left" w:pos="680"/>
          <w:tab w:val="left" w:pos="1473"/>
          <w:tab w:val="left" w:pos="4320"/>
        </w:tabs>
        <w:jc w:val="both"/>
        <w:rPr>
          <w:rStyle w:val="Enlla"/>
          <w:rFonts w:cs="Arial"/>
          <w:bCs/>
          <w:color w:val="auto"/>
          <w:lang w:val="es-ES"/>
        </w:rPr>
      </w:pPr>
      <w:r w:rsidRPr="00EB3D94">
        <w:rPr>
          <w:rFonts w:cs="Arial"/>
          <w:lang w:val="es-ES"/>
        </w:rPr>
        <w:t xml:space="preserve">Las personas interesadas en el procedimiento de licitación también pueden dirigirse al órgano de contratación para solicitar aclaraciones de lo que establecen </w:t>
      </w:r>
      <w:r w:rsidR="00EB2DC9" w:rsidRPr="00EB3D94">
        <w:rPr>
          <w:rFonts w:cs="Arial"/>
          <w:lang w:val="es-ES"/>
        </w:rPr>
        <w:t>los pliegos</w:t>
      </w:r>
      <w:r w:rsidRPr="00EB3D94">
        <w:rPr>
          <w:rFonts w:cs="Arial"/>
          <w:lang w:val="es-ES"/>
        </w:rPr>
        <w:t xml:space="preserve"> o el resto de documentación, a través del apartado de preguntas y respuestas del tablón de avisos del espacio virtual de la licitación. Estas preguntas y respuestas serán públicas y accesibles a través </w:t>
      </w:r>
      <w:r w:rsidR="00EB2DC9" w:rsidRPr="00EB3D94">
        <w:rPr>
          <w:rFonts w:cs="Arial"/>
          <w:lang w:val="es-ES"/>
        </w:rPr>
        <w:t>del tablón</w:t>
      </w:r>
      <w:r w:rsidRPr="00EB3D94">
        <w:rPr>
          <w:rFonts w:cs="Arial"/>
          <w:lang w:val="es-ES"/>
        </w:rPr>
        <w:t xml:space="preserve"> mencionado, residenciado en el perfil de contratante del órgano </w:t>
      </w:r>
      <w:hyperlink r:id="rId11" w:history="1">
        <w:r w:rsidRPr="00EB3D94">
          <w:rPr>
            <w:rStyle w:val="Enlla"/>
            <w:rFonts w:cs="Arial"/>
            <w:bCs/>
            <w:color w:val="auto"/>
            <w:lang w:val="es-ES"/>
          </w:rPr>
          <w:t>https://contractaciopublica.gencat.cat/perfil/eco</w:t>
        </w:r>
      </w:hyperlink>
    </w:p>
    <w:p w14:paraId="2B2E884C" w14:textId="77777777" w:rsidR="00D77B25" w:rsidRPr="00EB3D94" w:rsidRDefault="00D77B25" w:rsidP="00BC4866">
      <w:pPr>
        <w:tabs>
          <w:tab w:val="left" w:pos="0"/>
          <w:tab w:val="left" w:pos="680"/>
          <w:tab w:val="left" w:pos="1473"/>
          <w:tab w:val="left" w:pos="4320"/>
        </w:tabs>
        <w:jc w:val="both"/>
        <w:rPr>
          <w:rFonts w:cs="Arial"/>
          <w:lang w:val="es-ES"/>
        </w:rPr>
      </w:pPr>
    </w:p>
    <w:p w14:paraId="332FA467" w14:textId="77777777" w:rsidR="00D02E41" w:rsidRPr="00EB3D94" w:rsidRDefault="00D02E41" w:rsidP="00BC4866">
      <w:pPr>
        <w:tabs>
          <w:tab w:val="left" w:pos="0"/>
          <w:tab w:val="left" w:pos="680"/>
          <w:tab w:val="left" w:pos="1473"/>
          <w:tab w:val="left" w:pos="4320"/>
        </w:tabs>
        <w:jc w:val="both"/>
        <w:rPr>
          <w:rFonts w:cs="Arial"/>
          <w:lang w:val="es-ES"/>
        </w:rPr>
      </w:pPr>
      <w:r w:rsidRPr="00EB3D94">
        <w:rPr>
          <w:rFonts w:cs="Arial"/>
          <w:lang w:val="es-ES"/>
        </w:rPr>
        <w:t xml:space="preserve">Las respuestas a las </w:t>
      </w:r>
      <w:r w:rsidR="00A35E6F" w:rsidRPr="00EB3D94">
        <w:rPr>
          <w:rFonts w:cs="Arial"/>
          <w:lang w:val="es-ES"/>
        </w:rPr>
        <w:t>solicitudes</w:t>
      </w:r>
      <w:r w:rsidRPr="00EB3D94">
        <w:rPr>
          <w:rFonts w:cs="Arial"/>
          <w:lang w:val="es-ES"/>
        </w:rPr>
        <w:t xml:space="preserve"> de aclaraciones hechas a través de los medios establecidos y de las cuales pueda quedar constancia escrita tendrán carácter vinculante.</w:t>
      </w:r>
    </w:p>
    <w:p w14:paraId="45C2C042" w14:textId="77777777" w:rsidR="00D02E41" w:rsidRPr="00EB3D94" w:rsidRDefault="00D02E41" w:rsidP="00BC4866">
      <w:pPr>
        <w:tabs>
          <w:tab w:val="left" w:pos="0"/>
          <w:tab w:val="left" w:pos="680"/>
          <w:tab w:val="left" w:pos="1473"/>
          <w:tab w:val="left" w:pos="4320"/>
        </w:tabs>
        <w:jc w:val="both"/>
        <w:rPr>
          <w:rFonts w:cs="Arial"/>
          <w:b/>
          <w:snapToGrid w:val="0"/>
          <w:lang w:val="es-ES"/>
        </w:rPr>
      </w:pPr>
    </w:p>
    <w:p w14:paraId="5B5690B2" w14:textId="2B73C336" w:rsidR="00D02E41" w:rsidRPr="00EB3D94" w:rsidRDefault="00D77B25" w:rsidP="00BC4866">
      <w:pPr>
        <w:tabs>
          <w:tab w:val="left" w:pos="0"/>
          <w:tab w:val="left" w:pos="680"/>
          <w:tab w:val="left" w:pos="1473"/>
          <w:tab w:val="left" w:pos="4320"/>
        </w:tabs>
        <w:jc w:val="both"/>
        <w:rPr>
          <w:rFonts w:cs="Arial"/>
          <w:snapToGrid w:val="0"/>
          <w:lang w:val="es-ES"/>
        </w:rPr>
      </w:pPr>
      <w:r w:rsidRPr="00EB3D94">
        <w:rPr>
          <w:rFonts w:cs="Arial"/>
          <w:b/>
          <w:snapToGrid w:val="0"/>
          <w:lang w:val="es-ES"/>
        </w:rPr>
        <w:t>9.</w:t>
      </w:r>
      <w:r w:rsidR="00CC6C74" w:rsidRPr="00EB3D94">
        <w:rPr>
          <w:rFonts w:cs="Arial"/>
          <w:b/>
          <w:snapToGrid w:val="0"/>
          <w:lang w:val="es-ES"/>
        </w:rPr>
        <w:t>8</w:t>
      </w:r>
      <w:r w:rsidR="00D02E41" w:rsidRPr="00EB3D94">
        <w:rPr>
          <w:rFonts w:cs="Arial"/>
          <w:snapToGrid w:val="0"/>
          <w:lang w:val="es-ES"/>
        </w:rPr>
        <w:t xml:space="preserve"> Las proposiciones son secretas y su presentación supone la aceptación incondicionada por parte de la empresa licitadora del contenido del presente</w:t>
      </w:r>
      <w:r w:rsidR="000277F2" w:rsidRPr="00EB3D94">
        <w:rPr>
          <w:rFonts w:cs="Arial"/>
          <w:snapToGrid w:val="0"/>
          <w:lang w:val="es-ES"/>
        </w:rPr>
        <w:t xml:space="preserve"> pliego, </w:t>
      </w:r>
      <w:r w:rsidR="00D02E41" w:rsidRPr="00EB3D94">
        <w:rPr>
          <w:rFonts w:cs="Arial"/>
          <w:snapToGrid w:val="0"/>
          <w:lang w:val="es-ES"/>
        </w:rPr>
        <w:t xml:space="preserve">así como </w:t>
      </w:r>
      <w:r w:rsidR="000277F2" w:rsidRPr="00EB3D94">
        <w:rPr>
          <w:rFonts w:cs="Arial"/>
          <w:snapToGrid w:val="0"/>
          <w:lang w:val="es-ES"/>
        </w:rPr>
        <w:t>del pliego</w:t>
      </w:r>
      <w:r w:rsidR="00D02E41" w:rsidRPr="00EB3D94">
        <w:rPr>
          <w:rFonts w:cs="Arial"/>
          <w:snapToGrid w:val="0"/>
          <w:lang w:val="es-ES"/>
        </w:rPr>
        <w:t xml:space="preserve"> de prescripciones técnicas, así como la autorización en la mesa y en el órgano de contratación para consultar los datos que recoge</w:t>
      </w:r>
      <w:r w:rsidR="000277F2" w:rsidRPr="00EB3D94">
        <w:rPr>
          <w:rFonts w:cs="Arial"/>
          <w:snapToGrid w:val="0"/>
          <w:lang w:val="es-ES"/>
        </w:rPr>
        <w:t xml:space="preserve"> </w:t>
      </w:r>
      <w:r w:rsidR="00D02E41" w:rsidRPr="00EB3D94">
        <w:rPr>
          <w:rFonts w:cs="Arial"/>
          <w:snapToGrid w:val="0"/>
          <w:lang w:val="es-ES"/>
        </w:rPr>
        <w:t>el Registro Electrónico de Empresas Licitadoras de la Generalitat de Catalunya o el  Registro oficial de licitadores y empresas clasificadas del sector público,</w:t>
      </w:r>
      <w:r w:rsidR="000277F2" w:rsidRPr="00EB3D94">
        <w:rPr>
          <w:rFonts w:cs="Arial"/>
          <w:snapToGrid w:val="0"/>
          <w:lang w:val="es-ES"/>
        </w:rPr>
        <w:t xml:space="preserve"> </w:t>
      </w:r>
      <w:r w:rsidR="00D02E41" w:rsidRPr="00EB3D94">
        <w:rPr>
          <w:rFonts w:cs="Arial"/>
          <w:snapToGrid w:val="0"/>
          <w:lang w:val="es-ES"/>
        </w:rPr>
        <w:t>o las listas oficiales de operadores económicos de un Estado miembro de la Unión Europea.</w:t>
      </w:r>
    </w:p>
    <w:p w14:paraId="22F9EC02" w14:textId="77777777" w:rsidR="00B529FA" w:rsidRPr="00EB3D94" w:rsidRDefault="00B529FA" w:rsidP="00BC4866">
      <w:pPr>
        <w:tabs>
          <w:tab w:val="left" w:pos="0"/>
          <w:tab w:val="left" w:pos="680"/>
          <w:tab w:val="left" w:pos="1473"/>
          <w:tab w:val="left" w:pos="4320"/>
        </w:tabs>
        <w:jc w:val="both"/>
        <w:rPr>
          <w:rFonts w:cs="Arial"/>
          <w:b/>
          <w:snapToGrid w:val="0"/>
          <w:lang w:val="es-ES"/>
        </w:rPr>
      </w:pPr>
    </w:p>
    <w:p w14:paraId="68DFDF6B" w14:textId="77777777" w:rsidR="00735E12" w:rsidRPr="00EB3D94" w:rsidRDefault="00415B2B" w:rsidP="00BC4866">
      <w:pPr>
        <w:tabs>
          <w:tab w:val="left" w:pos="0"/>
          <w:tab w:val="left" w:pos="680"/>
          <w:tab w:val="left" w:pos="1473"/>
          <w:tab w:val="left" w:pos="4320"/>
        </w:tabs>
        <w:jc w:val="both"/>
        <w:rPr>
          <w:rFonts w:cs="Arial"/>
          <w:b/>
          <w:snapToGrid w:val="0"/>
          <w:lang w:val="es-ES"/>
        </w:rPr>
      </w:pPr>
      <w:r w:rsidRPr="00EB3D94">
        <w:rPr>
          <w:rFonts w:cs="Arial"/>
          <w:b/>
          <w:snapToGrid w:val="0"/>
          <w:lang w:val="es-ES"/>
        </w:rPr>
        <w:t>9.</w:t>
      </w:r>
      <w:r w:rsidR="00CC6C74" w:rsidRPr="00EB3D94">
        <w:rPr>
          <w:rFonts w:cs="Arial"/>
          <w:b/>
          <w:snapToGrid w:val="0"/>
          <w:lang w:val="es-ES"/>
        </w:rPr>
        <w:t>9</w:t>
      </w:r>
      <w:r w:rsidRPr="00EB3D94">
        <w:rPr>
          <w:rFonts w:cs="Arial"/>
          <w:b/>
          <w:snapToGrid w:val="0"/>
          <w:lang w:val="es-ES"/>
        </w:rPr>
        <w:t xml:space="preserve"> </w:t>
      </w:r>
      <w:r w:rsidR="00735E12" w:rsidRPr="00EB3D94">
        <w:rPr>
          <w:rFonts w:cs="Arial"/>
          <w:b/>
          <w:snapToGrid w:val="0"/>
          <w:lang w:val="es-ES"/>
        </w:rPr>
        <w:t>Sobres a presentar</w:t>
      </w:r>
      <w:r w:rsidR="00B74D31" w:rsidRPr="00EB3D94">
        <w:rPr>
          <w:rFonts w:cs="Arial"/>
          <w:b/>
          <w:snapToGrid w:val="0"/>
          <w:lang w:val="es-ES"/>
        </w:rPr>
        <w:t xml:space="preserve"> y contenido del mismos</w:t>
      </w:r>
    </w:p>
    <w:p w14:paraId="6F8AEBC7" w14:textId="77777777" w:rsidR="00735E12" w:rsidRPr="00EB3D94" w:rsidRDefault="00735E12" w:rsidP="00BC4866">
      <w:pPr>
        <w:tabs>
          <w:tab w:val="left" w:pos="0"/>
          <w:tab w:val="left" w:pos="680"/>
          <w:tab w:val="left" w:pos="1473"/>
          <w:tab w:val="left" w:pos="4320"/>
        </w:tabs>
        <w:jc w:val="both"/>
        <w:rPr>
          <w:rFonts w:cs="Arial"/>
          <w:b/>
          <w:snapToGrid w:val="0"/>
          <w:lang w:val="es-ES"/>
        </w:rPr>
      </w:pPr>
    </w:p>
    <w:p w14:paraId="3F841E50" w14:textId="77777777" w:rsidR="00D6751A" w:rsidRPr="00EB3D94" w:rsidRDefault="00735E12" w:rsidP="00BC4866">
      <w:pPr>
        <w:pStyle w:val="Pargrafdellista"/>
        <w:ind w:left="0"/>
        <w:contextualSpacing/>
        <w:jc w:val="both"/>
        <w:rPr>
          <w:rFonts w:cs="Arial"/>
          <w:snapToGrid w:val="0"/>
          <w:szCs w:val="22"/>
          <w:lang w:val="es-ES"/>
        </w:rPr>
      </w:pPr>
      <w:r w:rsidRPr="00EB3D94">
        <w:rPr>
          <w:rFonts w:cs="Arial"/>
          <w:snapToGrid w:val="0"/>
          <w:lang w:val="es-ES"/>
        </w:rPr>
        <w:t xml:space="preserve">En este expediente se prevé la </w:t>
      </w:r>
      <w:r w:rsidRPr="00EB3D94">
        <w:rPr>
          <w:rFonts w:cs="Arial"/>
          <w:b/>
          <w:snapToGrid w:val="0"/>
          <w:lang w:val="es-ES"/>
        </w:rPr>
        <w:t>presentación de 2 sobres</w:t>
      </w:r>
      <w:r w:rsidRPr="00EB3D94">
        <w:rPr>
          <w:rFonts w:cs="Arial"/>
          <w:snapToGrid w:val="0"/>
          <w:lang w:val="es-ES"/>
        </w:rPr>
        <w:t xml:space="preserve">, cuyo contenido se recoge a la cláusula siguiente. </w:t>
      </w:r>
      <w:r w:rsidR="00D6751A" w:rsidRPr="00EB3D94">
        <w:rPr>
          <w:rFonts w:cs="Arial"/>
          <w:snapToGrid w:val="0"/>
          <w:szCs w:val="22"/>
          <w:lang w:val="es-ES"/>
        </w:rPr>
        <w:t>de acuerdo con la siguiente distribución:</w:t>
      </w:r>
    </w:p>
    <w:p w14:paraId="4A8BC7FE" w14:textId="77777777" w:rsidR="00D6751A" w:rsidRPr="00EB3D94" w:rsidRDefault="00D6751A" w:rsidP="00BC4866">
      <w:pPr>
        <w:pStyle w:val="Pargrafdellista"/>
        <w:ind w:left="360"/>
        <w:jc w:val="both"/>
        <w:rPr>
          <w:rFonts w:cs="Arial"/>
          <w:snapToGrid w:val="0"/>
          <w:szCs w:val="22"/>
          <w:lang w:val="es-ES"/>
        </w:rPr>
      </w:pPr>
    </w:p>
    <w:p w14:paraId="6F842872" w14:textId="77777777" w:rsidR="00D6751A" w:rsidRPr="00EB3D94" w:rsidRDefault="00D6751A" w:rsidP="00BC4866">
      <w:pPr>
        <w:pStyle w:val="Textindependent2"/>
        <w:numPr>
          <w:ilvl w:val="1"/>
          <w:numId w:val="27"/>
        </w:numPr>
        <w:tabs>
          <w:tab w:val="clear" w:pos="1080"/>
          <w:tab w:val="left" w:pos="567"/>
          <w:tab w:val="num" w:pos="1364"/>
        </w:tabs>
        <w:spacing w:after="0" w:line="240" w:lineRule="auto"/>
        <w:ind w:left="568" w:hanging="284"/>
        <w:jc w:val="both"/>
        <w:outlineLvl w:val="0"/>
        <w:rPr>
          <w:rFonts w:cs="Arial"/>
          <w:szCs w:val="22"/>
          <w:lang w:val="es-ES"/>
        </w:rPr>
      </w:pPr>
      <w:r w:rsidRPr="00EB3D94">
        <w:rPr>
          <w:rFonts w:cs="Arial"/>
          <w:szCs w:val="22"/>
          <w:lang w:val="es-ES"/>
        </w:rPr>
        <w:t>Sobre A: Documentación administrativa. Concretamente:</w:t>
      </w:r>
    </w:p>
    <w:p w14:paraId="3C10A110" w14:textId="77777777" w:rsidR="00D6751A" w:rsidRPr="00EB3D94" w:rsidRDefault="00D6751A" w:rsidP="00BC4866">
      <w:pPr>
        <w:pStyle w:val="Textindependent2"/>
        <w:tabs>
          <w:tab w:val="left" w:pos="567"/>
        </w:tabs>
        <w:spacing w:after="0" w:line="240" w:lineRule="auto"/>
        <w:ind w:left="284"/>
        <w:jc w:val="both"/>
        <w:outlineLvl w:val="0"/>
        <w:rPr>
          <w:rFonts w:cs="Arial"/>
          <w:szCs w:val="22"/>
          <w:lang w:val="es-ES"/>
        </w:rPr>
      </w:pPr>
    </w:p>
    <w:p w14:paraId="64FFC232" w14:textId="4CA4182A" w:rsidR="00B74D31" w:rsidRPr="00EB3D94" w:rsidRDefault="00D6751A" w:rsidP="00BC4866">
      <w:pPr>
        <w:pStyle w:val="Textindependent2"/>
        <w:numPr>
          <w:ilvl w:val="4"/>
          <w:numId w:val="27"/>
        </w:numPr>
        <w:tabs>
          <w:tab w:val="left" w:pos="567"/>
        </w:tabs>
        <w:spacing w:after="0" w:line="240" w:lineRule="auto"/>
        <w:ind w:left="1134" w:hanging="567"/>
        <w:jc w:val="both"/>
        <w:outlineLvl w:val="0"/>
        <w:rPr>
          <w:rFonts w:cs="Arial"/>
          <w:szCs w:val="22"/>
          <w:lang w:val="es-ES"/>
        </w:rPr>
      </w:pPr>
      <w:r w:rsidRPr="00EB3D94">
        <w:rPr>
          <w:rFonts w:cs="Arial"/>
          <w:szCs w:val="22"/>
          <w:lang w:val="es-ES"/>
        </w:rPr>
        <w:t>Documento europeo único de contratación (DEUC)</w:t>
      </w:r>
      <w:r w:rsidR="009C7D99" w:rsidRPr="00EB3D94">
        <w:rPr>
          <w:rFonts w:cs="Arial"/>
          <w:szCs w:val="22"/>
          <w:lang w:val="es-ES"/>
        </w:rPr>
        <w:t xml:space="preserve">, el cual se adjunta como anexo a </w:t>
      </w:r>
      <w:r w:rsidR="000277F2" w:rsidRPr="00EB3D94">
        <w:rPr>
          <w:rFonts w:cs="Arial"/>
          <w:szCs w:val="22"/>
          <w:lang w:val="es-ES"/>
        </w:rPr>
        <w:t>este pliego</w:t>
      </w:r>
      <w:r w:rsidR="009C7D99" w:rsidRPr="00EB3D94">
        <w:rPr>
          <w:rFonts w:cs="Arial"/>
          <w:vanish/>
          <w:szCs w:val="22"/>
          <w:lang w:val="es-ES"/>
        </w:rPr>
        <w:t>&lt;A[pliegue|pliego]&gt;</w:t>
      </w:r>
      <w:r w:rsidR="009C7D99" w:rsidRPr="00EB3D94">
        <w:rPr>
          <w:rFonts w:cs="Arial"/>
          <w:szCs w:val="22"/>
          <w:lang w:val="es-ES"/>
        </w:rPr>
        <w:t>.</w:t>
      </w:r>
    </w:p>
    <w:p w14:paraId="42C9DAC5" w14:textId="05A147BC" w:rsidR="00B74D31" w:rsidRPr="00EB3D94" w:rsidRDefault="00CC7F9E" w:rsidP="00BC4866">
      <w:pPr>
        <w:pStyle w:val="Textindependent2"/>
        <w:numPr>
          <w:ilvl w:val="4"/>
          <w:numId w:val="27"/>
        </w:numPr>
        <w:tabs>
          <w:tab w:val="left" w:pos="567"/>
        </w:tabs>
        <w:spacing w:after="0" w:line="240" w:lineRule="auto"/>
        <w:ind w:left="1134" w:hanging="567"/>
        <w:jc w:val="both"/>
        <w:outlineLvl w:val="0"/>
        <w:rPr>
          <w:rFonts w:cs="Arial"/>
          <w:szCs w:val="22"/>
          <w:lang w:val="es-ES"/>
        </w:rPr>
      </w:pPr>
      <w:r w:rsidRPr="00EB3D94">
        <w:rPr>
          <w:rFonts w:cs="Arial"/>
          <w:szCs w:val="22"/>
          <w:lang w:val="es-ES"/>
        </w:rPr>
        <w:t>Declaración de compromiso de dar cobertura a los requerimientos imprescindibles del servicio</w:t>
      </w:r>
      <w:r w:rsidR="00A35E6F" w:rsidRPr="00EB3D94">
        <w:rPr>
          <w:rFonts w:cs="Arial"/>
          <w:szCs w:val="22"/>
          <w:lang w:val="es-ES"/>
        </w:rPr>
        <w:t xml:space="preserve"> al inicio</w:t>
      </w:r>
      <w:r w:rsidRPr="00EB3D94">
        <w:rPr>
          <w:rFonts w:cs="Arial"/>
          <w:szCs w:val="22"/>
          <w:lang w:val="es-ES"/>
        </w:rPr>
        <w:t xml:space="preserve"> </w:t>
      </w:r>
      <w:r w:rsidR="00B74D31" w:rsidRPr="00EB3D94">
        <w:rPr>
          <w:rFonts w:cs="Arial"/>
          <w:szCs w:val="22"/>
          <w:lang w:val="es-ES"/>
        </w:rPr>
        <w:t xml:space="preserve">de la ejecución del contrato, de acuerdo con el modelo que se recoge en </w:t>
      </w:r>
      <w:r w:rsidR="00B74D31" w:rsidRPr="00EB3D94">
        <w:rPr>
          <w:rFonts w:cs="Arial"/>
          <w:szCs w:val="22"/>
          <w:u w:val="single"/>
          <w:lang w:val="es-ES"/>
        </w:rPr>
        <w:t xml:space="preserve">el anexo </w:t>
      </w:r>
      <w:r w:rsidR="003611E7" w:rsidRPr="00EB3D94">
        <w:rPr>
          <w:rFonts w:cs="Arial"/>
          <w:szCs w:val="22"/>
          <w:u w:val="single"/>
          <w:lang w:val="es-ES"/>
        </w:rPr>
        <w:t>2.1 para el LOT</w:t>
      </w:r>
      <w:r w:rsidR="000277F2" w:rsidRPr="00EB3D94">
        <w:rPr>
          <w:rFonts w:cs="Arial"/>
          <w:szCs w:val="22"/>
          <w:u w:val="single"/>
          <w:lang w:val="es-ES"/>
        </w:rPr>
        <w:t>E</w:t>
      </w:r>
      <w:r w:rsidR="003611E7" w:rsidRPr="00EB3D94">
        <w:rPr>
          <w:rFonts w:cs="Arial"/>
          <w:szCs w:val="22"/>
          <w:u w:val="single"/>
          <w:lang w:val="es-ES"/>
        </w:rPr>
        <w:t xml:space="preserve"> 1 y 2.2 para el LOT</w:t>
      </w:r>
      <w:r w:rsidR="000277F2" w:rsidRPr="00EB3D94">
        <w:rPr>
          <w:rFonts w:cs="Arial"/>
          <w:szCs w:val="22"/>
          <w:u w:val="single"/>
          <w:lang w:val="es-ES"/>
        </w:rPr>
        <w:t>E</w:t>
      </w:r>
      <w:r w:rsidR="003611E7" w:rsidRPr="00EB3D94">
        <w:rPr>
          <w:rFonts w:cs="Arial"/>
          <w:szCs w:val="22"/>
          <w:u w:val="single"/>
          <w:lang w:val="es-ES"/>
        </w:rPr>
        <w:t xml:space="preserve"> 2</w:t>
      </w:r>
      <w:r w:rsidRPr="00EB3D94">
        <w:rPr>
          <w:rFonts w:cs="Arial"/>
          <w:szCs w:val="22"/>
          <w:lang w:val="es-ES"/>
        </w:rPr>
        <w:t>.</w:t>
      </w:r>
    </w:p>
    <w:p w14:paraId="54DA92E7" w14:textId="77777777" w:rsidR="00D6751A" w:rsidRPr="00EB3D94" w:rsidRDefault="00D6751A" w:rsidP="00BC4866">
      <w:pPr>
        <w:pStyle w:val="Textindependent2"/>
        <w:numPr>
          <w:ilvl w:val="4"/>
          <w:numId w:val="27"/>
        </w:numPr>
        <w:tabs>
          <w:tab w:val="left" w:pos="567"/>
        </w:tabs>
        <w:spacing w:after="0" w:line="240" w:lineRule="auto"/>
        <w:ind w:left="1134" w:hanging="567"/>
        <w:jc w:val="both"/>
        <w:outlineLvl w:val="0"/>
        <w:rPr>
          <w:rFonts w:cs="Arial"/>
          <w:szCs w:val="22"/>
          <w:lang w:val="es-ES"/>
        </w:rPr>
      </w:pPr>
      <w:r w:rsidRPr="00EB3D94">
        <w:rPr>
          <w:rFonts w:cs="Arial"/>
          <w:szCs w:val="22"/>
          <w:lang w:val="es-ES"/>
        </w:rPr>
        <w:t>En caso de empresa extranjera, declaración de sumisión a los juzgados y tribunales españoles.</w:t>
      </w:r>
    </w:p>
    <w:p w14:paraId="604291DD" w14:textId="77777777" w:rsidR="00D6751A" w:rsidRPr="00EB3D94" w:rsidRDefault="00D6751A" w:rsidP="00BC4866">
      <w:pPr>
        <w:pStyle w:val="Textindependent2"/>
        <w:tabs>
          <w:tab w:val="left" w:pos="567"/>
        </w:tabs>
        <w:spacing w:after="0" w:line="240" w:lineRule="auto"/>
        <w:ind w:left="928"/>
        <w:jc w:val="both"/>
        <w:outlineLvl w:val="0"/>
        <w:rPr>
          <w:rFonts w:cs="Arial"/>
          <w:szCs w:val="22"/>
          <w:lang w:val="es-ES"/>
        </w:rPr>
      </w:pPr>
    </w:p>
    <w:p w14:paraId="74E2C557" w14:textId="77777777" w:rsidR="00D6751A" w:rsidRPr="00EB3D94" w:rsidRDefault="00D6751A" w:rsidP="00BC4866">
      <w:pPr>
        <w:pStyle w:val="Textindependent2"/>
        <w:numPr>
          <w:ilvl w:val="1"/>
          <w:numId w:val="27"/>
        </w:numPr>
        <w:tabs>
          <w:tab w:val="left" w:pos="567"/>
        </w:tabs>
        <w:spacing w:after="0" w:line="240" w:lineRule="auto"/>
        <w:ind w:left="568" w:hanging="284"/>
        <w:jc w:val="both"/>
        <w:outlineLvl w:val="0"/>
        <w:rPr>
          <w:rFonts w:cs="Arial"/>
          <w:szCs w:val="22"/>
          <w:lang w:val="es-ES"/>
        </w:rPr>
      </w:pPr>
      <w:r w:rsidRPr="00EB3D94">
        <w:rPr>
          <w:rFonts w:cs="Arial"/>
          <w:szCs w:val="22"/>
          <w:lang w:val="es-ES"/>
        </w:rPr>
        <w:t xml:space="preserve">Sobre B: Documentación relativa a los criterios </w:t>
      </w:r>
      <w:r w:rsidRPr="00EB3D94">
        <w:rPr>
          <w:rFonts w:cs="Arial"/>
          <w:szCs w:val="22"/>
          <w:u w:val="single"/>
          <w:lang w:val="es-ES"/>
        </w:rPr>
        <w:t>cuantificables automáticamente</w:t>
      </w:r>
      <w:r w:rsidRPr="00EB3D94">
        <w:rPr>
          <w:rFonts w:cs="Arial"/>
          <w:szCs w:val="22"/>
          <w:lang w:val="es-ES"/>
        </w:rPr>
        <w:t>.</w:t>
      </w:r>
    </w:p>
    <w:p w14:paraId="3AB996B0" w14:textId="77777777" w:rsidR="00D6751A" w:rsidRPr="00EB3D94" w:rsidRDefault="00D6751A" w:rsidP="00BC4866">
      <w:pPr>
        <w:pStyle w:val="Textindependent2"/>
        <w:tabs>
          <w:tab w:val="left" w:pos="567"/>
        </w:tabs>
        <w:spacing w:after="0" w:line="240" w:lineRule="auto"/>
        <w:ind w:left="568"/>
        <w:jc w:val="both"/>
        <w:outlineLvl w:val="0"/>
        <w:rPr>
          <w:rFonts w:cs="Arial"/>
          <w:szCs w:val="22"/>
          <w:lang w:val="es-ES"/>
        </w:rPr>
      </w:pPr>
    </w:p>
    <w:p w14:paraId="7CD6AFFB" w14:textId="55628D5A" w:rsidR="00D6751A" w:rsidRPr="00EB3D94" w:rsidRDefault="00D6751A" w:rsidP="00BC4866">
      <w:pPr>
        <w:pStyle w:val="Textindependent2"/>
        <w:tabs>
          <w:tab w:val="left" w:pos="567"/>
        </w:tabs>
        <w:spacing w:after="0" w:line="240" w:lineRule="auto"/>
        <w:ind w:left="568"/>
        <w:jc w:val="both"/>
        <w:outlineLvl w:val="0"/>
        <w:rPr>
          <w:rFonts w:cs="Arial"/>
          <w:szCs w:val="22"/>
          <w:lang w:val="es-ES"/>
        </w:rPr>
      </w:pPr>
      <w:r w:rsidRPr="00EB3D94">
        <w:rPr>
          <w:rFonts w:cs="Arial"/>
          <w:szCs w:val="22"/>
          <w:lang w:val="es-ES"/>
        </w:rPr>
        <w:t>Dado que en este contrato la totalidad de criterios</w:t>
      </w:r>
      <w:r w:rsidR="00B74D31" w:rsidRPr="00EB3D94">
        <w:rPr>
          <w:rFonts w:cs="Arial"/>
          <w:szCs w:val="22"/>
          <w:lang w:val="es-ES"/>
        </w:rPr>
        <w:t>, establecidos en la cláusula décima, son</w:t>
      </w:r>
      <w:r w:rsidRPr="00EB3D94">
        <w:rPr>
          <w:rFonts w:cs="Arial"/>
          <w:szCs w:val="22"/>
          <w:lang w:val="es-ES"/>
        </w:rPr>
        <w:t xml:space="preserve"> cuantificables automáticamente se presentará en este sobre la documentación que dé respuesta a los mismos.</w:t>
      </w:r>
      <w:r w:rsidR="00B74D31" w:rsidRPr="00EB3D94">
        <w:rPr>
          <w:rFonts w:cs="Arial"/>
          <w:szCs w:val="22"/>
          <w:lang w:val="es-ES"/>
        </w:rPr>
        <w:t xml:space="preserve"> Concretamente se </w:t>
      </w:r>
      <w:r w:rsidR="00E23614" w:rsidRPr="00EB3D94">
        <w:rPr>
          <w:rFonts w:cs="Arial"/>
          <w:szCs w:val="22"/>
          <w:lang w:val="es-ES"/>
        </w:rPr>
        <w:t>deberá</w:t>
      </w:r>
      <w:r w:rsidR="00B74D31" w:rsidRPr="00EB3D94">
        <w:rPr>
          <w:rFonts w:cs="Arial"/>
          <w:szCs w:val="22"/>
          <w:lang w:val="es-ES"/>
        </w:rPr>
        <w:t xml:space="preserve"> presentar la propuesta de que se recoge en </w:t>
      </w:r>
      <w:r w:rsidR="003611E7" w:rsidRPr="00EB3D94">
        <w:rPr>
          <w:rFonts w:cs="Arial"/>
          <w:szCs w:val="22"/>
          <w:u w:val="single"/>
          <w:lang w:val="es-ES"/>
        </w:rPr>
        <w:t>el anexo 3</w:t>
      </w:r>
      <w:r w:rsidR="00530302" w:rsidRPr="00EB3D94">
        <w:rPr>
          <w:rFonts w:cs="Arial"/>
          <w:szCs w:val="22"/>
          <w:u w:val="single"/>
          <w:lang w:val="es-ES"/>
        </w:rPr>
        <w:t>.1 para el LOT</w:t>
      </w:r>
      <w:r w:rsidR="00E8460B" w:rsidRPr="00EB3D94">
        <w:rPr>
          <w:rFonts w:cs="Arial"/>
          <w:szCs w:val="22"/>
          <w:u w:val="single"/>
          <w:lang w:val="es-ES"/>
        </w:rPr>
        <w:t>E</w:t>
      </w:r>
      <w:r w:rsidR="00530302" w:rsidRPr="00EB3D94">
        <w:rPr>
          <w:rFonts w:cs="Arial"/>
          <w:szCs w:val="22"/>
          <w:u w:val="single"/>
          <w:lang w:val="es-ES"/>
        </w:rPr>
        <w:t xml:space="preserve"> 1 y el a</w:t>
      </w:r>
      <w:r w:rsidR="003611E7" w:rsidRPr="00EB3D94">
        <w:rPr>
          <w:rFonts w:cs="Arial"/>
          <w:szCs w:val="22"/>
          <w:u w:val="single"/>
          <w:lang w:val="es-ES"/>
        </w:rPr>
        <w:t>nexo 3</w:t>
      </w:r>
      <w:r w:rsidR="00530302" w:rsidRPr="00EB3D94">
        <w:rPr>
          <w:rFonts w:cs="Arial"/>
          <w:szCs w:val="22"/>
          <w:u w:val="single"/>
          <w:lang w:val="es-ES"/>
        </w:rPr>
        <w:t>.2 para el LOT</w:t>
      </w:r>
      <w:r w:rsidR="00E8460B" w:rsidRPr="00EB3D94">
        <w:rPr>
          <w:rFonts w:cs="Arial"/>
          <w:szCs w:val="22"/>
          <w:u w:val="single"/>
          <w:lang w:val="es-ES"/>
        </w:rPr>
        <w:t>E</w:t>
      </w:r>
      <w:r w:rsidR="00530302" w:rsidRPr="00EB3D94">
        <w:rPr>
          <w:rFonts w:cs="Arial"/>
          <w:szCs w:val="22"/>
          <w:u w:val="single"/>
          <w:lang w:val="es-ES"/>
        </w:rPr>
        <w:t xml:space="preserve"> 2</w:t>
      </w:r>
      <w:r w:rsidR="00B74D31" w:rsidRPr="00EB3D94">
        <w:rPr>
          <w:rFonts w:cs="Arial"/>
          <w:szCs w:val="22"/>
          <w:lang w:val="es-ES"/>
        </w:rPr>
        <w:t>.</w:t>
      </w:r>
    </w:p>
    <w:p w14:paraId="532A2C6A" w14:textId="77777777" w:rsidR="00735E12" w:rsidRPr="00EB3D94" w:rsidRDefault="00735E12" w:rsidP="00BC4866">
      <w:pPr>
        <w:tabs>
          <w:tab w:val="left" w:pos="0"/>
          <w:tab w:val="left" w:pos="680"/>
          <w:tab w:val="left" w:pos="1473"/>
          <w:tab w:val="left" w:pos="4320"/>
        </w:tabs>
        <w:jc w:val="both"/>
        <w:rPr>
          <w:rFonts w:cs="Arial"/>
          <w:b/>
          <w:snapToGrid w:val="0"/>
          <w:lang w:val="es-ES"/>
        </w:rPr>
      </w:pPr>
    </w:p>
    <w:p w14:paraId="13F6BEA5" w14:textId="67DD030C" w:rsidR="009C7D99" w:rsidRPr="00EB3D94" w:rsidRDefault="009C7D99" w:rsidP="00BC4866">
      <w:pPr>
        <w:ind w:left="568"/>
        <w:jc w:val="both"/>
        <w:rPr>
          <w:rFonts w:cs="Arial"/>
          <w:szCs w:val="22"/>
          <w:lang w:val="es-ES"/>
        </w:rPr>
      </w:pPr>
      <w:r w:rsidRPr="00EB3D94">
        <w:rPr>
          <w:rFonts w:cs="Arial"/>
          <w:szCs w:val="22"/>
          <w:lang w:val="es-ES"/>
        </w:rPr>
        <w:t>Es imprescindible</w:t>
      </w:r>
      <w:r w:rsidR="00E8460B" w:rsidRPr="00EB3D94">
        <w:rPr>
          <w:rFonts w:cs="Arial"/>
          <w:szCs w:val="22"/>
          <w:lang w:val="es-ES"/>
        </w:rPr>
        <w:t xml:space="preserve"> cumplimentar </w:t>
      </w:r>
      <w:r w:rsidRPr="00EB3D94">
        <w:rPr>
          <w:rFonts w:cs="Arial"/>
          <w:szCs w:val="22"/>
          <w:lang w:val="es-ES"/>
        </w:rPr>
        <w:t>detalladamente todos los apartados del cuadro para poder ser evaluado. No se considerarán válidas ni se puntuarán los criterios cuando la propuesta del licitador no se especifique claramente o esté abierta a casos particulares (por ejemplo, condiciones del estilo: “A estudiar en cada caso”).</w:t>
      </w:r>
    </w:p>
    <w:p w14:paraId="7BFC7523" w14:textId="77777777" w:rsidR="00415B2B" w:rsidRPr="00EB3D94" w:rsidRDefault="00415B2B" w:rsidP="00BC4866">
      <w:pPr>
        <w:jc w:val="both"/>
        <w:rPr>
          <w:rFonts w:cs="Arial"/>
          <w:lang w:val="es-ES"/>
        </w:rPr>
      </w:pPr>
    </w:p>
    <w:p w14:paraId="1F26BE92" w14:textId="582FD5E3" w:rsidR="00415B2B" w:rsidRPr="00EB3D94" w:rsidRDefault="00415B2B" w:rsidP="00BC4866">
      <w:pPr>
        <w:ind w:left="360"/>
        <w:jc w:val="both"/>
        <w:rPr>
          <w:rFonts w:cs="Arial"/>
          <w:lang w:val="es-ES"/>
        </w:rPr>
      </w:pPr>
      <w:r w:rsidRPr="00EB3D94">
        <w:rPr>
          <w:rFonts w:cs="Arial"/>
          <w:lang w:val="es-ES"/>
        </w:rPr>
        <w:t xml:space="preserve">Las proposiciones se </w:t>
      </w:r>
      <w:r w:rsidR="00A25938" w:rsidRPr="00EB3D94">
        <w:rPr>
          <w:rFonts w:cs="Arial"/>
          <w:lang w:val="es-ES"/>
        </w:rPr>
        <w:t xml:space="preserve">deben </w:t>
      </w:r>
      <w:r w:rsidRPr="00EB3D94">
        <w:rPr>
          <w:rFonts w:cs="Arial"/>
          <w:lang w:val="es-ES"/>
        </w:rPr>
        <w:t xml:space="preserve">firmar por los representantes legales de las empresas licitadoras y, en caso de tratarse de empresas que concurran con el compromiso de constituirse en UTE si </w:t>
      </w:r>
      <w:r w:rsidRPr="00EB3D94">
        <w:rPr>
          <w:rFonts w:cs="Arial"/>
          <w:lang w:val="es-ES"/>
        </w:rPr>
        <w:lastRenderedPageBreak/>
        <w:t xml:space="preserve">resultan adjudicatarias, se </w:t>
      </w:r>
      <w:r w:rsidR="00A25938" w:rsidRPr="00EB3D94">
        <w:rPr>
          <w:rFonts w:cs="Arial"/>
          <w:lang w:val="es-ES"/>
        </w:rPr>
        <w:t xml:space="preserve">deben </w:t>
      </w:r>
      <w:r w:rsidRPr="00EB3D94">
        <w:rPr>
          <w:rFonts w:cs="Arial"/>
          <w:lang w:val="es-ES"/>
        </w:rPr>
        <w:t xml:space="preserve">firmar por los representantes de todas las empresas que la componen. La persona o las personas que firmen la oferta ha o </w:t>
      </w:r>
      <w:r w:rsidR="00A25938" w:rsidRPr="00EB3D94">
        <w:rPr>
          <w:rFonts w:cs="Arial"/>
          <w:lang w:val="es-ES"/>
        </w:rPr>
        <w:t xml:space="preserve">deben </w:t>
      </w:r>
      <w:r w:rsidRPr="00EB3D94">
        <w:rPr>
          <w:rFonts w:cs="Arial"/>
          <w:lang w:val="es-ES"/>
        </w:rPr>
        <w:t>ser la persona o una de las personas firmantes del DEUC.</w:t>
      </w:r>
    </w:p>
    <w:p w14:paraId="2C69AE72" w14:textId="77777777" w:rsidR="0013483A" w:rsidRPr="00EB3D94" w:rsidRDefault="0013483A" w:rsidP="00BC4866">
      <w:pPr>
        <w:tabs>
          <w:tab w:val="left" w:pos="0"/>
          <w:tab w:val="left" w:pos="680"/>
          <w:tab w:val="left" w:pos="1473"/>
          <w:tab w:val="left" w:pos="4320"/>
        </w:tabs>
        <w:jc w:val="both"/>
        <w:rPr>
          <w:rFonts w:cs="Arial"/>
          <w:b/>
          <w:snapToGrid w:val="0"/>
          <w:lang w:val="es-ES"/>
        </w:rPr>
      </w:pPr>
    </w:p>
    <w:p w14:paraId="6D562939" w14:textId="77777777" w:rsidR="005E549D" w:rsidRPr="00EB3D94" w:rsidRDefault="0099033E" w:rsidP="00BC4866">
      <w:pPr>
        <w:autoSpaceDE w:val="0"/>
        <w:autoSpaceDN w:val="0"/>
        <w:adjustRightInd w:val="0"/>
        <w:rPr>
          <w:rFonts w:cs="Arial"/>
          <w:b/>
          <w:bCs/>
          <w:szCs w:val="22"/>
          <w:lang w:val="es-ES"/>
        </w:rPr>
      </w:pPr>
      <w:r w:rsidRPr="00EB3D94">
        <w:rPr>
          <w:rFonts w:cs="Arial"/>
          <w:b/>
          <w:szCs w:val="22"/>
          <w:lang w:val="es-ES"/>
        </w:rPr>
        <w:t>Dece</w:t>
      </w:r>
      <w:r w:rsidR="009A4D9B" w:rsidRPr="00EB3D94">
        <w:rPr>
          <w:rFonts w:cs="Arial"/>
          <w:b/>
          <w:bCs/>
          <w:szCs w:val="22"/>
          <w:lang w:val="es-ES"/>
        </w:rPr>
        <w:t xml:space="preserve">na. </w:t>
      </w:r>
      <w:r w:rsidR="00E7176D" w:rsidRPr="00EB3D94">
        <w:rPr>
          <w:rFonts w:cs="Arial"/>
          <w:b/>
          <w:bCs/>
          <w:szCs w:val="22"/>
          <w:u w:val="single"/>
          <w:lang w:val="es-ES"/>
        </w:rPr>
        <w:t>Explicación de los c</w:t>
      </w:r>
      <w:r w:rsidR="005E549D" w:rsidRPr="00EB3D94">
        <w:rPr>
          <w:rFonts w:cs="Arial"/>
          <w:b/>
          <w:bCs/>
          <w:szCs w:val="22"/>
          <w:u w:val="single"/>
          <w:lang w:val="es-ES"/>
        </w:rPr>
        <w:t>riterios de adjudicación</w:t>
      </w:r>
    </w:p>
    <w:p w14:paraId="1D78596F" w14:textId="77777777" w:rsidR="00E7176D" w:rsidRPr="00EB3D94" w:rsidRDefault="00E7176D" w:rsidP="00BC4866">
      <w:pPr>
        <w:jc w:val="both"/>
        <w:rPr>
          <w:rFonts w:cs="Arial"/>
          <w:b/>
          <w:bCs/>
          <w:szCs w:val="22"/>
          <w:lang w:val="es-ES"/>
        </w:rPr>
      </w:pPr>
    </w:p>
    <w:p w14:paraId="2D0BB631" w14:textId="77777777" w:rsidR="00E7176D" w:rsidRPr="00EB3D94" w:rsidRDefault="00E7176D" w:rsidP="00BC4866">
      <w:pPr>
        <w:jc w:val="both"/>
        <w:rPr>
          <w:rFonts w:cs="Arial"/>
          <w:b/>
          <w:bCs/>
          <w:szCs w:val="22"/>
          <w:lang w:val="es-ES"/>
        </w:rPr>
      </w:pPr>
      <w:r w:rsidRPr="00EB3D94">
        <w:rPr>
          <w:rFonts w:cs="Arial"/>
          <w:b/>
          <w:bCs/>
          <w:szCs w:val="22"/>
          <w:lang w:val="es-ES"/>
        </w:rPr>
        <w:t xml:space="preserve">1.  </w:t>
      </w:r>
      <w:r w:rsidR="00400E8B" w:rsidRPr="00EB3D94">
        <w:rPr>
          <w:rFonts w:cs="Arial"/>
          <w:b/>
          <w:bCs/>
          <w:szCs w:val="22"/>
          <w:lang w:val="es-ES"/>
        </w:rPr>
        <w:t>Obtención de las puntuaciones finales y del porcentaje del negocio</w:t>
      </w:r>
      <w:r w:rsidR="00530302" w:rsidRPr="00EB3D94">
        <w:rPr>
          <w:rFonts w:cs="Arial"/>
          <w:b/>
          <w:bCs/>
          <w:szCs w:val="22"/>
          <w:lang w:val="es-ES"/>
        </w:rPr>
        <w:t xml:space="preserve"> </w:t>
      </w:r>
    </w:p>
    <w:p w14:paraId="3559387D" w14:textId="77777777" w:rsidR="00E7176D" w:rsidRPr="00EB3D94" w:rsidRDefault="00E7176D" w:rsidP="00BC4866">
      <w:pPr>
        <w:jc w:val="both"/>
        <w:rPr>
          <w:lang w:val="es-ES"/>
        </w:rPr>
      </w:pPr>
    </w:p>
    <w:p w14:paraId="3AD8E036" w14:textId="77777777" w:rsidR="000D21D8" w:rsidRPr="00EB3D94" w:rsidRDefault="000D21D8" w:rsidP="00BC4866">
      <w:pPr>
        <w:jc w:val="both"/>
        <w:rPr>
          <w:lang w:val="es-ES"/>
        </w:rPr>
      </w:pPr>
      <w:r w:rsidRPr="00EB3D94">
        <w:rPr>
          <w:lang w:val="es-ES"/>
        </w:rPr>
        <w:t xml:space="preserve">En aplicación de los criterios de valoración para cada uno de los apartados en que se estructurará la oferta, cada una de las entidades financieras obtendrá una puntuación a la cual se aplicará la siguiente fórmula para obtener la llamada </w:t>
      </w:r>
      <w:r w:rsidRPr="00EB3D94">
        <w:rPr>
          <w:b/>
          <w:lang w:val="es-ES"/>
        </w:rPr>
        <w:t>puntuación operativa</w:t>
      </w:r>
      <w:r w:rsidRPr="00EB3D94">
        <w:rPr>
          <w:lang w:val="es-ES"/>
        </w:rPr>
        <w:t>:</w:t>
      </w:r>
    </w:p>
    <w:p w14:paraId="2D1E586D" w14:textId="77777777" w:rsidR="000D21D8" w:rsidRPr="00EB3D94" w:rsidRDefault="000D21D8" w:rsidP="00BC4866">
      <w:pPr>
        <w:jc w:val="both"/>
        <w:rPr>
          <w:lang w:val="es-ES"/>
        </w:rPr>
      </w:pPr>
    </w:p>
    <w:p w14:paraId="00331B27" w14:textId="77777777" w:rsidR="00C524F7" w:rsidRPr="00EB3D94" w:rsidRDefault="00C524F7" w:rsidP="00C524F7">
      <w:pPr>
        <w:rPr>
          <w:sz w:val="8"/>
          <w:szCs w:val="8"/>
          <w:lang w:val="es-ES"/>
        </w:rPr>
      </w:pPr>
    </w:p>
    <w:p w14:paraId="43A55A92" w14:textId="39F56AB4" w:rsidR="00C524F7" w:rsidRPr="00EB3D94" w:rsidRDefault="00972666" w:rsidP="00C524F7">
      <w:pPr>
        <w:pBdr>
          <w:top w:val="single" w:sz="4" w:space="1" w:color="auto"/>
          <w:left w:val="single" w:sz="4" w:space="4" w:color="auto"/>
          <w:bottom w:val="single" w:sz="4" w:space="1" w:color="auto"/>
          <w:right w:val="single" w:sz="4" w:space="4" w:color="auto"/>
        </w:pBdr>
        <w:rPr>
          <w:lang w:val="es-ES"/>
        </w:rPr>
      </w:pPr>
      <m:oMathPara>
        <m:oMath>
          <m:r>
            <m:rPr>
              <m:sty m:val="bi"/>
            </m:rPr>
            <w:rPr>
              <w:rFonts w:ascii="Cambria Math" w:hAnsi="Cambria Math"/>
              <w:lang w:val="es-ES"/>
            </w:rPr>
            <m:t>Puntuación Operativa E.F.</m:t>
          </m:r>
          <m:r>
            <w:rPr>
              <w:rFonts w:ascii="Cambria Math" w:hAnsi="Cambria Math"/>
              <w:lang w:val="es-ES"/>
            </w:rPr>
            <m:t xml:space="preserve">=0,5+ </m:t>
          </m:r>
          <m:f>
            <m:fPr>
              <m:ctrlPr>
                <w:rPr>
                  <w:rFonts w:ascii="Cambria Math" w:hAnsi="Cambria Math"/>
                  <w:i/>
                  <w:lang w:val="es-ES"/>
                </w:rPr>
              </m:ctrlPr>
            </m:fPr>
            <m:num>
              <m:r>
                <w:rPr>
                  <w:rFonts w:ascii="Cambria Math" w:hAnsi="Cambria Math"/>
                  <w:lang w:val="es-ES"/>
                </w:rPr>
                <m:t>Total puntos obtenidos en los Criterios Adjudicación E.F.</m:t>
              </m:r>
            </m:num>
            <m:den>
              <m:r>
                <w:rPr>
                  <w:rFonts w:ascii="Cambria Math" w:hAnsi="Cambria Math"/>
                  <w:lang w:val="es-ES"/>
                </w:rPr>
                <m:t xml:space="preserve">Total puntos obtenidos para TODAS las E.F. </m:t>
              </m:r>
            </m:den>
          </m:f>
        </m:oMath>
      </m:oMathPara>
    </w:p>
    <w:p w14:paraId="39905DBF" w14:textId="77777777" w:rsidR="000D21D8" w:rsidRPr="00EB3D94" w:rsidRDefault="000D21D8" w:rsidP="00BC4866">
      <w:pPr>
        <w:jc w:val="both"/>
        <w:rPr>
          <w:szCs w:val="22"/>
          <w:lang w:val="es-ES"/>
        </w:rPr>
      </w:pPr>
    </w:p>
    <w:p w14:paraId="72692DEB" w14:textId="77777777" w:rsidR="00C524F7" w:rsidRPr="00EB3D94" w:rsidRDefault="00C524F7" w:rsidP="00BC4866">
      <w:pPr>
        <w:jc w:val="both"/>
        <w:rPr>
          <w:szCs w:val="22"/>
          <w:lang w:val="es-ES"/>
        </w:rPr>
      </w:pPr>
      <w:r w:rsidRPr="00EB3D94">
        <w:rPr>
          <w:szCs w:val="22"/>
          <w:lang w:val="es-ES"/>
        </w:rPr>
        <w:t>El resultado se redondeará a dos decimales.</w:t>
      </w:r>
    </w:p>
    <w:p w14:paraId="48137FCA" w14:textId="77777777" w:rsidR="00C524F7" w:rsidRPr="00EB3D94" w:rsidRDefault="00C524F7" w:rsidP="00BC4866">
      <w:pPr>
        <w:jc w:val="both"/>
        <w:rPr>
          <w:szCs w:val="22"/>
          <w:lang w:val="es-ES"/>
        </w:rPr>
      </w:pPr>
    </w:p>
    <w:p w14:paraId="2F1A461F" w14:textId="0E310E20" w:rsidR="000D21D8" w:rsidRPr="00EB3D94" w:rsidRDefault="00400E8B" w:rsidP="00BC4866">
      <w:pPr>
        <w:jc w:val="both"/>
        <w:rPr>
          <w:lang w:val="es-ES"/>
        </w:rPr>
      </w:pPr>
      <w:r w:rsidRPr="00EB3D94">
        <w:rPr>
          <w:lang w:val="es-ES"/>
        </w:rPr>
        <w:t xml:space="preserve">Esta puntuación operativa </w:t>
      </w:r>
      <w:r w:rsidR="000D21D8" w:rsidRPr="00EB3D94">
        <w:rPr>
          <w:lang w:val="es-ES"/>
        </w:rPr>
        <w:t xml:space="preserve">permitirá obtener la </w:t>
      </w:r>
      <w:r w:rsidR="000D21D8" w:rsidRPr="00EB3D94">
        <w:rPr>
          <w:b/>
          <w:lang w:val="es-ES"/>
        </w:rPr>
        <w:t>puntuación tota</w:t>
      </w:r>
      <w:r w:rsidR="00415B4C" w:rsidRPr="00EB3D94">
        <w:rPr>
          <w:b/>
          <w:lang w:val="es-ES"/>
        </w:rPr>
        <w:t>l para</w:t>
      </w:r>
      <w:r w:rsidR="000D21D8" w:rsidRPr="00EB3D94">
        <w:rPr>
          <w:lang w:val="es-ES"/>
        </w:rPr>
        <w:t xml:space="preserve"> cada entidad financiera mediante la aplicación de la siguiente fórmula:</w:t>
      </w:r>
    </w:p>
    <w:p w14:paraId="1E00CFA8" w14:textId="77777777" w:rsidR="00C524F7" w:rsidRPr="00EB3D94" w:rsidRDefault="00C524F7" w:rsidP="00C524F7">
      <w:pPr>
        <w:autoSpaceDE w:val="0"/>
        <w:autoSpaceDN w:val="0"/>
        <w:adjustRightInd w:val="0"/>
        <w:jc w:val="both"/>
        <w:rPr>
          <w:rFonts w:ascii="Calibri" w:eastAsia="Times" w:hAnsi="Calibri" w:cs="Calibri"/>
          <w:lang w:val="es-ES"/>
        </w:rPr>
      </w:pPr>
    </w:p>
    <w:p w14:paraId="202B22F2" w14:textId="44CF0091" w:rsidR="00C524F7" w:rsidRPr="00EB3D94" w:rsidRDefault="00972666" w:rsidP="00C524F7">
      <w:pPr>
        <w:pBdr>
          <w:top w:val="single" w:sz="4" w:space="1" w:color="auto"/>
          <w:left w:val="single" w:sz="4" w:space="4" w:color="auto"/>
          <w:bottom w:val="single" w:sz="4" w:space="1" w:color="auto"/>
          <w:right w:val="single" w:sz="4" w:space="4" w:color="auto"/>
        </w:pBdr>
        <w:rPr>
          <w:lang w:val="es-ES"/>
        </w:rPr>
      </w:pPr>
      <m:oMathPara>
        <m:oMath>
          <m:r>
            <m:rPr>
              <m:sty m:val="bi"/>
            </m:rPr>
            <w:rPr>
              <w:rFonts w:ascii="Cambria Math" w:hAnsi="Cambria Math"/>
              <w:lang w:val="es-ES"/>
            </w:rPr>
            <m:t>Puntuación Total</m:t>
          </m:r>
          <m:r>
            <w:rPr>
              <w:rFonts w:ascii="Cambria Math" w:hAnsi="Cambria Math"/>
              <w:lang w:val="es-ES"/>
            </w:rPr>
            <m:t>= Importe finanzación ofertado E.F a valorar x Puntuación Operativa E.F a valorar</m:t>
          </m:r>
        </m:oMath>
      </m:oMathPara>
    </w:p>
    <w:p w14:paraId="4E365328" w14:textId="77777777" w:rsidR="00C524F7" w:rsidRPr="00EB3D94" w:rsidRDefault="00C524F7" w:rsidP="00C524F7">
      <w:pPr>
        <w:jc w:val="both"/>
        <w:rPr>
          <w:szCs w:val="22"/>
          <w:lang w:val="es-ES"/>
        </w:rPr>
      </w:pPr>
    </w:p>
    <w:p w14:paraId="15210FB5" w14:textId="77777777" w:rsidR="000D21D8" w:rsidRPr="00EB3D94" w:rsidRDefault="000D21D8" w:rsidP="00BC4866">
      <w:pPr>
        <w:jc w:val="both"/>
        <w:rPr>
          <w:lang w:val="es-ES"/>
        </w:rPr>
      </w:pPr>
      <w:r w:rsidRPr="00EB3D94">
        <w:rPr>
          <w:lang w:val="es-ES"/>
        </w:rPr>
        <w:t xml:space="preserve">Para repartir el </w:t>
      </w:r>
      <w:r w:rsidRPr="00EB3D94">
        <w:rPr>
          <w:u w:val="single"/>
          <w:lang w:val="es-ES"/>
        </w:rPr>
        <w:t>volumen de negocio</w:t>
      </w:r>
      <w:r w:rsidRPr="00EB3D94">
        <w:rPr>
          <w:lang w:val="es-ES"/>
        </w:rPr>
        <w:t xml:space="preserve"> entre las entidades financieras se hará la siguiente división matemática:</w:t>
      </w:r>
    </w:p>
    <w:p w14:paraId="306454FE" w14:textId="77777777" w:rsidR="00C524F7" w:rsidRPr="00EB3D94" w:rsidRDefault="00C524F7" w:rsidP="00C524F7">
      <w:pPr>
        <w:autoSpaceDE w:val="0"/>
        <w:autoSpaceDN w:val="0"/>
        <w:adjustRightInd w:val="0"/>
        <w:jc w:val="both"/>
        <w:rPr>
          <w:rFonts w:ascii="Calibri" w:eastAsia="Times" w:hAnsi="Calibri" w:cs="Calibri"/>
          <w:lang w:val="es-ES"/>
        </w:rPr>
      </w:pPr>
    </w:p>
    <w:p w14:paraId="141D5DA2" w14:textId="440E5256" w:rsidR="00C524F7" w:rsidRPr="00EB3D94" w:rsidRDefault="00972666" w:rsidP="00C524F7">
      <w:pPr>
        <w:pBdr>
          <w:top w:val="single" w:sz="4" w:space="1" w:color="auto"/>
          <w:left w:val="single" w:sz="4" w:space="4" w:color="auto"/>
          <w:bottom w:val="single" w:sz="4" w:space="1" w:color="auto"/>
          <w:right w:val="single" w:sz="4" w:space="4" w:color="auto"/>
        </w:pBdr>
        <w:rPr>
          <w:lang w:val="es-ES"/>
        </w:rPr>
      </w:pPr>
      <m:oMathPara>
        <m:oMath>
          <m:r>
            <m:rPr>
              <m:sty m:val="bi"/>
            </m:rPr>
            <w:rPr>
              <w:rFonts w:ascii="Cambria Math" w:hAnsi="Cambria Math"/>
              <w:lang w:val="es-ES"/>
            </w:rPr>
            <m:t>Volumen de negocio</m:t>
          </m:r>
          <m:r>
            <w:rPr>
              <w:rFonts w:ascii="Cambria Math" w:hAnsi="Cambria Math"/>
              <w:lang w:val="es-ES"/>
            </w:rPr>
            <m:t xml:space="preserve">= </m:t>
          </m:r>
          <m:f>
            <m:fPr>
              <m:ctrlPr>
                <w:rPr>
                  <w:rFonts w:ascii="Cambria Math" w:hAnsi="Cambria Math"/>
                  <w:i/>
                  <w:lang w:val="es-ES"/>
                </w:rPr>
              </m:ctrlPr>
            </m:fPr>
            <m:num>
              <m:r>
                <w:rPr>
                  <w:rFonts w:ascii="Cambria Math" w:hAnsi="Cambria Math"/>
                  <w:lang w:val="es-ES"/>
                </w:rPr>
                <m:t>Puntuación total E.F que se valora</m:t>
              </m:r>
            </m:num>
            <m:den>
              <m:nary>
                <m:naryPr>
                  <m:chr m:val="∑"/>
                  <m:subHide m:val="1"/>
                  <m:supHide m:val="1"/>
                  <m:ctrlPr>
                    <w:rPr>
                      <w:rFonts w:ascii="Cambria Math" w:hAnsi="Cambria Math"/>
                      <w:i/>
                      <w:lang w:val="es-ES"/>
                    </w:rPr>
                  </m:ctrlPr>
                </m:naryPr>
                <m:sub/>
                <m:sup/>
                <m:e>
                  <m:r>
                    <w:rPr>
                      <w:rFonts w:ascii="Cambria Math" w:hAnsi="Cambria Math"/>
                      <w:lang w:val="es-ES"/>
                    </w:rPr>
                    <m:t>Puntuaciones totales de todas las E.F.</m:t>
                  </m:r>
                </m:e>
              </m:nary>
            </m:den>
          </m:f>
        </m:oMath>
      </m:oMathPara>
    </w:p>
    <w:p w14:paraId="459DBCA9" w14:textId="77777777" w:rsidR="000D21D8" w:rsidRPr="00EB3D94" w:rsidRDefault="000D21D8" w:rsidP="00C524F7">
      <w:pPr>
        <w:jc w:val="both"/>
        <w:rPr>
          <w:szCs w:val="22"/>
          <w:lang w:val="es-ES"/>
        </w:rPr>
      </w:pPr>
    </w:p>
    <w:p w14:paraId="4F5B6AB2" w14:textId="77777777" w:rsidR="000D21D8" w:rsidRPr="00EB3D94" w:rsidRDefault="000D21D8" w:rsidP="00BC4866">
      <w:pPr>
        <w:jc w:val="both"/>
        <w:rPr>
          <w:lang w:val="es-ES"/>
        </w:rPr>
      </w:pPr>
      <w:r w:rsidRPr="00EB3D94">
        <w:rPr>
          <w:lang w:val="es-ES"/>
        </w:rPr>
        <w:t>El resultado se multiplicará por 100, se r</w:t>
      </w:r>
      <w:r w:rsidR="00400E8B" w:rsidRPr="00EB3D94">
        <w:rPr>
          <w:lang w:val="es-ES"/>
        </w:rPr>
        <w:t xml:space="preserve">edondeará a dos decimales y </w:t>
      </w:r>
      <w:r w:rsidRPr="00EB3D94">
        <w:rPr>
          <w:lang w:val="es-ES"/>
        </w:rPr>
        <w:t xml:space="preserve">dará el </w:t>
      </w:r>
      <w:r w:rsidRPr="00EB3D94">
        <w:rPr>
          <w:b/>
          <w:lang w:val="es-ES"/>
        </w:rPr>
        <w:t>porcentaje del negocio</w:t>
      </w:r>
      <w:r w:rsidRPr="00EB3D94">
        <w:rPr>
          <w:lang w:val="es-ES"/>
        </w:rPr>
        <w:t xml:space="preserve"> para cada entidad financiera.</w:t>
      </w:r>
    </w:p>
    <w:p w14:paraId="01191D90" w14:textId="77777777" w:rsidR="00490D87" w:rsidRPr="00EB3D94" w:rsidRDefault="00490D87" w:rsidP="00BC4866">
      <w:pPr>
        <w:jc w:val="both"/>
        <w:rPr>
          <w:rFonts w:cs="Arial"/>
          <w:szCs w:val="22"/>
          <w:lang w:val="es-ES"/>
        </w:rPr>
      </w:pPr>
    </w:p>
    <w:p w14:paraId="3B8FCA32" w14:textId="77777777" w:rsidR="00400E8B" w:rsidRPr="00EB3D94" w:rsidRDefault="00530302" w:rsidP="00BC4866">
      <w:pPr>
        <w:jc w:val="both"/>
        <w:rPr>
          <w:b/>
          <w:lang w:val="es-ES"/>
        </w:rPr>
      </w:pPr>
      <w:r w:rsidRPr="00EB3D94">
        <w:rPr>
          <w:b/>
          <w:lang w:val="es-ES"/>
        </w:rPr>
        <w:t>Estos criterios para la obtención de la puntuación operativa, la puntuación total y, finalmente, el porcentaje del negoc</w:t>
      </w:r>
      <w:r w:rsidR="00400E8B" w:rsidRPr="00EB3D94">
        <w:rPr>
          <w:b/>
          <w:lang w:val="es-ES"/>
        </w:rPr>
        <w:t>io para cada entidad financiera, se aplicarán a cada uno de los lotes objeto de licitación</w:t>
      </w:r>
    </w:p>
    <w:p w14:paraId="164CB270" w14:textId="77777777" w:rsidR="00400E8B" w:rsidRPr="00EB3D94" w:rsidRDefault="00400E8B" w:rsidP="00BC4866">
      <w:pPr>
        <w:jc w:val="both"/>
        <w:rPr>
          <w:lang w:val="es-ES"/>
        </w:rPr>
      </w:pPr>
    </w:p>
    <w:p w14:paraId="17664290" w14:textId="2453BB1D" w:rsidR="00C524F7" w:rsidRPr="00EB3D94" w:rsidRDefault="00C524F7" w:rsidP="00C524F7">
      <w:pPr>
        <w:jc w:val="both"/>
        <w:rPr>
          <w:lang w:val="es-ES"/>
        </w:rPr>
      </w:pPr>
      <w:r w:rsidRPr="00EB3D94">
        <w:rPr>
          <w:lang w:val="es-ES"/>
        </w:rPr>
        <w:t xml:space="preserve">El importe mínimo de las operaciones de endeudamiento a corto plazo a ofrecer a la Tesorería Corporativa </w:t>
      </w:r>
      <w:r w:rsidR="00982820" w:rsidRPr="00EB3D94">
        <w:rPr>
          <w:lang w:val="es-ES"/>
        </w:rPr>
        <w:t xml:space="preserve">debe </w:t>
      </w:r>
      <w:r w:rsidRPr="00EB3D94">
        <w:rPr>
          <w:lang w:val="es-ES"/>
        </w:rPr>
        <w:t>ser:</w:t>
      </w:r>
    </w:p>
    <w:p w14:paraId="491459EA" w14:textId="67B66454" w:rsidR="00C524F7" w:rsidRPr="00EB3D94" w:rsidRDefault="00C524F7" w:rsidP="00C524F7">
      <w:pPr>
        <w:pStyle w:val="Pargrafdellista"/>
        <w:numPr>
          <w:ilvl w:val="0"/>
          <w:numId w:val="4"/>
        </w:numPr>
        <w:autoSpaceDE w:val="0"/>
        <w:autoSpaceDN w:val="0"/>
        <w:adjustRightInd w:val="0"/>
        <w:ind w:left="714" w:hanging="357"/>
        <w:jc w:val="both"/>
        <w:rPr>
          <w:lang w:val="es-ES"/>
        </w:rPr>
      </w:pPr>
      <w:r w:rsidRPr="00EB3D94">
        <w:rPr>
          <w:lang w:val="es-ES"/>
        </w:rPr>
        <w:t>De 400 millones de euros, para las empresas que se quieran presentar en el LOT</w:t>
      </w:r>
      <w:r w:rsidR="00A46455" w:rsidRPr="00EB3D94">
        <w:rPr>
          <w:lang w:val="es-ES"/>
        </w:rPr>
        <w:t>E</w:t>
      </w:r>
      <w:r w:rsidRPr="00EB3D94">
        <w:rPr>
          <w:lang w:val="es-ES"/>
        </w:rPr>
        <w:t xml:space="preserve"> 1.</w:t>
      </w:r>
    </w:p>
    <w:p w14:paraId="2CCA4A6A" w14:textId="5B33CDDF" w:rsidR="00C524F7" w:rsidRPr="00EB3D94" w:rsidRDefault="00C524F7" w:rsidP="00C524F7">
      <w:pPr>
        <w:pStyle w:val="Pargrafdellista"/>
        <w:numPr>
          <w:ilvl w:val="0"/>
          <w:numId w:val="4"/>
        </w:numPr>
        <w:autoSpaceDE w:val="0"/>
        <w:autoSpaceDN w:val="0"/>
        <w:adjustRightInd w:val="0"/>
        <w:ind w:left="714" w:hanging="357"/>
        <w:jc w:val="both"/>
        <w:rPr>
          <w:lang w:val="es-ES"/>
        </w:rPr>
      </w:pPr>
      <w:r w:rsidRPr="00EB3D94">
        <w:rPr>
          <w:lang w:val="es-ES"/>
        </w:rPr>
        <w:t>De 70 millones de euros, para las empresas que se quieran presentar en el LOT</w:t>
      </w:r>
      <w:r w:rsidR="00A46455" w:rsidRPr="00EB3D94">
        <w:rPr>
          <w:lang w:val="es-ES"/>
        </w:rPr>
        <w:t>E</w:t>
      </w:r>
      <w:r w:rsidRPr="00EB3D94">
        <w:rPr>
          <w:lang w:val="es-ES"/>
        </w:rPr>
        <w:t xml:space="preserve"> 2.</w:t>
      </w:r>
    </w:p>
    <w:p w14:paraId="67958744" w14:textId="77777777" w:rsidR="00C524F7" w:rsidRPr="00EB3D94" w:rsidRDefault="00C524F7" w:rsidP="00C524F7">
      <w:pPr>
        <w:rPr>
          <w:lang w:val="es-ES"/>
        </w:rPr>
      </w:pPr>
    </w:p>
    <w:p w14:paraId="6E7335D5" w14:textId="5B71D221" w:rsidR="00C524F7" w:rsidRPr="00EB3D94" w:rsidRDefault="00C524F7" w:rsidP="00C524F7">
      <w:pPr>
        <w:jc w:val="both"/>
        <w:rPr>
          <w:lang w:val="es-ES"/>
        </w:rPr>
      </w:pPr>
      <w:r w:rsidRPr="00EB3D94">
        <w:rPr>
          <w:lang w:val="es-ES"/>
        </w:rPr>
        <w:t xml:space="preserve">El importe de las operaciones de endeudamiento se </w:t>
      </w:r>
      <w:r w:rsidR="00E23614" w:rsidRPr="00EB3D94">
        <w:rPr>
          <w:lang w:val="es-ES"/>
        </w:rPr>
        <w:t>deberá</w:t>
      </w:r>
      <w:r w:rsidRPr="00EB3D94">
        <w:rPr>
          <w:lang w:val="es-ES"/>
        </w:rPr>
        <w:t xml:space="preserve"> formalizar en un mínimo del 80% en forma de línea de crédito. En caso de que el 100% se formalice en forma de línea de crédito se valorará según el apartado de los criterios de adjudicación.</w:t>
      </w:r>
    </w:p>
    <w:p w14:paraId="54E52F6D" w14:textId="77777777" w:rsidR="00C524F7" w:rsidRPr="00EB3D94" w:rsidRDefault="00C524F7" w:rsidP="00C524F7">
      <w:pPr>
        <w:jc w:val="both"/>
        <w:rPr>
          <w:lang w:val="es-ES"/>
        </w:rPr>
      </w:pPr>
    </w:p>
    <w:p w14:paraId="77595CF5" w14:textId="77777777" w:rsidR="00C524F7" w:rsidRPr="00EB3D94" w:rsidRDefault="00C524F7" w:rsidP="00C524F7">
      <w:pPr>
        <w:jc w:val="both"/>
        <w:rPr>
          <w:lang w:val="es-ES"/>
        </w:rPr>
      </w:pPr>
      <w:r w:rsidRPr="00EB3D94">
        <w:rPr>
          <w:lang w:val="es-ES"/>
        </w:rPr>
        <w:t>El importe total máximo de operaciones de endeudamiento que se podrá formalizar es de 3.000 millones de euros:</w:t>
      </w:r>
    </w:p>
    <w:p w14:paraId="3A502694" w14:textId="6D6DB84E" w:rsidR="00C524F7" w:rsidRPr="00EB3D94" w:rsidRDefault="00C524F7" w:rsidP="00C524F7">
      <w:pPr>
        <w:pStyle w:val="Pargrafdellista"/>
        <w:numPr>
          <w:ilvl w:val="0"/>
          <w:numId w:val="63"/>
        </w:numPr>
        <w:autoSpaceDE w:val="0"/>
        <w:autoSpaceDN w:val="0"/>
        <w:adjustRightInd w:val="0"/>
        <w:jc w:val="both"/>
        <w:rPr>
          <w:lang w:val="es-ES"/>
        </w:rPr>
      </w:pPr>
      <w:r w:rsidRPr="00EB3D94">
        <w:rPr>
          <w:lang w:val="es-ES"/>
        </w:rPr>
        <w:t>2.500 millones en el LOT</w:t>
      </w:r>
      <w:r w:rsidR="00A46455" w:rsidRPr="00EB3D94">
        <w:rPr>
          <w:lang w:val="es-ES"/>
        </w:rPr>
        <w:t>E</w:t>
      </w:r>
      <w:r w:rsidRPr="00EB3D94">
        <w:rPr>
          <w:lang w:val="es-ES"/>
        </w:rPr>
        <w:t xml:space="preserve"> 1, y</w:t>
      </w:r>
    </w:p>
    <w:p w14:paraId="2FE4D41B" w14:textId="25446F70" w:rsidR="00530302" w:rsidRPr="00EB3D94" w:rsidRDefault="00C524F7" w:rsidP="00BC4866">
      <w:pPr>
        <w:pStyle w:val="Pargrafdellista"/>
        <w:numPr>
          <w:ilvl w:val="0"/>
          <w:numId w:val="63"/>
        </w:numPr>
        <w:autoSpaceDE w:val="0"/>
        <w:autoSpaceDN w:val="0"/>
        <w:adjustRightInd w:val="0"/>
        <w:spacing w:after="220"/>
        <w:jc w:val="both"/>
        <w:rPr>
          <w:lang w:val="es-ES"/>
        </w:rPr>
      </w:pPr>
      <w:r w:rsidRPr="00EB3D94">
        <w:rPr>
          <w:lang w:val="es-ES"/>
        </w:rPr>
        <w:t>500 millones en el LOT</w:t>
      </w:r>
      <w:r w:rsidR="00A46455" w:rsidRPr="00EB3D94">
        <w:rPr>
          <w:lang w:val="es-ES"/>
        </w:rPr>
        <w:t>E</w:t>
      </w:r>
      <w:r w:rsidRPr="00EB3D94">
        <w:rPr>
          <w:lang w:val="es-ES"/>
        </w:rPr>
        <w:t xml:space="preserve"> 2. </w:t>
      </w:r>
    </w:p>
    <w:p w14:paraId="65220B58" w14:textId="77777777" w:rsidR="00832326" w:rsidRPr="00EB3D94" w:rsidRDefault="00832326" w:rsidP="00832326">
      <w:pPr>
        <w:pStyle w:val="Pargrafdellista"/>
        <w:autoSpaceDE w:val="0"/>
        <w:autoSpaceDN w:val="0"/>
        <w:adjustRightInd w:val="0"/>
        <w:spacing w:after="220"/>
        <w:ind w:left="1080"/>
        <w:jc w:val="both"/>
        <w:rPr>
          <w:lang w:val="es-ES"/>
        </w:rPr>
      </w:pPr>
    </w:p>
    <w:p w14:paraId="78A9EF90" w14:textId="77777777" w:rsidR="004D0EBF" w:rsidRPr="00EB3D94" w:rsidRDefault="00E7176D" w:rsidP="00BC4866">
      <w:pPr>
        <w:jc w:val="both"/>
        <w:rPr>
          <w:rFonts w:cs="Arial"/>
          <w:b/>
          <w:bCs/>
          <w:szCs w:val="22"/>
          <w:lang w:val="es-ES"/>
        </w:rPr>
      </w:pPr>
      <w:r w:rsidRPr="00EB3D94">
        <w:rPr>
          <w:rFonts w:cs="Arial"/>
          <w:b/>
          <w:bCs/>
          <w:szCs w:val="22"/>
          <w:lang w:val="es-ES"/>
        </w:rPr>
        <w:lastRenderedPageBreak/>
        <w:t xml:space="preserve">2. </w:t>
      </w:r>
      <w:r w:rsidR="004D0EBF" w:rsidRPr="00EB3D94">
        <w:rPr>
          <w:rFonts w:cs="Arial"/>
          <w:b/>
          <w:bCs/>
          <w:szCs w:val="22"/>
          <w:lang w:val="es-ES"/>
        </w:rPr>
        <w:t>Condiciones financieras y servicios.</w:t>
      </w:r>
    </w:p>
    <w:p w14:paraId="2A586CC3" w14:textId="77777777" w:rsidR="004D0EBF" w:rsidRPr="00EB3D94" w:rsidRDefault="004D0EBF" w:rsidP="00BC4866">
      <w:pPr>
        <w:jc w:val="both"/>
        <w:rPr>
          <w:rFonts w:cs="Arial"/>
          <w:szCs w:val="22"/>
          <w:lang w:val="es-ES"/>
        </w:rPr>
      </w:pPr>
    </w:p>
    <w:p w14:paraId="1D513BA6" w14:textId="5D09CAE8" w:rsidR="004D0EBF" w:rsidRPr="00EB3D94" w:rsidRDefault="004D0EBF" w:rsidP="00BC4866">
      <w:pPr>
        <w:jc w:val="both"/>
        <w:rPr>
          <w:rFonts w:cs="Arial"/>
          <w:szCs w:val="22"/>
          <w:lang w:val="es-ES"/>
        </w:rPr>
      </w:pPr>
      <w:r w:rsidRPr="00EB3D94">
        <w:rPr>
          <w:rFonts w:cs="Arial"/>
          <w:szCs w:val="22"/>
          <w:lang w:val="es-ES"/>
        </w:rPr>
        <w:t xml:space="preserve">En este apartado se valorarán de manera objetiva las condiciones de los servicios financieros que las Entidades Financieras </w:t>
      </w:r>
      <w:r w:rsidR="00F659AE" w:rsidRPr="00EB3D94">
        <w:rPr>
          <w:rFonts w:cs="Arial"/>
          <w:szCs w:val="22"/>
          <w:lang w:val="es-ES"/>
        </w:rPr>
        <w:t>licitadoras</w:t>
      </w:r>
      <w:r w:rsidRPr="00EB3D94">
        <w:rPr>
          <w:rFonts w:cs="Arial"/>
          <w:szCs w:val="22"/>
          <w:lang w:val="es-ES"/>
        </w:rPr>
        <w:t xml:space="preserve"> </w:t>
      </w:r>
      <w:r w:rsidR="00A25938" w:rsidRPr="00EB3D94">
        <w:rPr>
          <w:rFonts w:cs="Arial"/>
          <w:szCs w:val="22"/>
          <w:lang w:val="es-ES"/>
        </w:rPr>
        <w:t xml:space="preserve">deberán </w:t>
      </w:r>
      <w:r w:rsidRPr="00EB3D94">
        <w:rPr>
          <w:rFonts w:cs="Arial"/>
          <w:szCs w:val="22"/>
          <w:lang w:val="es-ES"/>
        </w:rPr>
        <w:t>ofrecer.</w:t>
      </w:r>
    </w:p>
    <w:p w14:paraId="506A1BBB" w14:textId="77777777" w:rsidR="004D0EBF" w:rsidRPr="00EB3D94" w:rsidRDefault="004D0EBF" w:rsidP="00BC4866">
      <w:pPr>
        <w:jc w:val="both"/>
        <w:rPr>
          <w:rFonts w:cs="Arial"/>
          <w:szCs w:val="22"/>
          <w:lang w:val="es-ES"/>
        </w:rPr>
      </w:pPr>
    </w:p>
    <w:p w14:paraId="11B6B944" w14:textId="0CF370C9" w:rsidR="004D0EBF" w:rsidRPr="00EB3D94" w:rsidRDefault="004D0EBF" w:rsidP="00BC4866">
      <w:pPr>
        <w:jc w:val="both"/>
        <w:rPr>
          <w:rFonts w:cs="Arial"/>
          <w:szCs w:val="22"/>
          <w:lang w:val="es-ES"/>
        </w:rPr>
      </w:pPr>
      <w:r w:rsidRPr="00EB3D94">
        <w:rPr>
          <w:rFonts w:cs="Arial"/>
          <w:szCs w:val="22"/>
          <w:lang w:val="es-ES"/>
        </w:rPr>
        <w:t xml:space="preserve">Las Entidades Financieras que resulten adjudicatarias, </w:t>
      </w:r>
      <w:r w:rsidR="00A25938" w:rsidRPr="00EB3D94">
        <w:rPr>
          <w:rFonts w:cs="Arial"/>
          <w:szCs w:val="22"/>
          <w:lang w:val="es-ES"/>
        </w:rPr>
        <w:t xml:space="preserve">deberán </w:t>
      </w:r>
      <w:r w:rsidRPr="00EB3D94">
        <w:rPr>
          <w:rFonts w:cs="Arial"/>
          <w:szCs w:val="22"/>
          <w:lang w:val="es-ES"/>
        </w:rPr>
        <w:t xml:space="preserve">ofrecer las mismas condiciones a las Entidades Públicas recogidas </w:t>
      </w:r>
      <w:r w:rsidR="00F33E5A" w:rsidRPr="00EB3D94">
        <w:rPr>
          <w:rFonts w:cs="Arial"/>
          <w:szCs w:val="22"/>
          <w:lang w:val="es-ES"/>
        </w:rPr>
        <w:t xml:space="preserve">en </w:t>
      </w:r>
      <w:r w:rsidR="00F33E5A" w:rsidRPr="00EB3D94">
        <w:rPr>
          <w:rFonts w:cs="Arial"/>
          <w:b/>
          <w:szCs w:val="22"/>
          <w:lang w:val="es-ES"/>
        </w:rPr>
        <w:t xml:space="preserve">el Anexo </w:t>
      </w:r>
      <w:r w:rsidR="003611E7" w:rsidRPr="00EB3D94">
        <w:rPr>
          <w:rFonts w:cs="Arial"/>
          <w:b/>
          <w:szCs w:val="22"/>
          <w:lang w:val="es-ES"/>
        </w:rPr>
        <w:t>1</w:t>
      </w:r>
      <w:r w:rsidRPr="00EB3D94">
        <w:rPr>
          <w:rFonts w:cs="Arial"/>
          <w:szCs w:val="22"/>
          <w:lang w:val="es-ES"/>
        </w:rPr>
        <w:t>, sean o no la Entidad en la que les presta el servicio de Cash-</w:t>
      </w:r>
      <w:proofErr w:type="spellStart"/>
      <w:r w:rsidRPr="00EB3D94">
        <w:rPr>
          <w:rFonts w:cs="Arial"/>
          <w:szCs w:val="22"/>
          <w:lang w:val="es-ES"/>
        </w:rPr>
        <w:t>pooling</w:t>
      </w:r>
      <w:proofErr w:type="spellEnd"/>
      <w:r w:rsidRPr="00EB3D94">
        <w:rPr>
          <w:rFonts w:cs="Arial"/>
          <w:szCs w:val="22"/>
          <w:lang w:val="es-ES"/>
        </w:rPr>
        <w:t>, y a las nuevas Entidades que se incorporen durante la vigencia del contrato.</w:t>
      </w:r>
    </w:p>
    <w:p w14:paraId="29EE217F" w14:textId="77777777" w:rsidR="004D0EBF" w:rsidRPr="00EB3D94" w:rsidRDefault="004D0EBF" w:rsidP="00BC4866">
      <w:pPr>
        <w:jc w:val="both"/>
        <w:rPr>
          <w:rFonts w:cs="Arial"/>
          <w:szCs w:val="22"/>
          <w:lang w:val="es-ES"/>
        </w:rPr>
      </w:pPr>
    </w:p>
    <w:p w14:paraId="2F87DD07" w14:textId="77777777" w:rsidR="004D0EBF" w:rsidRPr="00EB3D94" w:rsidRDefault="004D0EBF" w:rsidP="00BC4866">
      <w:pPr>
        <w:jc w:val="both"/>
        <w:rPr>
          <w:rFonts w:cs="Arial"/>
          <w:szCs w:val="22"/>
          <w:lang w:val="es-ES"/>
        </w:rPr>
      </w:pPr>
      <w:r w:rsidRPr="00EB3D94">
        <w:rPr>
          <w:rFonts w:cs="Arial"/>
          <w:szCs w:val="22"/>
          <w:lang w:val="es-ES"/>
        </w:rPr>
        <w:t>Asimismo, estas condiciones son extensibles a las Entidades Públicas integradas en los diferentes niveles del sistema.</w:t>
      </w:r>
    </w:p>
    <w:p w14:paraId="0A3731DC" w14:textId="77777777" w:rsidR="004D0EBF" w:rsidRPr="00EB3D94" w:rsidRDefault="004D0EBF" w:rsidP="00BC4866">
      <w:pPr>
        <w:jc w:val="both"/>
        <w:outlineLvl w:val="0"/>
        <w:rPr>
          <w:rFonts w:cs="Arial"/>
          <w:b/>
          <w:szCs w:val="22"/>
          <w:lang w:val="es-ES"/>
        </w:rPr>
      </w:pPr>
    </w:p>
    <w:p w14:paraId="02807002" w14:textId="501357D9" w:rsidR="009C6BF5" w:rsidRPr="00EB3D94" w:rsidRDefault="009C6BF5" w:rsidP="00BC4866">
      <w:pPr>
        <w:jc w:val="both"/>
        <w:outlineLvl w:val="0"/>
        <w:rPr>
          <w:rFonts w:cs="Arial"/>
          <w:szCs w:val="22"/>
          <w:lang w:val="es-ES"/>
        </w:rPr>
      </w:pPr>
      <w:r w:rsidRPr="00EB3D94">
        <w:rPr>
          <w:lang w:val="es-ES"/>
        </w:rPr>
        <w:t>Hay que tener en cuenta que las condiciones a valorar son diferentes para cada uno de los dos lotes por</w:t>
      </w:r>
      <w:r w:rsidRPr="00EB3D94">
        <w:rPr>
          <w:vanish/>
          <w:lang w:val="es-ES"/>
        </w:rPr>
        <w:t>&lt;A[por|para]&gt;</w:t>
      </w:r>
      <w:r w:rsidRPr="00EB3D94">
        <w:rPr>
          <w:lang w:val="es-ES"/>
        </w:rPr>
        <w:t xml:space="preserve"> lo cual se </w:t>
      </w:r>
      <w:r w:rsidR="00A25938" w:rsidRPr="00EB3D94">
        <w:rPr>
          <w:lang w:val="es-ES"/>
        </w:rPr>
        <w:t xml:space="preserve">deberán </w:t>
      </w:r>
      <w:r w:rsidRPr="00EB3D94">
        <w:rPr>
          <w:lang w:val="es-ES"/>
        </w:rPr>
        <w:t xml:space="preserve">agasajar de acuerdo con el modelo establecido para cada lote </w:t>
      </w:r>
      <w:r w:rsidRPr="00EB3D94">
        <w:rPr>
          <w:rFonts w:cs="Arial"/>
          <w:szCs w:val="22"/>
          <w:u w:val="single"/>
          <w:lang w:val="es-ES"/>
        </w:rPr>
        <w:t>(</w:t>
      </w:r>
      <w:r w:rsidR="003611E7" w:rsidRPr="00EB3D94">
        <w:rPr>
          <w:rFonts w:cs="Arial"/>
          <w:szCs w:val="22"/>
          <w:u w:val="single"/>
          <w:lang w:val="es-ES"/>
        </w:rPr>
        <w:t>anexo 3</w:t>
      </w:r>
      <w:r w:rsidRPr="00EB3D94">
        <w:rPr>
          <w:rFonts w:cs="Arial"/>
          <w:szCs w:val="22"/>
          <w:u w:val="single"/>
          <w:lang w:val="es-ES"/>
        </w:rPr>
        <w:t>.1 para el LOT</w:t>
      </w:r>
      <w:r w:rsidR="001027F8" w:rsidRPr="00EB3D94">
        <w:rPr>
          <w:rFonts w:cs="Arial"/>
          <w:szCs w:val="22"/>
          <w:u w:val="single"/>
          <w:lang w:val="es-ES"/>
        </w:rPr>
        <w:t>E</w:t>
      </w:r>
      <w:r w:rsidRPr="00EB3D94">
        <w:rPr>
          <w:rFonts w:cs="Arial"/>
          <w:szCs w:val="22"/>
          <w:u w:val="single"/>
          <w:lang w:val="es-ES"/>
        </w:rPr>
        <w:t xml:space="preserve"> 1 y </w:t>
      </w:r>
      <w:r w:rsidR="003611E7" w:rsidRPr="00EB3D94">
        <w:rPr>
          <w:rFonts w:cs="Arial"/>
          <w:szCs w:val="22"/>
          <w:u w:val="single"/>
          <w:lang w:val="es-ES"/>
        </w:rPr>
        <w:t>anexo 3</w:t>
      </w:r>
      <w:r w:rsidRPr="00EB3D94">
        <w:rPr>
          <w:rFonts w:cs="Arial"/>
          <w:szCs w:val="22"/>
          <w:u w:val="single"/>
          <w:lang w:val="es-ES"/>
        </w:rPr>
        <w:t>.2 para el LOT</w:t>
      </w:r>
      <w:r w:rsidR="001027F8" w:rsidRPr="00EB3D94">
        <w:rPr>
          <w:rFonts w:cs="Arial"/>
          <w:szCs w:val="22"/>
          <w:u w:val="single"/>
          <w:lang w:val="es-ES"/>
        </w:rPr>
        <w:t>E</w:t>
      </w:r>
      <w:r w:rsidRPr="00EB3D94">
        <w:rPr>
          <w:rFonts w:cs="Arial"/>
          <w:szCs w:val="22"/>
          <w:u w:val="single"/>
          <w:lang w:val="es-ES"/>
        </w:rPr>
        <w:t xml:space="preserve"> 2)</w:t>
      </w:r>
      <w:r w:rsidRPr="00EB3D94">
        <w:rPr>
          <w:rFonts w:cs="Arial"/>
          <w:szCs w:val="22"/>
          <w:lang w:val="es-ES"/>
        </w:rPr>
        <w:t>.</w:t>
      </w:r>
    </w:p>
    <w:p w14:paraId="1455C137" w14:textId="77777777" w:rsidR="00400E8B" w:rsidRPr="00EB3D94" w:rsidRDefault="00400E8B" w:rsidP="00BC4866">
      <w:pPr>
        <w:jc w:val="both"/>
        <w:outlineLvl w:val="0"/>
        <w:rPr>
          <w:rFonts w:cs="Arial"/>
          <w:szCs w:val="22"/>
          <w:lang w:val="es-ES"/>
        </w:rPr>
      </w:pPr>
    </w:p>
    <w:p w14:paraId="38E20F35" w14:textId="54287D92" w:rsidR="00400E8B" w:rsidRPr="00EB3D94" w:rsidRDefault="00400E8B" w:rsidP="00BC4866">
      <w:pPr>
        <w:jc w:val="both"/>
        <w:outlineLvl w:val="0"/>
        <w:rPr>
          <w:rFonts w:cs="Arial"/>
          <w:b/>
          <w:szCs w:val="22"/>
          <w:lang w:val="es-ES"/>
        </w:rPr>
      </w:pPr>
      <w:r w:rsidRPr="00EB3D94">
        <w:rPr>
          <w:rFonts w:cs="Arial"/>
          <w:szCs w:val="22"/>
          <w:lang w:val="es-ES"/>
        </w:rPr>
        <w:t xml:space="preserve">Es imprescindible </w:t>
      </w:r>
      <w:r w:rsidR="00564F90" w:rsidRPr="00EB3D94">
        <w:rPr>
          <w:rFonts w:cs="Arial"/>
          <w:szCs w:val="22"/>
          <w:lang w:val="es-ES"/>
        </w:rPr>
        <w:t xml:space="preserve">cumplimentar </w:t>
      </w:r>
      <w:r w:rsidRPr="00EB3D94">
        <w:rPr>
          <w:rFonts w:cs="Arial"/>
          <w:szCs w:val="22"/>
          <w:lang w:val="es-ES"/>
        </w:rPr>
        <w:t xml:space="preserve">detalladamente todos los apartados de los anexos arriba mencionados a fin de que puedan ser evaluados. No se consideran válidos ni se puntuarán los criterios cuando la propuesta del licitador no especifique claramente o esté abierta a casos particulares </w:t>
      </w:r>
      <w:r w:rsidR="00832326" w:rsidRPr="00EB3D94">
        <w:rPr>
          <w:rFonts w:cs="Arial"/>
          <w:szCs w:val="22"/>
          <w:lang w:val="es-ES"/>
        </w:rPr>
        <w:t xml:space="preserve">(por </w:t>
      </w:r>
      <w:proofErr w:type="gramStart"/>
      <w:r w:rsidRPr="00EB3D94">
        <w:rPr>
          <w:rFonts w:cs="Arial"/>
          <w:szCs w:val="22"/>
          <w:lang w:val="es-ES"/>
        </w:rPr>
        <w:t>ejemplo</w:t>
      </w:r>
      <w:proofErr w:type="gramEnd"/>
      <w:r w:rsidRPr="00EB3D94">
        <w:rPr>
          <w:rFonts w:cs="Arial"/>
          <w:szCs w:val="22"/>
          <w:lang w:val="es-ES"/>
        </w:rPr>
        <w:t xml:space="preserve"> condiciones tales como “a estudiar en cada caso”).</w:t>
      </w:r>
    </w:p>
    <w:p w14:paraId="536E45E2" w14:textId="77777777" w:rsidR="009C6BF5" w:rsidRPr="00EB3D94" w:rsidRDefault="009C6BF5" w:rsidP="00BC4866">
      <w:pPr>
        <w:jc w:val="both"/>
        <w:rPr>
          <w:rFonts w:cs="Arial"/>
          <w:szCs w:val="22"/>
          <w:lang w:val="es-ES"/>
        </w:rPr>
      </w:pPr>
    </w:p>
    <w:p w14:paraId="487BE2F1" w14:textId="77777777" w:rsidR="004D0EBF" w:rsidRPr="00EB3D94" w:rsidRDefault="004D0EBF" w:rsidP="00BC4866">
      <w:pPr>
        <w:jc w:val="both"/>
        <w:rPr>
          <w:rFonts w:cs="Arial"/>
          <w:b/>
          <w:szCs w:val="22"/>
          <w:lang w:val="es-ES"/>
        </w:rPr>
      </w:pPr>
      <w:r w:rsidRPr="00EB3D94">
        <w:rPr>
          <w:rFonts w:cs="Arial"/>
          <w:szCs w:val="22"/>
          <w:lang w:val="es-ES"/>
        </w:rPr>
        <w:t>La prese</w:t>
      </w:r>
      <w:r w:rsidR="00400E8B" w:rsidRPr="00EB3D94">
        <w:rPr>
          <w:rFonts w:cs="Arial"/>
          <w:szCs w:val="22"/>
          <w:lang w:val="es-ES"/>
        </w:rPr>
        <w:t>ntación de las propuestas de las entidades f</w:t>
      </w:r>
      <w:r w:rsidRPr="00EB3D94">
        <w:rPr>
          <w:rFonts w:cs="Arial"/>
          <w:szCs w:val="22"/>
          <w:lang w:val="es-ES"/>
        </w:rPr>
        <w:t xml:space="preserve">inancieras supone la plena aceptación de estas bases. Las propuestas realizadas por las Entidades Financieras que sean seleccionadas como consecuencia de la aplicación de los </w:t>
      </w:r>
      <w:r w:rsidR="006D6F76" w:rsidRPr="00EB3D94">
        <w:rPr>
          <w:rFonts w:cs="Arial"/>
          <w:szCs w:val="22"/>
          <w:lang w:val="es-ES"/>
        </w:rPr>
        <w:t>criterios establecidos</w:t>
      </w:r>
      <w:r w:rsidR="00400E8B" w:rsidRPr="00EB3D94">
        <w:rPr>
          <w:rFonts w:cs="Arial"/>
          <w:szCs w:val="22"/>
          <w:lang w:val="es-ES"/>
        </w:rPr>
        <w:t xml:space="preserve"> vincularán a las e</w:t>
      </w:r>
      <w:r w:rsidRPr="00EB3D94">
        <w:rPr>
          <w:rFonts w:cs="Arial"/>
          <w:szCs w:val="22"/>
          <w:lang w:val="es-ES"/>
        </w:rPr>
        <w:t>ntidades durante toda la vigencia de la prestación del servicio.</w:t>
      </w:r>
    </w:p>
    <w:p w14:paraId="53BE0A58" w14:textId="77777777" w:rsidR="004D0EBF" w:rsidRPr="00EB3D94" w:rsidRDefault="004D0EBF" w:rsidP="00BC4866">
      <w:pPr>
        <w:jc w:val="both"/>
        <w:rPr>
          <w:rFonts w:cs="Arial"/>
          <w:szCs w:val="22"/>
          <w:lang w:val="es-ES"/>
        </w:rPr>
      </w:pPr>
    </w:p>
    <w:p w14:paraId="3C9FC728" w14:textId="70198969" w:rsidR="00F659AE" w:rsidRPr="00EB3D94" w:rsidRDefault="004D0EBF" w:rsidP="00BC4866">
      <w:pPr>
        <w:jc w:val="both"/>
        <w:rPr>
          <w:rFonts w:cs="Arial"/>
          <w:szCs w:val="22"/>
          <w:lang w:val="es-ES"/>
        </w:rPr>
      </w:pPr>
      <w:r w:rsidRPr="00EB3D94">
        <w:rPr>
          <w:rFonts w:cs="Arial"/>
          <w:szCs w:val="22"/>
          <w:lang w:val="es-ES"/>
        </w:rPr>
        <w:t xml:space="preserve">A </w:t>
      </w:r>
      <w:proofErr w:type="gramStart"/>
      <w:r w:rsidRPr="00EB3D94">
        <w:rPr>
          <w:rFonts w:cs="Arial"/>
          <w:szCs w:val="22"/>
          <w:lang w:val="es-ES"/>
        </w:rPr>
        <w:t>continuación</w:t>
      </w:r>
      <w:proofErr w:type="gramEnd"/>
      <w:r w:rsidR="00564F90" w:rsidRPr="00EB3D94">
        <w:rPr>
          <w:rFonts w:cs="Arial"/>
          <w:szCs w:val="22"/>
          <w:lang w:val="es-ES"/>
        </w:rPr>
        <w:t xml:space="preserve"> </w:t>
      </w:r>
      <w:r w:rsidRPr="00EB3D94">
        <w:rPr>
          <w:rFonts w:cs="Arial"/>
          <w:szCs w:val="22"/>
          <w:lang w:val="es-ES"/>
        </w:rPr>
        <w:t xml:space="preserve">se especifican los apartados en que se estructurará la oferta, con la </w:t>
      </w:r>
      <w:r w:rsidRPr="00EB3D94">
        <w:rPr>
          <w:rFonts w:cs="Arial"/>
          <w:szCs w:val="22"/>
          <w:u w:val="single"/>
          <w:lang w:val="es-ES"/>
        </w:rPr>
        <w:t xml:space="preserve">puntuación máxima </w:t>
      </w:r>
      <w:r w:rsidR="00822B62" w:rsidRPr="00EB3D94">
        <w:rPr>
          <w:rFonts w:cs="Arial"/>
          <w:szCs w:val="22"/>
          <w:u w:val="single"/>
          <w:lang w:val="es-ES"/>
        </w:rPr>
        <w:t>de 100</w:t>
      </w:r>
      <w:r w:rsidR="00E7176D" w:rsidRPr="00EB3D94">
        <w:rPr>
          <w:rFonts w:cs="Arial"/>
          <w:szCs w:val="22"/>
          <w:u w:val="single"/>
          <w:lang w:val="es-ES"/>
        </w:rPr>
        <w:t xml:space="preserve"> puntos</w:t>
      </w:r>
      <w:r w:rsidR="00E7176D" w:rsidRPr="00EB3D94">
        <w:rPr>
          <w:rFonts w:cs="Arial"/>
          <w:szCs w:val="22"/>
          <w:lang w:val="es-ES"/>
        </w:rPr>
        <w:t xml:space="preserve"> </w:t>
      </w:r>
      <w:r w:rsidRPr="00EB3D94">
        <w:rPr>
          <w:rFonts w:cs="Arial"/>
          <w:szCs w:val="22"/>
          <w:lang w:val="es-ES"/>
        </w:rPr>
        <w:t xml:space="preserve">y los criterios de valoración </w:t>
      </w:r>
      <w:r w:rsidR="00E7176D" w:rsidRPr="00EB3D94">
        <w:rPr>
          <w:rFonts w:cs="Arial"/>
          <w:szCs w:val="22"/>
          <w:lang w:val="es-ES"/>
        </w:rPr>
        <w:t xml:space="preserve">que se establecen en el apartado siguiente </w:t>
      </w:r>
      <w:r w:rsidRPr="00EB3D94">
        <w:rPr>
          <w:rFonts w:cs="Arial"/>
          <w:szCs w:val="22"/>
          <w:lang w:val="es-ES"/>
        </w:rPr>
        <w:t>de cada uno de ellos, teniendo en cuenta que los puntos a obten</w:t>
      </w:r>
      <w:r w:rsidR="005D04EC" w:rsidRPr="00EB3D94">
        <w:rPr>
          <w:rFonts w:cs="Arial"/>
          <w:szCs w:val="22"/>
          <w:lang w:val="es-ES"/>
        </w:rPr>
        <w:t>er se redondearán a dos decimales.</w:t>
      </w:r>
    </w:p>
    <w:p w14:paraId="58A826AA" w14:textId="77777777" w:rsidR="000543F0" w:rsidRPr="00EB3D94" w:rsidRDefault="000543F0" w:rsidP="00BC4866">
      <w:pPr>
        <w:jc w:val="both"/>
        <w:rPr>
          <w:rFonts w:cs="Arial"/>
          <w:szCs w:val="22"/>
          <w:lang w:val="es-ES"/>
        </w:rPr>
      </w:pPr>
    </w:p>
    <w:p w14:paraId="45E03F7E" w14:textId="77777777" w:rsidR="002D4EEB" w:rsidRPr="00EB3D94" w:rsidRDefault="005D04EC" w:rsidP="00BC4866">
      <w:pPr>
        <w:jc w:val="both"/>
        <w:rPr>
          <w:rFonts w:cs="Arial"/>
          <w:b/>
          <w:bCs/>
          <w:szCs w:val="22"/>
          <w:lang w:val="es-ES"/>
        </w:rPr>
      </w:pPr>
      <w:r w:rsidRPr="00EB3D94">
        <w:rPr>
          <w:rFonts w:cs="Arial"/>
          <w:b/>
          <w:bCs/>
          <w:szCs w:val="22"/>
          <w:lang w:val="es-ES"/>
        </w:rPr>
        <w:t>3. Criterios de adjudicación</w:t>
      </w:r>
    </w:p>
    <w:p w14:paraId="46F0A8A7" w14:textId="77777777" w:rsidR="00400E8B" w:rsidRPr="00EB3D94" w:rsidRDefault="00400E8B" w:rsidP="00BC4866">
      <w:pPr>
        <w:jc w:val="both"/>
        <w:rPr>
          <w:rFonts w:cs="Arial"/>
          <w:szCs w:val="22"/>
          <w:lang w:val="es-ES"/>
        </w:rPr>
      </w:pPr>
    </w:p>
    <w:p w14:paraId="1982ED61" w14:textId="77777777" w:rsidR="004D0EBF" w:rsidRPr="00EB3D94" w:rsidRDefault="00AA2719" w:rsidP="00BC4866">
      <w:pPr>
        <w:jc w:val="both"/>
        <w:rPr>
          <w:rFonts w:cs="Arial"/>
          <w:szCs w:val="22"/>
          <w:lang w:val="es-ES"/>
        </w:rPr>
      </w:pPr>
      <w:r w:rsidRPr="00EB3D94">
        <w:rPr>
          <w:rFonts w:cs="Arial"/>
          <w:i/>
          <w:szCs w:val="22"/>
          <w:lang w:val="es-ES"/>
        </w:rPr>
        <w:t>1</w:t>
      </w:r>
      <w:r w:rsidR="00F659AE" w:rsidRPr="00EB3D94">
        <w:rPr>
          <w:rFonts w:cs="Arial"/>
          <w:i/>
          <w:szCs w:val="22"/>
          <w:lang w:val="es-ES"/>
        </w:rPr>
        <w:t xml:space="preserve">) </w:t>
      </w:r>
      <w:r w:rsidR="004D0EBF" w:rsidRPr="00EB3D94">
        <w:rPr>
          <w:rFonts w:cs="Arial"/>
          <w:i/>
          <w:szCs w:val="22"/>
          <w:u w:val="single"/>
          <w:lang w:val="es-ES"/>
        </w:rPr>
        <w:t>Coste de mantenimiento del servicio de cash-</w:t>
      </w:r>
      <w:proofErr w:type="spellStart"/>
      <w:r w:rsidR="004D0EBF" w:rsidRPr="00EB3D94">
        <w:rPr>
          <w:rFonts w:cs="Arial"/>
          <w:i/>
          <w:szCs w:val="22"/>
          <w:u w:val="single"/>
          <w:lang w:val="es-ES"/>
        </w:rPr>
        <w:t>pooling</w:t>
      </w:r>
      <w:proofErr w:type="spellEnd"/>
      <w:r w:rsidR="00F659AE" w:rsidRPr="00EB3D94">
        <w:rPr>
          <w:rFonts w:cs="Arial"/>
          <w:i/>
          <w:szCs w:val="22"/>
          <w:lang w:val="es-ES"/>
        </w:rPr>
        <w:tab/>
      </w:r>
      <w:r w:rsidR="004D0EBF" w:rsidRPr="00EB3D94">
        <w:rPr>
          <w:rFonts w:cs="Arial"/>
          <w:i/>
          <w:szCs w:val="22"/>
          <w:lang w:val="es-ES"/>
        </w:rPr>
        <w:t xml:space="preserve">   puntuación máxima </w:t>
      </w:r>
      <w:r w:rsidR="00E651BD" w:rsidRPr="00EB3D94">
        <w:rPr>
          <w:rFonts w:cs="Arial"/>
          <w:b/>
          <w:i/>
          <w:szCs w:val="22"/>
          <w:lang w:val="es-ES"/>
        </w:rPr>
        <w:t>15</w:t>
      </w:r>
      <w:r w:rsidR="004D0EBF" w:rsidRPr="00EB3D94">
        <w:rPr>
          <w:rFonts w:cs="Arial"/>
          <w:b/>
          <w:i/>
          <w:szCs w:val="22"/>
          <w:lang w:val="es-ES"/>
        </w:rPr>
        <w:t xml:space="preserve"> puntos</w:t>
      </w:r>
    </w:p>
    <w:p w14:paraId="4ED96C7E" w14:textId="77777777" w:rsidR="004D0EBF" w:rsidRPr="00EB3D94" w:rsidRDefault="004D0EBF" w:rsidP="00BC4866">
      <w:pPr>
        <w:jc w:val="both"/>
        <w:rPr>
          <w:rFonts w:cs="Arial"/>
          <w:szCs w:val="22"/>
          <w:lang w:val="es-ES"/>
        </w:rPr>
      </w:pPr>
    </w:p>
    <w:p w14:paraId="0623F7D7" w14:textId="4C2B75F2" w:rsidR="00822B62" w:rsidRPr="00EB3D94" w:rsidRDefault="00822B62" w:rsidP="00BC4866">
      <w:pPr>
        <w:jc w:val="both"/>
        <w:outlineLvl w:val="0"/>
        <w:rPr>
          <w:bCs/>
          <w:lang w:val="es-ES"/>
        </w:rPr>
      </w:pPr>
      <w:r w:rsidRPr="00EB3D94">
        <w:rPr>
          <w:bCs/>
          <w:lang w:val="es-ES"/>
        </w:rPr>
        <w:t xml:space="preserve">Las Entidades Financieras </w:t>
      </w:r>
      <w:r w:rsidR="00A25938" w:rsidRPr="00EB3D94">
        <w:rPr>
          <w:bCs/>
          <w:lang w:val="es-ES"/>
        </w:rPr>
        <w:t xml:space="preserve">deberán </w:t>
      </w:r>
      <w:r w:rsidRPr="00EB3D94">
        <w:rPr>
          <w:bCs/>
          <w:lang w:val="es-ES"/>
        </w:rPr>
        <w:t>especificar el coste mensual y máximo de mantenimiento del servicio de Cash-</w:t>
      </w:r>
      <w:proofErr w:type="spellStart"/>
      <w:r w:rsidRPr="00EB3D94">
        <w:rPr>
          <w:bCs/>
          <w:lang w:val="es-ES"/>
        </w:rPr>
        <w:t>pooling</w:t>
      </w:r>
      <w:proofErr w:type="spellEnd"/>
      <w:r w:rsidRPr="00EB3D94">
        <w:rPr>
          <w:bCs/>
          <w:lang w:val="es-ES"/>
        </w:rPr>
        <w:t xml:space="preserve"> que no podrá exceder los 950 euros mensuales por cu</w:t>
      </w:r>
      <w:r w:rsidR="00E651BD" w:rsidRPr="00EB3D94">
        <w:rPr>
          <w:bCs/>
          <w:lang w:val="es-ES"/>
        </w:rPr>
        <w:t>enta abierta, con un máximo de 1.725</w:t>
      </w:r>
      <w:r w:rsidRPr="00EB3D94">
        <w:rPr>
          <w:bCs/>
          <w:lang w:val="es-ES"/>
        </w:rPr>
        <w:t>.000 euros anuales por</w:t>
      </w:r>
      <w:r w:rsidRPr="00EB3D94">
        <w:rPr>
          <w:bCs/>
          <w:vanish/>
          <w:lang w:val="es-ES"/>
        </w:rPr>
        <w:t>&lt;A[por|para]&gt;</w:t>
      </w:r>
      <w:r w:rsidRPr="00EB3D94">
        <w:rPr>
          <w:bCs/>
          <w:lang w:val="es-ES"/>
        </w:rPr>
        <w:t xml:space="preserve"> el conjunto de cue</w:t>
      </w:r>
      <w:r w:rsidR="00E651BD" w:rsidRPr="00EB3D94">
        <w:rPr>
          <w:bCs/>
          <w:lang w:val="es-ES"/>
        </w:rPr>
        <w:t>ntas abiertas en el LOT</w:t>
      </w:r>
      <w:r w:rsidR="00564F90" w:rsidRPr="00EB3D94">
        <w:rPr>
          <w:bCs/>
          <w:lang w:val="es-ES"/>
        </w:rPr>
        <w:t>E</w:t>
      </w:r>
      <w:r w:rsidR="00E651BD" w:rsidRPr="00EB3D94">
        <w:rPr>
          <w:bCs/>
          <w:lang w:val="es-ES"/>
        </w:rPr>
        <w:t xml:space="preserve"> 1 y de 275</w:t>
      </w:r>
      <w:r w:rsidRPr="00EB3D94">
        <w:rPr>
          <w:bCs/>
          <w:lang w:val="es-ES"/>
        </w:rPr>
        <w:t>.000 euros anuales por</w:t>
      </w:r>
      <w:r w:rsidRPr="00EB3D94">
        <w:rPr>
          <w:bCs/>
          <w:vanish/>
          <w:lang w:val="es-ES"/>
        </w:rPr>
        <w:t>&lt;A[por|para]&gt;</w:t>
      </w:r>
      <w:r w:rsidRPr="00EB3D94">
        <w:rPr>
          <w:bCs/>
          <w:lang w:val="es-ES"/>
        </w:rPr>
        <w:t xml:space="preserve"> el conjunto de cuentas abiertas en el LOT</w:t>
      </w:r>
      <w:r w:rsidR="00564F90" w:rsidRPr="00EB3D94">
        <w:rPr>
          <w:bCs/>
          <w:lang w:val="es-ES"/>
        </w:rPr>
        <w:t>E</w:t>
      </w:r>
      <w:r w:rsidRPr="00EB3D94">
        <w:rPr>
          <w:bCs/>
          <w:lang w:val="es-ES"/>
        </w:rPr>
        <w:t xml:space="preserve"> 2.</w:t>
      </w:r>
    </w:p>
    <w:p w14:paraId="2CE7B352" w14:textId="77777777" w:rsidR="00822B62" w:rsidRPr="00EB3D94" w:rsidRDefault="00822B62" w:rsidP="00BC4866">
      <w:pPr>
        <w:jc w:val="both"/>
        <w:outlineLvl w:val="0"/>
        <w:rPr>
          <w:bCs/>
          <w:lang w:val="es-ES"/>
        </w:rPr>
      </w:pPr>
    </w:p>
    <w:p w14:paraId="4FD71DD1" w14:textId="550E216E" w:rsidR="00822B62" w:rsidRPr="00EB3D94" w:rsidRDefault="00822B62" w:rsidP="00BC4866">
      <w:pPr>
        <w:jc w:val="both"/>
        <w:outlineLvl w:val="0"/>
        <w:rPr>
          <w:bCs/>
          <w:lang w:val="es-ES"/>
        </w:rPr>
      </w:pPr>
      <w:r w:rsidRPr="00EB3D94">
        <w:rPr>
          <w:bCs/>
          <w:lang w:val="es-ES"/>
        </w:rPr>
        <w:t>Los gastos asociados al servicio de Cash-</w:t>
      </w:r>
      <w:proofErr w:type="spellStart"/>
      <w:r w:rsidRPr="00EB3D94">
        <w:rPr>
          <w:bCs/>
          <w:lang w:val="es-ES"/>
        </w:rPr>
        <w:t>pooling</w:t>
      </w:r>
      <w:proofErr w:type="spellEnd"/>
      <w:r w:rsidRPr="00EB3D94">
        <w:rPr>
          <w:bCs/>
          <w:lang w:val="es-ES"/>
        </w:rPr>
        <w:t xml:space="preserve"> se liquidarán en la </w:t>
      </w:r>
      <w:r w:rsidR="00192A34" w:rsidRPr="00EB3D94">
        <w:rPr>
          <w:bCs/>
          <w:lang w:val="es-ES"/>
        </w:rPr>
        <w:t>cuenta tesorera</w:t>
      </w:r>
      <w:r w:rsidRPr="00EB3D94">
        <w:rPr>
          <w:bCs/>
          <w:lang w:val="es-ES"/>
        </w:rPr>
        <w:t xml:space="preserve"> de la Generalitat de forma mensual.</w:t>
      </w:r>
    </w:p>
    <w:p w14:paraId="0A9FAA47" w14:textId="77777777" w:rsidR="00E35DD5" w:rsidRPr="00EB3D94" w:rsidRDefault="00E35DD5" w:rsidP="00BC4866">
      <w:pPr>
        <w:jc w:val="both"/>
        <w:rPr>
          <w:lang w:val="es-ES"/>
        </w:rPr>
      </w:pPr>
    </w:p>
    <w:p w14:paraId="2A5426FB" w14:textId="77777777" w:rsidR="00822B62" w:rsidRPr="00EB3D94" w:rsidRDefault="00822B62" w:rsidP="00BC4866">
      <w:pPr>
        <w:jc w:val="both"/>
        <w:rPr>
          <w:lang w:val="es-ES"/>
        </w:rPr>
      </w:pPr>
      <w:r w:rsidRPr="00EB3D94">
        <w:rPr>
          <w:lang w:val="es-ES"/>
        </w:rPr>
        <w:t>La valoración de este apartado se realizará de la siguiente manera:</w:t>
      </w:r>
    </w:p>
    <w:p w14:paraId="79684612" w14:textId="77777777" w:rsidR="00822B62" w:rsidRPr="00EB3D94" w:rsidRDefault="00822B62" w:rsidP="00BC4866">
      <w:pPr>
        <w:jc w:val="both"/>
        <w:rPr>
          <w:lang w:val="es-ES"/>
        </w:rPr>
      </w:pPr>
    </w:p>
    <w:p w14:paraId="3055070B" w14:textId="77777777" w:rsidR="00822B62" w:rsidRPr="00EB3D94" w:rsidRDefault="00E651BD" w:rsidP="00BC4866">
      <w:pPr>
        <w:numPr>
          <w:ilvl w:val="1"/>
          <w:numId w:val="18"/>
        </w:numPr>
        <w:tabs>
          <w:tab w:val="clear" w:pos="1640"/>
          <w:tab w:val="num" w:pos="932"/>
        </w:tabs>
        <w:ind w:left="932"/>
        <w:jc w:val="both"/>
        <w:rPr>
          <w:lang w:val="es-ES"/>
        </w:rPr>
      </w:pPr>
      <w:r w:rsidRPr="00EB3D94">
        <w:rPr>
          <w:lang w:val="es-ES"/>
        </w:rPr>
        <w:t>15</w:t>
      </w:r>
      <w:r w:rsidR="00822B62" w:rsidRPr="00EB3D94">
        <w:rPr>
          <w:lang w:val="es-ES"/>
        </w:rPr>
        <w:t xml:space="preserve"> puntos por</w:t>
      </w:r>
      <w:r w:rsidR="00822B62" w:rsidRPr="00EB3D94">
        <w:rPr>
          <w:vanish/>
          <w:lang w:val="es-ES"/>
        </w:rPr>
        <w:t>&lt;A[por|para]&gt;</w:t>
      </w:r>
      <w:r w:rsidR="00822B62" w:rsidRPr="00EB3D94">
        <w:rPr>
          <w:lang w:val="es-ES"/>
        </w:rPr>
        <w:t xml:space="preserve"> las ofertas con coste mensual de mantenimiento igual a 0 euros.</w:t>
      </w:r>
    </w:p>
    <w:p w14:paraId="48FBF70E" w14:textId="77777777" w:rsidR="00822B62" w:rsidRPr="00EB3D94" w:rsidRDefault="00822B62" w:rsidP="00BC4866">
      <w:pPr>
        <w:numPr>
          <w:ilvl w:val="1"/>
          <w:numId w:val="18"/>
        </w:numPr>
        <w:tabs>
          <w:tab w:val="clear" w:pos="1640"/>
          <w:tab w:val="num" w:pos="932"/>
        </w:tabs>
        <w:ind w:left="932"/>
        <w:jc w:val="both"/>
        <w:rPr>
          <w:lang w:val="es-ES"/>
        </w:rPr>
      </w:pPr>
      <w:r w:rsidRPr="00EB3D94">
        <w:rPr>
          <w:lang w:val="es-ES"/>
        </w:rPr>
        <w:t xml:space="preserve">En el resto de </w:t>
      </w:r>
      <w:proofErr w:type="gramStart"/>
      <w:r w:rsidRPr="00EB3D94">
        <w:rPr>
          <w:lang w:val="es-ES"/>
        </w:rPr>
        <w:t>ofertas</w:t>
      </w:r>
      <w:proofErr w:type="gramEnd"/>
      <w:r w:rsidRPr="00EB3D94">
        <w:rPr>
          <w:lang w:val="es-ES"/>
        </w:rPr>
        <w:t xml:space="preserve"> se les aplicará la siguiente fórmula de valora</w:t>
      </w:r>
      <w:r w:rsidR="00E651BD" w:rsidRPr="00EB3D94">
        <w:rPr>
          <w:lang w:val="es-ES"/>
        </w:rPr>
        <w:t>ción de costes, con un máximo de 12</w:t>
      </w:r>
      <w:r w:rsidRPr="00EB3D94">
        <w:rPr>
          <w:lang w:val="es-ES"/>
        </w:rPr>
        <w:t xml:space="preserve"> puntos:</w:t>
      </w:r>
    </w:p>
    <w:p w14:paraId="0541A78F" w14:textId="77777777" w:rsidR="00115E8C" w:rsidRPr="00EB3D94" w:rsidRDefault="00115E8C" w:rsidP="00115E8C">
      <w:pPr>
        <w:ind w:left="932"/>
        <w:jc w:val="both"/>
        <w:rPr>
          <w:lang w:val="es-ES"/>
        </w:rPr>
      </w:pPr>
    </w:p>
    <w:p w14:paraId="42C5D9C3" w14:textId="77777777" w:rsidR="00115E8C" w:rsidRPr="00EB3D94" w:rsidRDefault="00115E8C" w:rsidP="00115E8C">
      <w:pPr>
        <w:pStyle w:val="Pargrafdellista"/>
        <w:ind w:left="357"/>
        <w:rPr>
          <w:sz w:val="14"/>
          <w:szCs w:val="14"/>
          <w:lang w:val="es-ES"/>
        </w:rPr>
      </w:pPr>
    </w:p>
    <w:p w14:paraId="3B3FEC40" w14:textId="69DF7BAA" w:rsidR="00115E8C" w:rsidRPr="00EB3D94" w:rsidRDefault="00972666" w:rsidP="00115E8C">
      <w:pPr>
        <w:pBdr>
          <w:top w:val="single" w:sz="4" w:space="1" w:color="auto"/>
          <w:left w:val="single" w:sz="4" w:space="4" w:color="auto"/>
          <w:bottom w:val="single" w:sz="4" w:space="1" w:color="auto"/>
          <w:right w:val="single" w:sz="4" w:space="4" w:color="auto"/>
        </w:pBdr>
        <w:jc w:val="center"/>
        <w:rPr>
          <w:lang w:val="es-ES"/>
        </w:rPr>
      </w:pPr>
      <m:oMathPara>
        <m:oMath>
          <m:r>
            <w:rPr>
              <w:rFonts w:ascii="Cambria Math" w:hAnsi="Cambria Math"/>
              <w:lang w:val="es-ES"/>
            </w:rPr>
            <w:lastRenderedPageBreak/>
            <m:t>Punt</m:t>
          </m:r>
          <m:r>
            <w:rPr>
              <w:rFonts w:ascii="Cambria Math" w:hAnsi="Cambria Math"/>
              <w:lang w:val="es-ES"/>
            </w:rPr>
            <m:t>o</m:t>
          </m:r>
          <m:r>
            <w:rPr>
              <w:rFonts w:ascii="Cambria Math" w:hAnsi="Cambria Math"/>
              <w:lang w:val="es-ES"/>
            </w:rPr>
            <m:t xml:space="preserve">s= </m:t>
          </m:r>
          <m:f>
            <m:fPr>
              <m:ctrlPr>
                <w:rPr>
                  <w:rFonts w:ascii="Cambria Math" w:hAnsi="Cambria Math"/>
                  <w:i/>
                  <w:lang w:val="es-ES"/>
                </w:rPr>
              </m:ctrlPr>
            </m:fPr>
            <m:num>
              <m:r>
                <w:rPr>
                  <w:rFonts w:ascii="Cambria Math" w:hAnsi="Cambria Math"/>
                  <w:lang w:val="es-ES"/>
                </w:rPr>
                <m:t>Cm  x  12</m:t>
              </m:r>
            </m:num>
            <m:den>
              <m:r>
                <w:rPr>
                  <w:rFonts w:ascii="Cambria Math" w:hAnsi="Cambria Math"/>
                  <w:lang w:val="es-ES"/>
                </w:rPr>
                <m:t>Ov</m:t>
              </m:r>
            </m:den>
          </m:f>
        </m:oMath>
      </m:oMathPara>
    </w:p>
    <w:p w14:paraId="1E5727FF" w14:textId="77777777" w:rsidR="00822B62" w:rsidRPr="00EB3D94" w:rsidRDefault="00822B62" w:rsidP="00115E8C">
      <w:pPr>
        <w:ind w:left="1452"/>
        <w:jc w:val="both"/>
        <w:rPr>
          <w:lang w:val="es-ES"/>
        </w:rPr>
      </w:pPr>
    </w:p>
    <w:p w14:paraId="10A625D3" w14:textId="77777777" w:rsidR="00822B62" w:rsidRPr="00EB3D94" w:rsidRDefault="00822B62" w:rsidP="00BC4866">
      <w:pPr>
        <w:ind w:left="1452"/>
        <w:jc w:val="both"/>
        <w:rPr>
          <w:sz w:val="20"/>
          <w:lang w:val="es-ES"/>
        </w:rPr>
      </w:pPr>
      <w:r w:rsidRPr="00EB3D94">
        <w:rPr>
          <w:sz w:val="20"/>
          <w:lang w:val="es-ES"/>
        </w:rPr>
        <w:t>Cm = mejor oferta (</w:t>
      </w:r>
      <w:r w:rsidR="00BA2C21" w:rsidRPr="00EB3D94">
        <w:rPr>
          <w:sz w:val="20"/>
          <w:lang w:val="es-ES"/>
        </w:rPr>
        <w:t xml:space="preserve">será </w:t>
      </w:r>
      <w:r w:rsidRPr="00EB3D94">
        <w:rPr>
          <w:sz w:val="20"/>
          <w:lang w:val="es-ES"/>
        </w:rPr>
        <w:t xml:space="preserve">el coste menor por cuenta corriente de todas las ofertas presentadas diferentes de </w:t>
      </w:r>
      <w:r w:rsidR="00BA2C21" w:rsidRPr="00EB3D94">
        <w:rPr>
          <w:sz w:val="20"/>
          <w:lang w:val="es-ES"/>
        </w:rPr>
        <w:t>cero</w:t>
      </w:r>
      <w:r w:rsidRPr="00EB3D94">
        <w:rPr>
          <w:sz w:val="20"/>
          <w:lang w:val="es-ES"/>
        </w:rPr>
        <w:t>, incluida la entidad que se valora).</w:t>
      </w:r>
    </w:p>
    <w:p w14:paraId="5105CE5E" w14:textId="77777777" w:rsidR="00822B62" w:rsidRPr="00EB3D94" w:rsidRDefault="00822B62" w:rsidP="00BC4866">
      <w:pPr>
        <w:ind w:left="1452"/>
        <w:jc w:val="both"/>
        <w:rPr>
          <w:sz w:val="20"/>
          <w:lang w:val="es-ES"/>
        </w:rPr>
      </w:pPr>
      <w:proofErr w:type="spellStart"/>
      <w:r w:rsidRPr="00EB3D94">
        <w:rPr>
          <w:sz w:val="20"/>
          <w:lang w:val="es-ES"/>
        </w:rPr>
        <w:t>Ov</w:t>
      </w:r>
      <w:proofErr w:type="spellEnd"/>
      <w:r w:rsidRPr="00EB3D94">
        <w:rPr>
          <w:sz w:val="20"/>
          <w:lang w:val="es-ES"/>
        </w:rPr>
        <w:t xml:space="preserve"> = ofrecida de la Entidad Financiera a valorar consistente en el coste mensual por cuenta corriente ofrecida.</w:t>
      </w:r>
    </w:p>
    <w:p w14:paraId="66CAC742" w14:textId="77777777" w:rsidR="008F7796" w:rsidRPr="00EB3D94" w:rsidRDefault="008F7796" w:rsidP="00BC4866">
      <w:pPr>
        <w:jc w:val="both"/>
        <w:rPr>
          <w:rFonts w:cs="Arial"/>
          <w:szCs w:val="22"/>
          <w:lang w:val="es-ES"/>
        </w:rPr>
      </w:pPr>
    </w:p>
    <w:p w14:paraId="0C4B2A63" w14:textId="24C99571" w:rsidR="00E651BD" w:rsidRPr="00EB3D94" w:rsidRDefault="00E651BD" w:rsidP="00BC4866">
      <w:pPr>
        <w:jc w:val="both"/>
        <w:rPr>
          <w:rFonts w:cs="Arial"/>
          <w:szCs w:val="22"/>
          <w:lang w:val="es-ES"/>
        </w:rPr>
      </w:pPr>
      <w:r w:rsidRPr="00EB3D94">
        <w:rPr>
          <w:rFonts w:cs="Arial"/>
          <w:szCs w:val="22"/>
          <w:lang w:val="es-ES"/>
        </w:rPr>
        <w:t xml:space="preserve">En caso de que una entidad sea adjudicataria de los dos lotes, sólo se abrirá una única </w:t>
      </w:r>
      <w:r w:rsidR="00192A34" w:rsidRPr="00EB3D94">
        <w:rPr>
          <w:rFonts w:cs="Arial"/>
          <w:szCs w:val="22"/>
          <w:lang w:val="es-ES"/>
        </w:rPr>
        <w:t>cuenta tesorera</w:t>
      </w:r>
      <w:r w:rsidRPr="00EB3D94">
        <w:rPr>
          <w:rFonts w:cs="Arial"/>
          <w:szCs w:val="22"/>
          <w:lang w:val="es-ES"/>
        </w:rPr>
        <w:t xml:space="preserve"> y una única cuenta para cada una de las entidades que gestiona la Tesorería Corporativa (Generalitat-ámbito departamental, Servicio Catalán de la Salud e Instituto Catalán de la Salud). El coste de mantenimiento para estas cuatro cuentas será el menor de los ofrecidos en los dos lotes</w:t>
      </w:r>
      <w:r w:rsidR="00BA2C21" w:rsidRPr="00EB3D94">
        <w:rPr>
          <w:rFonts w:cs="Arial"/>
          <w:szCs w:val="22"/>
          <w:lang w:val="es-ES"/>
        </w:rPr>
        <w:t>.</w:t>
      </w:r>
    </w:p>
    <w:p w14:paraId="3AA5D1A9" w14:textId="77777777" w:rsidR="00E651BD" w:rsidRPr="00EB3D94" w:rsidRDefault="00E651BD" w:rsidP="00BC4866">
      <w:pPr>
        <w:jc w:val="both"/>
        <w:rPr>
          <w:rFonts w:cs="Arial"/>
          <w:szCs w:val="22"/>
          <w:lang w:val="es-ES"/>
        </w:rPr>
      </w:pPr>
    </w:p>
    <w:p w14:paraId="066914FE" w14:textId="77777777" w:rsidR="008F7796" w:rsidRPr="00EB3D94" w:rsidRDefault="008F7796" w:rsidP="00BC4866">
      <w:pPr>
        <w:jc w:val="both"/>
        <w:rPr>
          <w:rFonts w:cs="Arial"/>
          <w:i/>
          <w:szCs w:val="22"/>
          <w:u w:val="single"/>
          <w:lang w:val="es-ES"/>
        </w:rPr>
      </w:pPr>
      <w:r w:rsidRPr="00EB3D94">
        <w:rPr>
          <w:rFonts w:cs="Arial"/>
          <w:i/>
          <w:szCs w:val="22"/>
          <w:lang w:val="es-ES"/>
        </w:rPr>
        <w:t>2)</w:t>
      </w:r>
      <w:r w:rsidRPr="00EB3D94">
        <w:rPr>
          <w:rFonts w:cs="Arial"/>
          <w:szCs w:val="22"/>
          <w:lang w:val="es-ES"/>
        </w:rPr>
        <w:t xml:space="preserve"> </w:t>
      </w:r>
      <w:r w:rsidRPr="00EB3D94">
        <w:rPr>
          <w:rFonts w:cs="Arial"/>
          <w:i/>
          <w:szCs w:val="22"/>
          <w:u w:val="single"/>
          <w:lang w:val="es-ES"/>
        </w:rPr>
        <w:t>Operativa transaccional: gastos por</w:t>
      </w:r>
      <w:r w:rsidRPr="00EB3D94">
        <w:rPr>
          <w:rFonts w:cs="Arial"/>
          <w:i/>
          <w:vanish/>
          <w:szCs w:val="22"/>
          <w:u w:val="single"/>
          <w:lang w:val="es-ES"/>
        </w:rPr>
        <w:t>&lt;A[por|para]&gt;</w:t>
      </w:r>
      <w:r w:rsidRPr="00EB3D94">
        <w:rPr>
          <w:rFonts w:cs="Arial"/>
          <w:i/>
          <w:szCs w:val="22"/>
          <w:u w:val="single"/>
          <w:lang w:val="es-ES"/>
        </w:rPr>
        <w:t xml:space="preserve"> transferencias nacionales</w:t>
      </w:r>
    </w:p>
    <w:p w14:paraId="08570A86" w14:textId="77777777" w:rsidR="002916AB" w:rsidRPr="00EB3D94" w:rsidRDefault="008F7796" w:rsidP="00BC4866">
      <w:pPr>
        <w:ind w:left="4956" w:firstLine="708"/>
        <w:jc w:val="both"/>
        <w:rPr>
          <w:rFonts w:cs="Arial"/>
          <w:b/>
          <w:i/>
          <w:szCs w:val="22"/>
          <w:lang w:val="es-ES"/>
        </w:rPr>
      </w:pPr>
      <w:r w:rsidRPr="00EB3D94">
        <w:rPr>
          <w:rFonts w:cs="Arial"/>
          <w:i/>
          <w:szCs w:val="22"/>
          <w:lang w:val="es-ES"/>
        </w:rPr>
        <w:t xml:space="preserve">     puntuación máxima </w:t>
      </w:r>
      <w:r w:rsidRPr="00EB3D94">
        <w:rPr>
          <w:rFonts w:cs="Arial"/>
          <w:b/>
          <w:i/>
          <w:szCs w:val="22"/>
          <w:lang w:val="es-ES"/>
        </w:rPr>
        <w:t>55 puntos</w:t>
      </w:r>
    </w:p>
    <w:p w14:paraId="0E3B7DA4" w14:textId="77777777" w:rsidR="00EB71FF" w:rsidRPr="00EB3D94" w:rsidRDefault="00EB71FF" w:rsidP="00BC4866">
      <w:pPr>
        <w:ind w:left="4956" w:firstLine="708"/>
        <w:jc w:val="both"/>
        <w:rPr>
          <w:rFonts w:cs="Arial"/>
          <w:szCs w:val="22"/>
          <w:lang w:val="es-ES"/>
        </w:rPr>
      </w:pPr>
    </w:p>
    <w:p w14:paraId="1B4FB095" w14:textId="0B9F06EA" w:rsidR="002916AB" w:rsidRPr="00EB3D94" w:rsidRDefault="002916AB" w:rsidP="00BC4866">
      <w:pPr>
        <w:jc w:val="both"/>
        <w:rPr>
          <w:lang w:val="es-ES"/>
        </w:rPr>
      </w:pPr>
      <w:r w:rsidRPr="00EB3D94">
        <w:rPr>
          <w:lang w:val="es-ES"/>
        </w:rPr>
        <w:t>La operativa de tesorería de la Tesorería Corporativa y de las Entidades Públicas adheridas al cash-</w:t>
      </w:r>
      <w:proofErr w:type="spellStart"/>
      <w:r w:rsidRPr="00EB3D94">
        <w:rPr>
          <w:lang w:val="es-ES"/>
        </w:rPr>
        <w:t>pooling</w:t>
      </w:r>
      <w:proofErr w:type="spellEnd"/>
      <w:r w:rsidRPr="00EB3D94">
        <w:rPr>
          <w:lang w:val="es-ES"/>
        </w:rPr>
        <w:t xml:space="preserve">, tiene un volumen estimado de transacciones anual de </w:t>
      </w:r>
      <w:r w:rsidR="00E651BD" w:rsidRPr="00EB3D94">
        <w:rPr>
          <w:lang w:val="es-ES"/>
        </w:rPr>
        <w:t>4</w:t>
      </w:r>
      <w:r w:rsidR="00EB71FF" w:rsidRPr="00EB3D94">
        <w:rPr>
          <w:lang w:val="es-ES"/>
        </w:rPr>
        <w:t>5</w:t>
      </w:r>
      <w:r w:rsidR="00E651BD" w:rsidRPr="00EB3D94">
        <w:rPr>
          <w:lang w:val="es-ES"/>
        </w:rPr>
        <w:t>.000</w:t>
      </w:r>
      <w:r w:rsidRPr="00EB3D94">
        <w:rPr>
          <w:lang w:val="es-ES"/>
        </w:rPr>
        <w:t xml:space="preserve"> millones de euros (</w:t>
      </w:r>
      <w:r w:rsidR="00EB71FF" w:rsidRPr="00EB3D94">
        <w:rPr>
          <w:lang w:val="es-ES"/>
        </w:rPr>
        <w:t>40</w:t>
      </w:r>
      <w:r w:rsidR="00E651BD" w:rsidRPr="00EB3D94">
        <w:rPr>
          <w:lang w:val="es-ES"/>
        </w:rPr>
        <w:t>.000</w:t>
      </w:r>
      <w:r w:rsidRPr="00EB3D94">
        <w:rPr>
          <w:lang w:val="es-ES"/>
        </w:rPr>
        <w:t xml:space="preserve"> </w:t>
      </w:r>
      <w:r w:rsidR="00E651BD" w:rsidRPr="00EB3D94">
        <w:rPr>
          <w:lang w:val="es-ES"/>
        </w:rPr>
        <w:t>millones de euros para el LOT</w:t>
      </w:r>
      <w:r w:rsidR="00F76D38" w:rsidRPr="00EB3D94">
        <w:rPr>
          <w:lang w:val="es-ES"/>
        </w:rPr>
        <w:t>E</w:t>
      </w:r>
      <w:r w:rsidR="00E651BD" w:rsidRPr="00EB3D94">
        <w:rPr>
          <w:lang w:val="es-ES"/>
        </w:rPr>
        <w:t xml:space="preserve"> 1 y 5</w:t>
      </w:r>
      <w:r w:rsidRPr="00EB3D94">
        <w:rPr>
          <w:lang w:val="es-ES"/>
        </w:rPr>
        <w:t>.000 millones de euros para el LOT</w:t>
      </w:r>
      <w:r w:rsidR="00F76D38" w:rsidRPr="00EB3D94">
        <w:rPr>
          <w:lang w:val="es-ES"/>
        </w:rPr>
        <w:t>E</w:t>
      </w:r>
      <w:r w:rsidRPr="00EB3D94">
        <w:rPr>
          <w:lang w:val="es-ES"/>
        </w:rPr>
        <w:t xml:space="preserve"> 2)</w:t>
      </w:r>
    </w:p>
    <w:p w14:paraId="5B35F9DA" w14:textId="77777777" w:rsidR="002916AB" w:rsidRPr="00EB3D94" w:rsidRDefault="002916AB" w:rsidP="00BC4866">
      <w:pPr>
        <w:jc w:val="both"/>
        <w:rPr>
          <w:lang w:val="es-ES"/>
        </w:rPr>
      </w:pPr>
    </w:p>
    <w:p w14:paraId="40BF031A" w14:textId="023EFEE2" w:rsidR="002916AB" w:rsidRPr="00EB3D94" w:rsidRDefault="002916AB" w:rsidP="00BC4866">
      <w:pPr>
        <w:jc w:val="both"/>
        <w:rPr>
          <w:lang w:val="es-ES"/>
        </w:rPr>
      </w:pPr>
      <w:r w:rsidRPr="00EB3D94">
        <w:rPr>
          <w:lang w:val="es-ES"/>
        </w:rPr>
        <w:t>Se incluyen dentro del concepto de “Operativa transaccional” (</w:t>
      </w:r>
      <w:r w:rsidR="00F76D38" w:rsidRPr="00EB3D94">
        <w:rPr>
          <w:lang w:val="es-ES"/>
        </w:rPr>
        <w:t xml:space="preserve">gastos por </w:t>
      </w:r>
      <w:r w:rsidRPr="00EB3D94">
        <w:rPr>
          <w:vanish/>
          <w:lang w:val="es-ES"/>
        </w:rPr>
        <w:t>&lt;A[por|para]&gt;</w:t>
      </w:r>
      <w:r w:rsidRPr="00EB3D94">
        <w:rPr>
          <w:lang w:val="es-ES"/>
        </w:rPr>
        <w:t>transferencias “nacionales”</w:t>
      </w:r>
      <w:r w:rsidR="00EB71FF" w:rsidRPr="00EB3D94">
        <w:rPr>
          <w:lang w:val="es-ES"/>
        </w:rPr>
        <w:t xml:space="preserve"> y “Unión Europea”):</w:t>
      </w:r>
      <w:r w:rsidRPr="00EB3D94">
        <w:rPr>
          <w:lang w:val="es-ES"/>
        </w:rPr>
        <w:t xml:space="preserve"> Transferencias SEPA, emisión de cheques bancarios, pagos de nóminas, traspasos, transferencias vía </w:t>
      </w:r>
      <w:proofErr w:type="spellStart"/>
      <w:r w:rsidRPr="00EB3D94">
        <w:rPr>
          <w:lang w:val="es-ES"/>
        </w:rPr>
        <w:t>Banc</w:t>
      </w:r>
      <w:proofErr w:type="spellEnd"/>
      <w:r w:rsidRPr="00EB3D94">
        <w:rPr>
          <w:lang w:val="es-ES"/>
        </w:rPr>
        <w:t xml:space="preserve"> de Españ</w:t>
      </w:r>
      <w:r w:rsidR="00F76D38" w:rsidRPr="00EB3D94">
        <w:rPr>
          <w:lang w:val="es-ES"/>
        </w:rPr>
        <w:t>a para</w:t>
      </w:r>
      <w:r w:rsidRPr="00EB3D94">
        <w:rPr>
          <w:lang w:val="es-ES"/>
        </w:rPr>
        <w:t xml:space="preserve"> OMF o asimilables.</w:t>
      </w:r>
    </w:p>
    <w:p w14:paraId="7AE6CD4A" w14:textId="77777777" w:rsidR="002916AB" w:rsidRPr="00EB3D94" w:rsidRDefault="002916AB" w:rsidP="00BC4866">
      <w:pPr>
        <w:jc w:val="both"/>
        <w:rPr>
          <w:lang w:val="es-ES"/>
        </w:rPr>
      </w:pPr>
    </w:p>
    <w:p w14:paraId="035E8FB7" w14:textId="1E9F239D" w:rsidR="002916AB" w:rsidRPr="00EB3D94" w:rsidRDefault="002916AB" w:rsidP="00BC4866">
      <w:pPr>
        <w:jc w:val="both"/>
        <w:rPr>
          <w:lang w:val="es-ES"/>
        </w:rPr>
      </w:pPr>
      <w:proofErr w:type="gramStart"/>
      <w:r w:rsidRPr="00EB3D94">
        <w:rPr>
          <w:lang w:val="es-ES"/>
        </w:rPr>
        <w:t>Los gastos anuales a cobrar</w:t>
      </w:r>
      <w:proofErr w:type="gramEnd"/>
      <w:r w:rsidRPr="00EB3D94">
        <w:rPr>
          <w:lang w:val="es-ES"/>
        </w:rPr>
        <w:t xml:space="preserve"> en concepto de "operativa transaccional</w:t>
      </w:r>
      <w:r w:rsidR="00F76D38" w:rsidRPr="00EB3D94">
        <w:rPr>
          <w:lang w:val="es-ES"/>
        </w:rPr>
        <w:t xml:space="preserve"> por t</w:t>
      </w:r>
      <w:r w:rsidRPr="00EB3D94">
        <w:rPr>
          <w:vanish/>
          <w:lang w:val="es-ES"/>
        </w:rPr>
        <w:t>&lt;A[por|para]&gt;</w:t>
      </w:r>
      <w:r w:rsidRPr="00EB3D94">
        <w:rPr>
          <w:lang w:val="es-ES"/>
        </w:rPr>
        <w:t>ransferencias nacionales ordenadas” será como máximo de:</w:t>
      </w:r>
    </w:p>
    <w:p w14:paraId="5DBC0E76" w14:textId="77777777" w:rsidR="00E651BD" w:rsidRPr="00EB3D94" w:rsidRDefault="00E651BD" w:rsidP="00BC4866">
      <w:pPr>
        <w:jc w:val="both"/>
        <w:rPr>
          <w:lang w:val="es-ES"/>
        </w:rPr>
      </w:pPr>
    </w:p>
    <w:p w14:paraId="12839A70" w14:textId="77777777" w:rsidR="002916AB" w:rsidRPr="00EB3D94" w:rsidRDefault="00E651BD" w:rsidP="00BC4866">
      <w:pPr>
        <w:pStyle w:val="Pargrafdellista"/>
        <w:numPr>
          <w:ilvl w:val="0"/>
          <w:numId w:val="44"/>
        </w:numPr>
        <w:ind w:left="782"/>
        <w:contextualSpacing/>
        <w:jc w:val="both"/>
        <w:rPr>
          <w:lang w:val="es-ES"/>
        </w:rPr>
      </w:pPr>
      <w:r w:rsidRPr="00EB3D94">
        <w:rPr>
          <w:lang w:val="es-ES"/>
        </w:rPr>
        <w:t>LOTE 1: máximo</w:t>
      </w:r>
      <w:r w:rsidR="00B43215" w:rsidRPr="00EB3D94">
        <w:rPr>
          <w:lang w:val="es-ES"/>
        </w:rPr>
        <w:t xml:space="preserve"> del 0,0</w:t>
      </w:r>
      <w:r w:rsidRPr="00EB3D94">
        <w:rPr>
          <w:lang w:val="es-ES"/>
        </w:rPr>
        <w:t>6</w:t>
      </w:r>
      <w:r w:rsidR="00EB71FF" w:rsidRPr="00EB3D94">
        <w:rPr>
          <w:lang w:val="es-ES"/>
        </w:rPr>
        <w:t>2</w:t>
      </w:r>
      <w:r w:rsidR="002916AB" w:rsidRPr="00EB3D94">
        <w:rPr>
          <w:lang w:val="es-ES"/>
        </w:rPr>
        <w:t>% del importe de las transferencias.</w:t>
      </w:r>
    </w:p>
    <w:p w14:paraId="5DC87ECC" w14:textId="77777777" w:rsidR="00E651BD" w:rsidRPr="00EB3D94" w:rsidRDefault="00E651BD" w:rsidP="00BC4866">
      <w:pPr>
        <w:pStyle w:val="Pargrafdellista"/>
        <w:numPr>
          <w:ilvl w:val="0"/>
          <w:numId w:val="44"/>
        </w:numPr>
        <w:ind w:left="782"/>
        <w:contextualSpacing/>
        <w:jc w:val="both"/>
        <w:rPr>
          <w:lang w:val="es-ES"/>
        </w:rPr>
      </w:pPr>
      <w:r w:rsidRPr="00EB3D94">
        <w:rPr>
          <w:lang w:val="es-ES"/>
        </w:rPr>
        <w:t>LOTE 2: máximo</w:t>
      </w:r>
      <w:r w:rsidR="00B43215" w:rsidRPr="00EB3D94">
        <w:rPr>
          <w:lang w:val="es-ES"/>
        </w:rPr>
        <w:t xml:space="preserve"> del 0,</w:t>
      </w:r>
      <w:r w:rsidRPr="00EB3D94">
        <w:rPr>
          <w:lang w:val="es-ES"/>
        </w:rPr>
        <w:t>05</w:t>
      </w:r>
      <w:r w:rsidR="00EB71FF" w:rsidRPr="00EB3D94">
        <w:rPr>
          <w:lang w:val="es-ES"/>
        </w:rPr>
        <w:t>0</w:t>
      </w:r>
      <w:r w:rsidRPr="00EB3D94">
        <w:rPr>
          <w:lang w:val="es-ES"/>
        </w:rPr>
        <w:t>% del importe de las transferencias.</w:t>
      </w:r>
    </w:p>
    <w:p w14:paraId="6FB53637" w14:textId="77777777" w:rsidR="002916AB" w:rsidRPr="00EB3D94" w:rsidRDefault="002916AB" w:rsidP="00BC4866">
      <w:pPr>
        <w:rPr>
          <w:lang w:val="es-ES"/>
        </w:rPr>
      </w:pPr>
    </w:p>
    <w:p w14:paraId="15EDE195" w14:textId="2FE19828" w:rsidR="00B43215" w:rsidRPr="00EB3D94" w:rsidRDefault="002916AB" w:rsidP="00BC4866">
      <w:pPr>
        <w:jc w:val="both"/>
        <w:rPr>
          <w:lang w:val="es-ES"/>
        </w:rPr>
      </w:pPr>
      <w:r w:rsidRPr="00EB3D94">
        <w:rPr>
          <w:lang w:val="es-ES"/>
        </w:rPr>
        <w:t xml:space="preserve">El cálculo se efectuará sobre el </w:t>
      </w:r>
      <w:r w:rsidR="00EB71FF" w:rsidRPr="00EB3D94">
        <w:rPr>
          <w:u w:val="single"/>
          <w:lang w:val="es-ES"/>
        </w:rPr>
        <w:t xml:space="preserve">volumen anual </w:t>
      </w:r>
      <w:r w:rsidR="00F76D38" w:rsidRPr="00EB3D94">
        <w:rPr>
          <w:u w:val="single"/>
          <w:lang w:val="es-ES"/>
        </w:rPr>
        <w:t>estimado</w:t>
      </w:r>
      <w:r w:rsidR="00EB71FF" w:rsidRPr="00EB3D94">
        <w:rPr>
          <w:u w:val="single"/>
          <w:lang w:val="es-ES"/>
        </w:rPr>
        <w:t xml:space="preserve"> de transferencias</w:t>
      </w:r>
      <w:r w:rsidRPr="00EB3D94">
        <w:rPr>
          <w:lang w:val="es-ES"/>
        </w:rPr>
        <w:t xml:space="preserve">. El volumen estimado es de </w:t>
      </w:r>
      <w:r w:rsidR="00EB71FF" w:rsidRPr="00EB3D94">
        <w:rPr>
          <w:lang w:val="es-ES"/>
        </w:rPr>
        <w:t>40</w:t>
      </w:r>
      <w:r w:rsidR="00B43215" w:rsidRPr="00EB3D94">
        <w:rPr>
          <w:lang w:val="es-ES"/>
        </w:rPr>
        <w:t>.000</w:t>
      </w:r>
      <w:r w:rsidRPr="00EB3D94">
        <w:rPr>
          <w:lang w:val="es-ES"/>
        </w:rPr>
        <w:t xml:space="preserve"> millones de e</w:t>
      </w:r>
      <w:r w:rsidR="00B43215" w:rsidRPr="00EB3D94">
        <w:rPr>
          <w:lang w:val="es-ES"/>
        </w:rPr>
        <w:t>uros anuales para el LOT</w:t>
      </w:r>
      <w:r w:rsidR="00F76D38" w:rsidRPr="00EB3D94">
        <w:rPr>
          <w:lang w:val="es-ES"/>
        </w:rPr>
        <w:t>E</w:t>
      </w:r>
      <w:r w:rsidR="00B43215" w:rsidRPr="00EB3D94">
        <w:rPr>
          <w:lang w:val="es-ES"/>
        </w:rPr>
        <w:t xml:space="preserve"> 1 y de 5</w:t>
      </w:r>
      <w:r w:rsidRPr="00EB3D94">
        <w:rPr>
          <w:lang w:val="es-ES"/>
        </w:rPr>
        <w:t>.000 millones de euros anuales para el LOT</w:t>
      </w:r>
      <w:r w:rsidR="00F76D38" w:rsidRPr="00EB3D94">
        <w:rPr>
          <w:lang w:val="es-ES"/>
        </w:rPr>
        <w:t>E</w:t>
      </w:r>
      <w:r w:rsidRPr="00EB3D94">
        <w:rPr>
          <w:lang w:val="es-ES"/>
        </w:rPr>
        <w:t xml:space="preserve"> 2. </w:t>
      </w:r>
    </w:p>
    <w:p w14:paraId="61F3BF82" w14:textId="77777777" w:rsidR="007D0C1F" w:rsidRPr="00EB3D94" w:rsidRDefault="007D0C1F" w:rsidP="00BC4866">
      <w:pPr>
        <w:jc w:val="both"/>
        <w:rPr>
          <w:lang w:val="es-ES"/>
        </w:rPr>
      </w:pPr>
    </w:p>
    <w:p w14:paraId="5F06C8C6" w14:textId="5FA7C980" w:rsidR="00B43215" w:rsidRPr="00EB3D94" w:rsidRDefault="002916AB" w:rsidP="00BC4866">
      <w:pPr>
        <w:jc w:val="both"/>
        <w:rPr>
          <w:lang w:val="es-ES"/>
        </w:rPr>
      </w:pPr>
      <w:proofErr w:type="gramStart"/>
      <w:r w:rsidRPr="00EB3D94">
        <w:rPr>
          <w:lang w:val="es-ES"/>
        </w:rPr>
        <w:t xml:space="preserve">Los gastos a </w:t>
      </w:r>
      <w:r w:rsidR="00F76D38" w:rsidRPr="00EB3D94">
        <w:rPr>
          <w:lang w:val="es-ES"/>
        </w:rPr>
        <w:t>calcular</w:t>
      </w:r>
      <w:proofErr w:type="gramEnd"/>
      <w:r w:rsidR="00F76D38" w:rsidRPr="00EB3D94">
        <w:rPr>
          <w:lang w:val="es-ES"/>
        </w:rPr>
        <w:t xml:space="preserve"> por</w:t>
      </w:r>
      <w:r w:rsidRPr="00EB3D94">
        <w:rPr>
          <w:lang w:val="es-ES"/>
        </w:rPr>
        <w:t xml:space="preserve"> cada entidad financiera adjudicataria se obtendrá de acuerdo con la siguiente fórmula:</w:t>
      </w:r>
    </w:p>
    <w:p w14:paraId="22513903" w14:textId="77777777" w:rsidR="00EB71FF" w:rsidRPr="00EB3D94" w:rsidRDefault="00EB71FF" w:rsidP="00EB71FF">
      <w:pPr>
        <w:jc w:val="both"/>
        <w:rPr>
          <w:lang w:val="es-ES"/>
        </w:rPr>
      </w:pPr>
    </w:p>
    <w:p w14:paraId="2104DCD7" w14:textId="190801D9" w:rsidR="00EB71FF" w:rsidRPr="00EB3D94" w:rsidRDefault="00972666" w:rsidP="00964FAD">
      <w:pPr>
        <w:pBdr>
          <w:top w:val="single" w:sz="4" w:space="1" w:color="auto"/>
          <w:left w:val="single" w:sz="4" w:space="4" w:color="auto"/>
          <w:bottom w:val="single" w:sz="4" w:space="1" w:color="auto"/>
          <w:right w:val="single" w:sz="4" w:space="4" w:color="auto"/>
        </w:pBdr>
        <w:jc w:val="center"/>
        <w:rPr>
          <w:lang w:val="es-ES"/>
        </w:rPr>
      </w:pPr>
      <m:oMathPara>
        <m:oMath>
          <m:r>
            <m:rPr>
              <m:sty m:val="bi"/>
            </m:rPr>
            <w:rPr>
              <w:rFonts w:ascii="Cambria Math" w:hAnsi="Cambria Math"/>
              <w:lang w:val="es-ES"/>
            </w:rPr>
            <m:t>Cost</m:t>
          </m:r>
          <m:r>
            <m:rPr>
              <m:sty m:val="bi"/>
            </m:rPr>
            <w:rPr>
              <w:rFonts w:ascii="Cambria Math" w:hAnsi="Cambria Math"/>
              <w:lang w:val="es-ES"/>
            </w:rPr>
            <m:t>e</m:t>
          </m:r>
          <m:r>
            <w:rPr>
              <w:rFonts w:ascii="Cambria Math" w:hAnsi="Cambria Math"/>
              <w:lang w:val="es-ES"/>
            </w:rPr>
            <m:t>=Volum</m:t>
          </m:r>
          <m:r>
            <w:rPr>
              <w:rFonts w:ascii="Cambria Math" w:hAnsi="Cambria Math"/>
              <w:lang w:val="es-ES"/>
            </w:rPr>
            <m:t>e</m:t>
          </m:r>
          <m:r>
            <w:rPr>
              <w:rFonts w:ascii="Cambria Math" w:hAnsi="Cambria Math"/>
              <w:lang w:val="es-ES"/>
            </w:rPr>
            <m:t>n</m:t>
          </m:r>
          <m:r>
            <w:rPr>
              <w:rFonts w:ascii="Cambria Math" w:hAnsi="Cambria Math"/>
              <w:lang w:val="es-ES"/>
            </w:rPr>
            <m:t xml:space="preserve"> anual estima</m:t>
          </m:r>
          <m:r>
            <w:rPr>
              <w:rFonts w:ascii="Cambria Math" w:hAnsi="Cambria Math"/>
              <w:lang w:val="es-ES"/>
            </w:rPr>
            <m:t>do</m:t>
          </m:r>
          <m:r>
            <w:rPr>
              <w:rFonts w:ascii="Cambria Math" w:hAnsi="Cambria Math"/>
              <w:lang w:val="es-ES"/>
            </w:rPr>
            <m:t xml:space="preserve"> LOT</m:t>
          </m:r>
          <m:r>
            <w:rPr>
              <w:rFonts w:ascii="Cambria Math" w:hAnsi="Cambria Math"/>
              <w:lang w:val="es-ES"/>
            </w:rPr>
            <m:t>E</m:t>
          </m:r>
          <m:r>
            <w:rPr>
              <w:rFonts w:ascii="Cambria Math" w:hAnsi="Cambria Math"/>
              <w:lang w:val="es-ES"/>
            </w:rPr>
            <m:t xml:space="preserve"> </m:t>
          </m:r>
          <m:r>
            <m:rPr>
              <m:sty m:val="bi"/>
            </m:rPr>
            <w:rPr>
              <w:rFonts w:ascii="Cambria Math" w:hAnsi="Cambria Math"/>
              <w:lang w:val="es-ES"/>
            </w:rPr>
            <m:t>x</m:t>
          </m:r>
          <m:r>
            <w:rPr>
              <w:rFonts w:ascii="Cambria Math" w:hAnsi="Cambria Math"/>
              <w:lang w:val="es-ES"/>
            </w:rPr>
            <m:t xml:space="preserve"> % transaccionali</m:t>
          </m:r>
          <m:r>
            <w:rPr>
              <w:rFonts w:ascii="Cambria Math" w:hAnsi="Cambria Math"/>
              <w:lang w:val="es-ES"/>
            </w:rPr>
            <m:t>dad</m:t>
          </m:r>
          <m:r>
            <w:rPr>
              <w:rFonts w:ascii="Cambria Math" w:hAnsi="Cambria Math"/>
              <w:lang w:val="es-ES"/>
            </w:rPr>
            <m:t xml:space="preserve">. E.F.  </m:t>
          </m:r>
          <m:r>
            <m:rPr>
              <m:sty m:val="bi"/>
            </m:rPr>
            <w:rPr>
              <w:rFonts w:ascii="Cambria Math" w:hAnsi="Cambria Math"/>
              <w:lang w:val="es-ES"/>
            </w:rPr>
            <m:t>x</m:t>
          </m:r>
          <m:r>
            <w:rPr>
              <w:rFonts w:ascii="Cambria Math" w:hAnsi="Cambria Math"/>
              <w:lang w:val="es-ES"/>
            </w:rPr>
            <m:t xml:space="preserve"> % Negoci</m:t>
          </m:r>
          <m:r>
            <w:rPr>
              <w:rFonts w:ascii="Cambria Math" w:hAnsi="Cambria Math"/>
              <w:lang w:val="es-ES"/>
            </w:rPr>
            <m:t>o</m:t>
          </m:r>
          <m:r>
            <w:rPr>
              <w:rFonts w:ascii="Cambria Math" w:hAnsi="Cambria Math"/>
              <w:lang w:val="es-ES"/>
            </w:rPr>
            <m:t xml:space="preserve"> E.F.</m:t>
          </m:r>
        </m:oMath>
      </m:oMathPara>
    </w:p>
    <w:p w14:paraId="5298F926" w14:textId="77777777" w:rsidR="00EB71FF" w:rsidRPr="00EB3D94" w:rsidRDefault="00EB71FF" w:rsidP="00BC4866">
      <w:pPr>
        <w:jc w:val="both"/>
        <w:rPr>
          <w:lang w:val="es-ES"/>
        </w:rPr>
      </w:pPr>
    </w:p>
    <w:p w14:paraId="519B06DD" w14:textId="77777777" w:rsidR="002916AB" w:rsidRPr="00EB3D94" w:rsidRDefault="002916AB" w:rsidP="00BC4866">
      <w:pPr>
        <w:jc w:val="both"/>
        <w:rPr>
          <w:lang w:val="es-ES"/>
        </w:rPr>
      </w:pPr>
      <w:r w:rsidRPr="00EB3D94">
        <w:rPr>
          <w:lang w:val="es-ES"/>
        </w:rPr>
        <w:t>El precio resultante se liquidará mensualmente (duodécimas partes) en la Tesorería Corporativa.</w:t>
      </w:r>
    </w:p>
    <w:p w14:paraId="436320E1" w14:textId="77777777" w:rsidR="002916AB" w:rsidRPr="00EB3D94" w:rsidRDefault="002916AB" w:rsidP="00BC4866">
      <w:pPr>
        <w:jc w:val="both"/>
        <w:rPr>
          <w:lang w:val="es-ES"/>
        </w:rPr>
      </w:pPr>
      <w:r w:rsidRPr="00EB3D94">
        <w:rPr>
          <w:lang w:val="es-ES"/>
        </w:rPr>
        <w:t xml:space="preserve">        </w:t>
      </w:r>
    </w:p>
    <w:p w14:paraId="4CF13459" w14:textId="77777777" w:rsidR="00964FAD" w:rsidRPr="00EB3D94" w:rsidRDefault="00964FAD" w:rsidP="00964FAD">
      <w:pPr>
        <w:rPr>
          <w:lang w:val="es-ES"/>
        </w:rPr>
      </w:pPr>
      <w:r w:rsidRPr="00EB3D94">
        <w:rPr>
          <w:lang w:val="es-ES"/>
        </w:rPr>
        <w:t>La valoración de este apartado se realizará de la siguiente manera:</w:t>
      </w:r>
    </w:p>
    <w:p w14:paraId="5C7227A7" w14:textId="77777777" w:rsidR="00964FAD" w:rsidRPr="00EB3D94" w:rsidRDefault="00964FAD" w:rsidP="00964FAD">
      <w:pPr>
        <w:pStyle w:val="Pargrafdellista"/>
        <w:numPr>
          <w:ilvl w:val="0"/>
          <w:numId w:val="64"/>
        </w:numPr>
        <w:autoSpaceDE w:val="0"/>
        <w:autoSpaceDN w:val="0"/>
        <w:adjustRightInd w:val="0"/>
        <w:ind w:left="357" w:hanging="357"/>
        <w:jc w:val="both"/>
        <w:rPr>
          <w:lang w:val="es-ES"/>
        </w:rPr>
      </w:pPr>
      <w:r w:rsidRPr="00EB3D94">
        <w:rPr>
          <w:lang w:val="es-ES"/>
        </w:rPr>
        <w:t xml:space="preserve">Las ofertas con porcentaje y coste igual a cero se </w:t>
      </w:r>
      <w:proofErr w:type="gramStart"/>
      <w:r w:rsidRPr="00EB3D94">
        <w:rPr>
          <w:lang w:val="es-ES"/>
        </w:rPr>
        <w:t>puntuará</w:t>
      </w:r>
      <w:proofErr w:type="gramEnd"/>
      <w:r w:rsidRPr="00EB3D94">
        <w:rPr>
          <w:lang w:val="es-ES"/>
        </w:rPr>
        <w:t xml:space="preserve"> con 55 puntos.</w:t>
      </w:r>
    </w:p>
    <w:p w14:paraId="22680C09" w14:textId="77777777" w:rsidR="00964FAD" w:rsidRPr="00EB3D94" w:rsidRDefault="00964FAD" w:rsidP="00964FAD">
      <w:pPr>
        <w:pStyle w:val="Pargrafdellista"/>
        <w:numPr>
          <w:ilvl w:val="0"/>
          <w:numId w:val="64"/>
        </w:numPr>
        <w:autoSpaceDE w:val="0"/>
        <w:autoSpaceDN w:val="0"/>
        <w:adjustRightInd w:val="0"/>
        <w:ind w:left="357" w:hanging="357"/>
        <w:jc w:val="both"/>
        <w:rPr>
          <w:lang w:val="es-ES"/>
        </w:rPr>
      </w:pPr>
      <w:r w:rsidRPr="00EB3D94">
        <w:rPr>
          <w:lang w:val="es-ES"/>
        </w:rPr>
        <w:t xml:space="preserve">El resto de </w:t>
      </w:r>
      <w:proofErr w:type="gramStart"/>
      <w:r w:rsidRPr="00EB3D94">
        <w:rPr>
          <w:lang w:val="es-ES"/>
        </w:rPr>
        <w:t>ofertas</w:t>
      </w:r>
      <w:proofErr w:type="gramEnd"/>
      <w:r w:rsidRPr="00EB3D94">
        <w:rPr>
          <w:lang w:val="es-ES"/>
        </w:rPr>
        <w:t xml:space="preserve"> se valorarán, en ambos lotes, hasta un máximo de 35 puntos según la fórmula siguiente: </w:t>
      </w:r>
    </w:p>
    <w:p w14:paraId="0CA26AFF" w14:textId="77777777" w:rsidR="00964FAD" w:rsidRPr="00EB3D94" w:rsidRDefault="00964FAD" w:rsidP="00964FAD">
      <w:pPr>
        <w:pStyle w:val="Pargrafdellista"/>
        <w:ind w:left="357"/>
        <w:rPr>
          <w:sz w:val="14"/>
          <w:szCs w:val="14"/>
          <w:lang w:val="es-ES"/>
        </w:rPr>
      </w:pPr>
    </w:p>
    <w:p w14:paraId="4DEF752E" w14:textId="633B9A40" w:rsidR="00964FAD" w:rsidRPr="00EB3D94" w:rsidRDefault="00972666" w:rsidP="00964FAD">
      <w:pPr>
        <w:pBdr>
          <w:top w:val="single" w:sz="4" w:space="1" w:color="auto"/>
          <w:left w:val="single" w:sz="4" w:space="4" w:color="auto"/>
          <w:bottom w:val="single" w:sz="4" w:space="1" w:color="auto"/>
          <w:right w:val="single" w:sz="4" w:space="4" w:color="auto"/>
        </w:pBdr>
        <w:jc w:val="center"/>
        <w:rPr>
          <w:lang w:val="es-ES"/>
        </w:rPr>
      </w:pPr>
      <m:oMathPara>
        <m:oMath>
          <m:r>
            <w:rPr>
              <w:rFonts w:ascii="Cambria Math" w:hAnsi="Cambria Math"/>
              <w:lang w:val="es-ES"/>
            </w:rPr>
            <m:t>Punt</m:t>
          </m:r>
          <m:r>
            <w:rPr>
              <w:rFonts w:ascii="Cambria Math" w:hAnsi="Cambria Math"/>
              <w:lang w:val="es-ES"/>
            </w:rPr>
            <m:t>o</m:t>
          </m:r>
          <m:r>
            <w:rPr>
              <w:rFonts w:ascii="Cambria Math" w:hAnsi="Cambria Math"/>
              <w:lang w:val="es-ES"/>
            </w:rPr>
            <m:t xml:space="preserve">s= </m:t>
          </m:r>
          <m:f>
            <m:fPr>
              <m:ctrlPr>
                <w:rPr>
                  <w:rFonts w:ascii="Cambria Math" w:hAnsi="Cambria Math"/>
                  <w:i/>
                  <w:lang w:val="es-ES"/>
                </w:rPr>
              </m:ctrlPr>
            </m:fPr>
            <m:num>
              <m:r>
                <w:rPr>
                  <w:rFonts w:ascii="Cambria Math" w:hAnsi="Cambria Math"/>
                  <w:lang w:val="es-ES"/>
                </w:rPr>
                <m:t>Cm  x  35</m:t>
              </m:r>
            </m:num>
            <m:den>
              <m:r>
                <w:rPr>
                  <w:rFonts w:ascii="Cambria Math" w:hAnsi="Cambria Math"/>
                  <w:lang w:val="es-ES"/>
                </w:rPr>
                <m:t>Ov</m:t>
              </m:r>
            </m:den>
          </m:f>
        </m:oMath>
      </m:oMathPara>
    </w:p>
    <w:p w14:paraId="766F368E" w14:textId="77777777" w:rsidR="00991C9D" w:rsidRPr="00EB3D94" w:rsidRDefault="00991C9D" w:rsidP="00964FAD">
      <w:pPr>
        <w:ind w:left="1065" w:hanging="357"/>
        <w:rPr>
          <w:i/>
          <w:iCs/>
          <w:sz w:val="20"/>
          <w:lang w:val="es-ES"/>
        </w:rPr>
      </w:pPr>
    </w:p>
    <w:p w14:paraId="238CE56A" w14:textId="77777777" w:rsidR="00964FAD" w:rsidRPr="00EB3D94" w:rsidRDefault="00964FAD" w:rsidP="00964FAD">
      <w:pPr>
        <w:ind w:left="1065" w:hanging="357"/>
        <w:rPr>
          <w:i/>
          <w:iCs/>
          <w:sz w:val="20"/>
          <w:lang w:val="es-ES"/>
        </w:rPr>
      </w:pPr>
      <w:r w:rsidRPr="00EB3D94">
        <w:rPr>
          <w:i/>
          <w:iCs/>
          <w:sz w:val="20"/>
          <w:lang w:val="es-ES"/>
        </w:rPr>
        <w:t>Cm = Mejor oferta (será el coste menor por cuenta corriente de todas las ofertas presentadas diferentes de cero, incluida la entidad que se valora).</w:t>
      </w:r>
    </w:p>
    <w:p w14:paraId="6F49E8D9" w14:textId="77777777" w:rsidR="00964FAD" w:rsidRPr="00EB3D94" w:rsidRDefault="00964FAD" w:rsidP="00964FAD">
      <w:pPr>
        <w:ind w:left="1065" w:hanging="357"/>
        <w:rPr>
          <w:i/>
          <w:iCs/>
          <w:sz w:val="20"/>
          <w:lang w:val="es-ES"/>
        </w:rPr>
      </w:pPr>
      <w:proofErr w:type="spellStart"/>
      <w:r w:rsidRPr="00EB3D94">
        <w:rPr>
          <w:i/>
          <w:iCs/>
          <w:sz w:val="20"/>
          <w:lang w:val="es-ES"/>
        </w:rPr>
        <w:lastRenderedPageBreak/>
        <w:t>Ov</w:t>
      </w:r>
      <w:proofErr w:type="spellEnd"/>
      <w:r w:rsidRPr="00EB3D94">
        <w:rPr>
          <w:i/>
          <w:iCs/>
          <w:sz w:val="20"/>
          <w:lang w:val="es-ES"/>
        </w:rPr>
        <w:t xml:space="preserve"> = Ofrecida de la Entidad Financiera a valorar consistente en el cuerpo mensual por cuenta corriente ofrecida.</w:t>
      </w:r>
    </w:p>
    <w:p w14:paraId="0176C8C5" w14:textId="77777777" w:rsidR="002916AB" w:rsidRPr="00EB3D94" w:rsidRDefault="002916AB" w:rsidP="00BC4866">
      <w:pPr>
        <w:jc w:val="both"/>
        <w:rPr>
          <w:lang w:val="es-ES"/>
        </w:rPr>
      </w:pPr>
    </w:p>
    <w:p w14:paraId="4500CB76" w14:textId="77777777" w:rsidR="000543F0" w:rsidRPr="00EB3D94" w:rsidRDefault="000543F0" w:rsidP="00BC4866">
      <w:pPr>
        <w:jc w:val="both"/>
        <w:rPr>
          <w:rFonts w:cs="Arial"/>
          <w:sz w:val="20"/>
          <w:lang w:val="es-ES"/>
        </w:rPr>
      </w:pPr>
    </w:p>
    <w:p w14:paraId="1BF067B0" w14:textId="77777777" w:rsidR="00476872" w:rsidRPr="00EB3D94" w:rsidRDefault="00476872" w:rsidP="00BC4866">
      <w:pPr>
        <w:jc w:val="both"/>
        <w:rPr>
          <w:rFonts w:cs="Arial"/>
          <w:sz w:val="20"/>
          <w:lang w:val="es-ES"/>
        </w:rPr>
      </w:pPr>
    </w:p>
    <w:p w14:paraId="4A8A59EA" w14:textId="77777777" w:rsidR="00822B62" w:rsidRPr="00EB3D94" w:rsidRDefault="008F7796" w:rsidP="00BC4866">
      <w:pPr>
        <w:jc w:val="both"/>
        <w:rPr>
          <w:rFonts w:cs="Arial"/>
          <w:b/>
          <w:i/>
          <w:szCs w:val="22"/>
          <w:lang w:val="es-ES"/>
        </w:rPr>
      </w:pPr>
      <w:r w:rsidRPr="00EB3D94">
        <w:rPr>
          <w:rFonts w:cs="Arial"/>
          <w:i/>
          <w:szCs w:val="22"/>
          <w:lang w:val="es-ES"/>
        </w:rPr>
        <w:t>3)</w:t>
      </w:r>
      <w:r w:rsidRPr="00EB3D94">
        <w:rPr>
          <w:rFonts w:cs="Arial"/>
          <w:szCs w:val="22"/>
          <w:lang w:val="es-ES"/>
        </w:rPr>
        <w:t xml:space="preserve"> </w:t>
      </w:r>
      <w:r w:rsidR="00515362" w:rsidRPr="00EB3D94">
        <w:rPr>
          <w:rFonts w:cs="Arial"/>
          <w:i/>
          <w:szCs w:val="22"/>
          <w:u w:val="single"/>
          <w:lang w:val="es-ES"/>
        </w:rPr>
        <w:t>Porcentaje Línea de crédito/ Préstamo:</w:t>
      </w:r>
      <w:r w:rsidR="00822B62" w:rsidRPr="00EB3D94">
        <w:rPr>
          <w:rFonts w:cs="Arial"/>
          <w:szCs w:val="22"/>
          <w:lang w:val="es-ES"/>
        </w:rPr>
        <w:tab/>
      </w:r>
      <w:r w:rsidR="00515362" w:rsidRPr="00EB3D94">
        <w:rPr>
          <w:rFonts w:cs="Arial"/>
          <w:szCs w:val="22"/>
          <w:lang w:val="es-ES"/>
        </w:rPr>
        <w:tab/>
      </w:r>
      <w:r w:rsidR="00822B62" w:rsidRPr="00EB3D94">
        <w:rPr>
          <w:rFonts w:cs="Arial"/>
          <w:szCs w:val="22"/>
          <w:lang w:val="es-ES"/>
        </w:rPr>
        <w:tab/>
      </w:r>
      <w:r w:rsidR="00515362" w:rsidRPr="00EB3D94">
        <w:rPr>
          <w:rFonts w:cs="Arial"/>
          <w:i/>
          <w:iCs/>
          <w:szCs w:val="22"/>
          <w:lang w:val="es-ES"/>
        </w:rPr>
        <w:t>LOTE 1:</w:t>
      </w:r>
      <w:r w:rsidR="00515362" w:rsidRPr="00EB3D94">
        <w:rPr>
          <w:rFonts w:cs="Arial"/>
          <w:szCs w:val="22"/>
          <w:lang w:val="es-ES"/>
        </w:rPr>
        <w:t xml:space="preserve"> </w:t>
      </w:r>
      <w:r w:rsidR="00515362" w:rsidRPr="00EB3D94">
        <w:rPr>
          <w:rFonts w:cs="Arial"/>
          <w:i/>
          <w:szCs w:val="22"/>
          <w:lang w:val="es-ES"/>
        </w:rPr>
        <w:t>P</w:t>
      </w:r>
      <w:r w:rsidR="00822B62" w:rsidRPr="00EB3D94">
        <w:rPr>
          <w:rFonts w:cs="Arial"/>
          <w:i/>
          <w:szCs w:val="22"/>
          <w:lang w:val="es-ES"/>
        </w:rPr>
        <w:t xml:space="preserve">untuación </w:t>
      </w:r>
      <w:proofErr w:type="gramStart"/>
      <w:r w:rsidR="00822B62" w:rsidRPr="00EB3D94">
        <w:rPr>
          <w:rFonts w:cs="Arial"/>
          <w:i/>
          <w:szCs w:val="22"/>
          <w:lang w:val="es-ES"/>
        </w:rPr>
        <w:t xml:space="preserve">máxima </w:t>
      </w:r>
      <w:r w:rsidR="00822B62" w:rsidRPr="00EB3D94">
        <w:rPr>
          <w:rFonts w:cs="Arial"/>
          <w:b/>
          <w:i/>
          <w:szCs w:val="22"/>
          <w:lang w:val="es-ES"/>
        </w:rPr>
        <w:t xml:space="preserve"> </w:t>
      </w:r>
      <w:r w:rsidR="00515362" w:rsidRPr="00EB3D94">
        <w:rPr>
          <w:rFonts w:cs="Arial"/>
          <w:b/>
          <w:i/>
          <w:szCs w:val="22"/>
          <w:lang w:val="es-ES"/>
        </w:rPr>
        <w:t>10</w:t>
      </w:r>
      <w:proofErr w:type="gramEnd"/>
      <w:r w:rsidR="00C722A6" w:rsidRPr="00EB3D94">
        <w:rPr>
          <w:rFonts w:cs="Arial"/>
          <w:b/>
          <w:i/>
          <w:szCs w:val="22"/>
          <w:lang w:val="es-ES"/>
        </w:rPr>
        <w:t xml:space="preserve"> </w:t>
      </w:r>
      <w:r w:rsidR="00822B62" w:rsidRPr="00EB3D94">
        <w:rPr>
          <w:rFonts w:cs="Arial"/>
          <w:b/>
          <w:i/>
          <w:szCs w:val="22"/>
          <w:lang w:val="es-ES"/>
        </w:rPr>
        <w:t>puntos</w:t>
      </w:r>
    </w:p>
    <w:p w14:paraId="38A84877" w14:textId="77777777" w:rsidR="00515362" w:rsidRPr="00EB3D94" w:rsidRDefault="00515362" w:rsidP="00BC4866">
      <w:pPr>
        <w:jc w:val="both"/>
        <w:rPr>
          <w:rFonts w:cs="Arial"/>
          <w:b/>
          <w:i/>
          <w:szCs w:val="22"/>
          <w:lang w:val="es-ES"/>
        </w:rPr>
      </w:pPr>
      <w:r w:rsidRPr="00EB3D94">
        <w:rPr>
          <w:rFonts w:cs="Arial"/>
          <w:b/>
          <w:i/>
          <w:szCs w:val="22"/>
          <w:lang w:val="es-ES"/>
        </w:rPr>
        <w:tab/>
      </w:r>
      <w:r w:rsidRPr="00EB3D94">
        <w:rPr>
          <w:rFonts w:cs="Arial"/>
          <w:b/>
          <w:i/>
          <w:szCs w:val="22"/>
          <w:lang w:val="es-ES"/>
        </w:rPr>
        <w:tab/>
      </w:r>
      <w:r w:rsidRPr="00EB3D94">
        <w:rPr>
          <w:rFonts w:cs="Arial"/>
          <w:b/>
          <w:i/>
          <w:szCs w:val="22"/>
          <w:lang w:val="es-ES"/>
        </w:rPr>
        <w:tab/>
      </w:r>
      <w:r w:rsidRPr="00EB3D94">
        <w:rPr>
          <w:rFonts w:cs="Arial"/>
          <w:b/>
          <w:i/>
          <w:szCs w:val="22"/>
          <w:lang w:val="es-ES"/>
        </w:rPr>
        <w:tab/>
      </w:r>
      <w:r w:rsidRPr="00EB3D94">
        <w:rPr>
          <w:rFonts w:cs="Arial"/>
          <w:b/>
          <w:i/>
          <w:szCs w:val="22"/>
          <w:lang w:val="es-ES"/>
        </w:rPr>
        <w:tab/>
      </w:r>
      <w:r w:rsidRPr="00EB3D94">
        <w:rPr>
          <w:rFonts w:cs="Arial"/>
          <w:b/>
          <w:i/>
          <w:szCs w:val="22"/>
          <w:lang w:val="es-ES"/>
        </w:rPr>
        <w:tab/>
      </w:r>
      <w:r w:rsidRPr="00EB3D94">
        <w:rPr>
          <w:rFonts w:cs="Arial"/>
          <w:b/>
          <w:i/>
          <w:szCs w:val="22"/>
          <w:lang w:val="es-ES"/>
        </w:rPr>
        <w:tab/>
      </w:r>
      <w:r w:rsidRPr="00EB3D94">
        <w:rPr>
          <w:rFonts w:cs="Arial"/>
          <w:b/>
          <w:i/>
          <w:szCs w:val="22"/>
          <w:lang w:val="es-ES"/>
        </w:rPr>
        <w:tab/>
      </w:r>
      <w:r w:rsidR="003F5A3A" w:rsidRPr="00EB3D94">
        <w:rPr>
          <w:rFonts w:cs="Arial"/>
          <w:i/>
          <w:iCs/>
          <w:szCs w:val="22"/>
          <w:lang w:val="es-ES"/>
        </w:rPr>
        <w:t xml:space="preserve">LOTE 2: Puntuación </w:t>
      </w:r>
      <w:proofErr w:type="gramStart"/>
      <w:r w:rsidR="003F5A3A" w:rsidRPr="00EB3D94">
        <w:rPr>
          <w:rFonts w:cs="Arial"/>
          <w:i/>
          <w:iCs/>
          <w:szCs w:val="22"/>
          <w:lang w:val="es-ES"/>
        </w:rPr>
        <w:t xml:space="preserve">máxima  </w:t>
      </w:r>
      <w:r w:rsidR="003F5A3A" w:rsidRPr="00EB3D94">
        <w:rPr>
          <w:rFonts w:cs="Arial"/>
          <w:b/>
          <w:bCs/>
          <w:i/>
          <w:iCs/>
          <w:szCs w:val="22"/>
          <w:lang w:val="es-ES"/>
        </w:rPr>
        <w:t>15</w:t>
      </w:r>
      <w:proofErr w:type="gramEnd"/>
      <w:r w:rsidR="003F5A3A" w:rsidRPr="00EB3D94">
        <w:rPr>
          <w:rFonts w:cs="Arial"/>
          <w:b/>
          <w:bCs/>
          <w:i/>
          <w:iCs/>
          <w:szCs w:val="22"/>
          <w:lang w:val="es-ES"/>
        </w:rPr>
        <w:t xml:space="preserve"> puntos</w:t>
      </w:r>
    </w:p>
    <w:p w14:paraId="2AF0CAA2" w14:textId="77777777" w:rsidR="00CB754F" w:rsidRPr="00EB3D94" w:rsidRDefault="00CB754F" w:rsidP="00BC4866">
      <w:pPr>
        <w:jc w:val="both"/>
        <w:rPr>
          <w:rFonts w:cs="Arial"/>
          <w:b/>
          <w:szCs w:val="22"/>
          <w:lang w:val="es-ES"/>
        </w:rPr>
      </w:pPr>
    </w:p>
    <w:p w14:paraId="729A74AD" w14:textId="316F3CD2" w:rsidR="003F5A3A" w:rsidRPr="00EB3D94" w:rsidRDefault="003F5A3A" w:rsidP="003F5A3A">
      <w:pPr>
        <w:jc w:val="both"/>
        <w:rPr>
          <w:lang w:val="es-ES"/>
        </w:rPr>
      </w:pPr>
      <w:r w:rsidRPr="00EB3D94">
        <w:rPr>
          <w:lang w:val="es-ES"/>
        </w:rPr>
        <w:t xml:space="preserve">El importe de las operaciones de endeudamiento se </w:t>
      </w:r>
      <w:r w:rsidR="00476872" w:rsidRPr="00EB3D94">
        <w:rPr>
          <w:lang w:val="es-ES"/>
        </w:rPr>
        <w:t>deberá</w:t>
      </w:r>
      <w:r w:rsidRPr="00EB3D94">
        <w:rPr>
          <w:lang w:val="es-ES"/>
        </w:rPr>
        <w:t xml:space="preserve"> que formalizar en un mínimo del 80% en forma de línea de crédito, se admiten dos opciones de ofertas: </w:t>
      </w:r>
    </w:p>
    <w:p w14:paraId="2A7B0A29" w14:textId="77777777" w:rsidR="003F5A3A" w:rsidRPr="00EB3D94" w:rsidRDefault="003F5A3A" w:rsidP="003F5A3A">
      <w:pPr>
        <w:pStyle w:val="Pargrafdellista"/>
        <w:numPr>
          <w:ilvl w:val="0"/>
          <w:numId w:val="64"/>
        </w:numPr>
        <w:spacing w:line="276" w:lineRule="auto"/>
        <w:jc w:val="both"/>
        <w:rPr>
          <w:lang w:val="es-ES"/>
        </w:rPr>
      </w:pPr>
      <w:r w:rsidRPr="00EB3D94">
        <w:rPr>
          <w:lang w:val="es-ES"/>
        </w:rPr>
        <w:t>80% línea de crédito / 20% préstamo &gt; se valorará con 0 puntos</w:t>
      </w:r>
    </w:p>
    <w:p w14:paraId="4D417D5E" w14:textId="602FCADA" w:rsidR="003F5A3A" w:rsidRPr="00EB3D94" w:rsidRDefault="003F5A3A" w:rsidP="003F5A3A">
      <w:pPr>
        <w:pStyle w:val="Pargrafdellista"/>
        <w:numPr>
          <w:ilvl w:val="0"/>
          <w:numId w:val="64"/>
        </w:numPr>
        <w:spacing w:line="276" w:lineRule="auto"/>
        <w:jc w:val="both"/>
        <w:rPr>
          <w:lang w:val="es-ES"/>
        </w:rPr>
      </w:pPr>
      <w:r w:rsidRPr="00EB3D94">
        <w:rPr>
          <w:lang w:val="es-ES"/>
        </w:rPr>
        <w:t>100% línea de crédito &gt; se valorará con 10 puntos en el LOT</w:t>
      </w:r>
      <w:r w:rsidR="00B20DEB" w:rsidRPr="00EB3D94">
        <w:rPr>
          <w:lang w:val="es-ES"/>
        </w:rPr>
        <w:t>E</w:t>
      </w:r>
      <w:r w:rsidRPr="00EB3D94">
        <w:rPr>
          <w:lang w:val="es-ES"/>
        </w:rPr>
        <w:t xml:space="preserve"> 1 y 15 puntos en el LOT</w:t>
      </w:r>
      <w:r w:rsidR="00B20DEB" w:rsidRPr="00EB3D94">
        <w:rPr>
          <w:lang w:val="es-ES"/>
        </w:rPr>
        <w:t>E</w:t>
      </w:r>
      <w:r w:rsidRPr="00EB3D94">
        <w:rPr>
          <w:lang w:val="es-ES"/>
        </w:rPr>
        <w:t xml:space="preserve"> 2.</w:t>
      </w:r>
    </w:p>
    <w:p w14:paraId="64735B02" w14:textId="77777777" w:rsidR="00E35DD5" w:rsidRPr="00EB3D94" w:rsidRDefault="00E35DD5" w:rsidP="00BC4866">
      <w:pPr>
        <w:jc w:val="both"/>
        <w:rPr>
          <w:rFonts w:cs="Arial"/>
          <w:szCs w:val="22"/>
          <w:lang w:val="es-ES"/>
        </w:rPr>
      </w:pPr>
    </w:p>
    <w:p w14:paraId="38775017" w14:textId="2A4C25E9" w:rsidR="008F7796" w:rsidRPr="00EB3D94" w:rsidRDefault="00D2545A" w:rsidP="00BC4866">
      <w:pPr>
        <w:jc w:val="both"/>
        <w:rPr>
          <w:rFonts w:cs="Arial"/>
          <w:i/>
          <w:szCs w:val="22"/>
          <w:lang w:val="es-ES"/>
        </w:rPr>
      </w:pPr>
      <w:r w:rsidRPr="00EB3D94">
        <w:rPr>
          <w:rFonts w:cs="Arial"/>
          <w:i/>
          <w:szCs w:val="22"/>
          <w:lang w:val="es-ES"/>
        </w:rPr>
        <w:t>4</w:t>
      </w:r>
      <w:r w:rsidR="00E35DD5" w:rsidRPr="00EB3D94">
        <w:rPr>
          <w:rFonts w:cs="Arial"/>
          <w:i/>
          <w:szCs w:val="22"/>
          <w:lang w:val="es-ES"/>
        </w:rPr>
        <w:t>)</w:t>
      </w:r>
      <w:r w:rsidR="00E35DD5" w:rsidRPr="00EB3D94">
        <w:rPr>
          <w:rFonts w:cs="Arial"/>
          <w:i/>
          <w:szCs w:val="22"/>
          <w:u w:val="single"/>
          <w:lang w:val="es-ES"/>
        </w:rPr>
        <w:t xml:space="preserve"> </w:t>
      </w:r>
      <w:r w:rsidR="002C29A9" w:rsidRPr="00EB3D94">
        <w:rPr>
          <w:rFonts w:cs="Arial"/>
          <w:i/>
          <w:szCs w:val="22"/>
          <w:u w:val="single"/>
          <w:lang w:val="es-ES"/>
        </w:rPr>
        <w:t>Coste máximo aplicable a las operaciones de endeudamiento a corto plazo de la Tesorería Corporativa</w:t>
      </w:r>
      <w:r w:rsidR="008F7796" w:rsidRPr="00EB3D94">
        <w:rPr>
          <w:rFonts w:cs="Arial"/>
          <w:szCs w:val="22"/>
          <w:lang w:val="es-ES"/>
        </w:rPr>
        <w:tab/>
      </w:r>
      <w:r w:rsidR="002C29A9" w:rsidRPr="00EB3D94">
        <w:rPr>
          <w:rFonts w:cs="Arial"/>
          <w:szCs w:val="22"/>
          <w:lang w:val="es-ES"/>
        </w:rPr>
        <w:tab/>
      </w:r>
      <w:r w:rsidR="002C29A9" w:rsidRPr="00EB3D94">
        <w:rPr>
          <w:rFonts w:cs="Arial"/>
          <w:szCs w:val="22"/>
          <w:lang w:val="es-ES"/>
        </w:rPr>
        <w:tab/>
      </w:r>
      <w:r w:rsidR="002C29A9" w:rsidRPr="00EB3D94">
        <w:rPr>
          <w:rFonts w:cs="Arial"/>
          <w:szCs w:val="22"/>
          <w:lang w:val="es-ES"/>
        </w:rPr>
        <w:tab/>
      </w:r>
      <w:r w:rsidR="002C29A9" w:rsidRPr="00EB3D94">
        <w:rPr>
          <w:rFonts w:cs="Arial"/>
          <w:szCs w:val="22"/>
          <w:lang w:val="es-ES"/>
        </w:rPr>
        <w:tab/>
      </w:r>
      <w:r w:rsidR="002C29A9" w:rsidRPr="00EB3D94">
        <w:rPr>
          <w:rFonts w:cs="Arial"/>
          <w:szCs w:val="22"/>
          <w:lang w:val="es-ES"/>
        </w:rPr>
        <w:tab/>
      </w:r>
      <w:r w:rsidR="002C29A9" w:rsidRPr="00EB3D94">
        <w:rPr>
          <w:rFonts w:cs="Arial"/>
          <w:szCs w:val="22"/>
          <w:lang w:val="es-ES"/>
        </w:rPr>
        <w:tab/>
      </w:r>
      <w:r w:rsidR="002C29A9" w:rsidRPr="00EB3D94">
        <w:rPr>
          <w:rFonts w:cs="Arial"/>
          <w:szCs w:val="22"/>
          <w:lang w:val="es-ES"/>
        </w:rPr>
        <w:tab/>
      </w:r>
      <w:r w:rsidR="008F7796" w:rsidRPr="00EB3D94">
        <w:rPr>
          <w:rFonts w:cs="Arial"/>
          <w:szCs w:val="22"/>
          <w:lang w:val="es-ES"/>
        </w:rPr>
        <w:t xml:space="preserve"> </w:t>
      </w:r>
      <w:r w:rsidR="008F7796" w:rsidRPr="00EB3D94">
        <w:rPr>
          <w:rFonts w:cs="Arial"/>
          <w:i/>
          <w:szCs w:val="22"/>
          <w:lang w:val="es-ES"/>
        </w:rPr>
        <w:t xml:space="preserve">puntuación máxima </w:t>
      </w:r>
      <w:r w:rsidR="002C29A9" w:rsidRPr="00EB3D94">
        <w:rPr>
          <w:rFonts w:cs="Arial"/>
          <w:b/>
          <w:bCs/>
          <w:i/>
          <w:szCs w:val="22"/>
          <w:lang w:val="es-ES"/>
        </w:rPr>
        <w:t>1</w:t>
      </w:r>
      <w:r w:rsidR="008F7796" w:rsidRPr="00EB3D94">
        <w:rPr>
          <w:rFonts w:cs="Arial"/>
          <w:b/>
          <w:bCs/>
          <w:i/>
          <w:szCs w:val="22"/>
          <w:lang w:val="es-ES"/>
        </w:rPr>
        <w:t>5 puntos</w:t>
      </w:r>
    </w:p>
    <w:p w14:paraId="54485F91" w14:textId="77777777" w:rsidR="008F7796" w:rsidRPr="00EB3D94" w:rsidRDefault="008F7796" w:rsidP="00BC4866">
      <w:pPr>
        <w:jc w:val="both"/>
        <w:rPr>
          <w:rFonts w:cs="Arial"/>
          <w:szCs w:val="22"/>
          <w:lang w:val="es-ES"/>
        </w:rPr>
      </w:pPr>
    </w:p>
    <w:p w14:paraId="77871603" w14:textId="1B49485B" w:rsidR="002C29A9" w:rsidRPr="00EB3D94" w:rsidRDefault="002C29A9" w:rsidP="002C29A9">
      <w:pPr>
        <w:jc w:val="both"/>
        <w:rPr>
          <w:lang w:val="es-ES"/>
        </w:rPr>
      </w:pPr>
      <w:r w:rsidRPr="00EB3D94">
        <w:rPr>
          <w:lang w:val="es-ES"/>
        </w:rPr>
        <w:t xml:space="preserve">El coste máximo de las operaciones de endeudamiento se </w:t>
      </w:r>
      <w:r w:rsidR="00E23614" w:rsidRPr="00EB3D94">
        <w:rPr>
          <w:lang w:val="es-ES"/>
        </w:rPr>
        <w:t>deberá</w:t>
      </w:r>
      <w:r w:rsidRPr="00EB3D94">
        <w:rPr>
          <w:lang w:val="es-ES"/>
        </w:rPr>
        <w:t xml:space="preserve"> fijar de acuerdo con el principio de prudencia financiera en el cual hace referencia la Resolución de 4 de julio de 2017 de la Secretaría General del Tesoro y Política Financiera del Ministerio de Asuntos Económicos y Transformación Digital (ahora Ministerio de Economía, Comercio y Empresa).  La Resolución mencionada permite aplicar, sobre el coste de financiación del Estado con una vida media equivalente, un diferencial máximo de 50 puntos básicos.</w:t>
      </w:r>
    </w:p>
    <w:p w14:paraId="14647737" w14:textId="77777777" w:rsidR="002C29A9" w:rsidRPr="00EB3D94" w:rsidRDefault="002C29A9" w:rsidP="002C29A9">
      <w:pPr>
        <w:jc w:val="both"/>
        <w:rPr>
          <w:rFonts w:cs="Arial"/>
          <w:sz w:val="18"/>
          <w:szCs w:val="18"/>
          <w:lang w:val="es-ES"/>
        </w:rPr>
      </w:pPr>
    </w:p>
    <w:p w14:paraId="6D3E31D9" w14:textId="77777777" w:rsidR="002C29A9" w:rsidRPr="00EB3D94" w:rsidRDefault="002C29A9" w:rsidP="002C29A9">
      <w:pPr>
        <w:jc w:val="both"/>
        <w:rPr>
          <w:lang w:val="es-ES"/>
        </w:rPr>
      </w:pPr>
      <w:r w:rsidRPr="00EB3D94">
        <w:rPr>
          <w:lang w:val="es-ES"/>
        </w:rPr>
        <w:t xml:space="preserve">Las entidades informarán la mejora en el diferencial máximo a aplicar sobre el tipo de prudencia financiera en puntos básicos (redondeado a tres decimales). </w:t>
      </w:r>
    </w:p>
    <w:p w14:paraId="060B4CDE" w14:textId="77777777" w:rsidR="002C29A9" w:rsidRPr="00EB3D94" w:rsidRDefault="002C29A9" w:rsidP="002C29A9">
      <w:pPr>
        <w:jc w:val="both"/>
        <w:rPr>
          <w:lang w:val="es-ES"/>
        </w:rPr>
      </w:pPr>
    </w:p>
    <w:p w14:paraId="7A909E03" w14:textId="77777777" w:rsidR="002C29A9" w:rsidRPr="00EB3D94" w:rsidRDefault="002C29A9" w:rsidP="002C29A9">
      <w:pPr>
        <w:spacing w:after="120"/>
        <w:jc w:val="both"/>
        <w:rPr>
          <w:lang w:val="es-ES"/>
        </w:rPr>
      </w:pPr>
      <w:r w:rsidRPr="00EB3D94">
        <w:rPr>
          <w:lang w:val="es-ES"/>
        </w:rPr>
        <w:t xml:space="preserve">Se entiende por “mejora en el diferencial” la reducción </w:t>
      </w:r>
      <w:proofErr w:type="gramStart"/>
      <w:r w:rsidRPr="00EB3D94">
        <w:rPr>
          <w:lang w:val="es-ES"/>
        </w:rPr>
        <w:t>en relación al</w:t>
      </w:r>
      <w:proofErr w:type="gramEnd"/>
      <w:r w:rsidRPr="00EB3D94">
        <w:rPr>
          <w:lang w:val="es-ES"/>
        </w:rPr>
        <w:t xml:space="preserve"> diferencial máximo de 50 puntos básicos.</w:t>
      </w:r>
    </w:p>
    <w:p w14:paraId="190AD03B" w14:textId="77777777" w:rsidR="002C29A9" w:rsidRPr="00EB3D94" w:rsidRDefault="002C29A9" w:rsidP="002C29A9">
      <w:pPr>
        <w:rPr>
          <w:lang w:val="es-ES"/>
        </w:rPr>
      </w:pPr>
      <w:r w:rsidRPr="00EB3D94">
        <w:rPr>
          <w:lang w:val="es-ES"/>
        </w:rPr>
        <w:t>La valoración de este apartado se realizará de la siguiente manera:</w:t>
      </w:r>
    </w:p>
    <w:p w14:paraId="4EE313B7" w14:textId="77777777" w:rsidR="002C29A9" w:rsidRPr="00EB3D94" w:rsidRDefault="002C29A9" w:rsidP="002C29A9">
      <w:pPr>
        <w:pStyle w:val="Pargrafdellista"/>
        <w:numPr>
          <w:ilvl w:val="0"/>
          <w:numId w:val="64"/>
        </w:numPr>
        <w:autoSpaceDE w:val="0"/>
        <w:autoSpaceDN w:val="0"/>
        <w:adjustRightInd w:val="0"/>
        <w:ind w:left="357" w:hanging="357"/>
        <w:jc w:val="both"/>
        <w:rPr>
          <w:lang w:val="es-ES"/>
        </w:rPr>
      </w:pPr>
      <w:r w:rsidRPr="00EB3D94">
        <w:rPr>
          <w:lang w:val="es-ES"/>
        </w:rPr>
        <w:t>La oferta con la mejora más alta se puntuará con 15 puntos.</w:t>
      </w:r>
    </w:p>
    <w:p w14:paraId="78783ABB" w14:textId="77777777" w:rsidR="002C29A9" w:rsidRPr="00EB3D94" w:rsidRDefault="002C29A9" w:rsidP="002C29A9">
      <w:pPr>
        <w:pStyle w:val="Pargrafdellista"/>
        <w:numPr>
          <w:ilvl w:val="0"/>
          <w:numId w:val="64"/>
        </w:numPr>
        <w:autoSpaceDE w:val="0"/>
        <w:autoSpaceDN w:val="0"/>
        <w:adjustRightInd w:val="0"/>
        <w:ind w:left="357" w:hanging="357"/>
        <w:jc w:val="both"/>
        <w:rPr>
          <w:lang w:val="es-ES"/>
        </w:rPr>
      </w:pPr>
      <w:r w:rsidRPr="00EB3D94">
        <w:rPr>
          <w:lang w:val="es-ES"/>
        </w:rPr>
        <w:t>La oferta con ninguna mejora sobre el diferencial se puntuará con 0 puntos.</w:t>
      </w:r>
    </w:p>
    <w:p w14:paraId="3771FD50" w14:textId="77777777" w:rsidR="002C29A9" w:rsidRPr="00EB3D94" w:rsidRDefault="002C29A9" w:rsidP="002C29A9">
      <w:pPr>
        <w:pStyle w:val="Pargrafdellista"/>
        <w:numPr>
          <w:ilvl w:val="0"/>
          <w:numId w:val="64"/>
        </w:numPr>
        <w:autoSpaceDE w:val="0"/>
        <w:autoSpaceDN w:val="0"/>
        <w:adjustRightInd w:val="0"/>
        <w:ind w:left="357" w:hanging="357"/>
        <w:jc w:val="both"/>
        <w:rPr>
          <w:lang w:val="es-ES"/>
        </w:rPr>
      </w:pPr>
      <w:r w:rsidRPr="00EB3D94">
        <w:rPr>
          <w:lang w:val="es-ES"/>
        </w:rPr>
        <w:t xml:space="preserve">El resto de </w:t>
      </w:r>
      <w:proofErr w:type="gramStart"/>
      <w:r w:rsidRPr="00EB3D94">
        <w:rPr>
          <w:lang w:val="es-ES"/>
        </w:rPr>
        <w:t>ofertas</w:t>
      </w:r>
      <w:proofErr w:type="gramEnd"/>
      <w:r w:rsidRPr="00EB3D94">
        <w:rPr>
          <w:lang w:val="es-ES"/>
        </w:rPr>
        <w:t xml:space="preserve"> se valorarán hasta un máximo de 15 puntos según la fórmula siguiente: </w:t>
      </w:r>
    </w:p>
    <w:p w14:paraId="2B0FB6C3" w14:textId="77777777" w:rsidR="002C29A9" w:rsidRPr="00EB3D94" w:rsidRDefault="002C29A9" w:rsidP="002C29A9">
      <w:pPr>
        <w:pStyle w:val="Pargrafdellista"/>
        <w:ind w:left="357"/>
        <w:rPr>
          <w:sz w:val="16"/>
          <w:szCs w:val="16"/>
          <w:u w:val="single"/>
          <w:lang w:val="es-ES"/>
        </w:rPr>
      </w:pPr>
    </w:p>
    <w:p w14:paraId="14E3225F" w14:textId="2D227403" w:rsidR="002C29A9" w:rsidRPr="00EB3D94" w:rsidRDefault="00972666" w:rsidP="002C29A9">
      <w:pPr>
        <w:pBdr>
          <w:top w:val="single" w:sz="4" w:space="1" w:color="auto"/>
          <w:left w:val="single" w:sz="4" w:space="4" w:color="auto"/>
          <w:bottom w:val="single" w:sz="4" w:space="1" w:color="auto"/>
          <w:right w:val="single" w:sz="4" w:space="4" w:color="auto"/>
        </w:pBdr>
        <w:jc w:val="center"/>
        <w:rPr>
          <w:u w:val="single"/>
          <w:lang w:val="es-ES"/>
        </w:rPr>
      </w:pPr>
      <m:oMathPara>
        <m:oMath>
          <m:r>
            <w:rPr>
              <w:rFonts w:ascii="Cambria Math" w:hAnsi="Cambria Math"/>
              <w:lang w:val="es-ES"/>
            </w:rPr>
            <m:t>Punt</m:t>
          </m:r>
          <m:r>
            <w:rPr>
              <w:rFonts w:ascii="Cambria Math" w:hAnsi="Cambria Math"/>
              <w:lang w:val="es-ES"/>
            </w:rPr>
            <m:t>o</m:t>
          </m:r>
          <m:r>
            <w:rPr>
              <w:rFonts w:ascii="Cambria Math" w:hAnsi="Cambria Math"/>
              <w:lang w:val="es-ES"/>
            </w:rPr>
            <m:t xml:space="preserve">s= </m:t>
          </m:r>
          <m:f>
            <m:fPr>
              <m:ctrlPr>
                <w:rPr>
                  <w:rFonts w:ascii="Cambria Math" w:hAnsi="Cambria Math"/>
                  <w:i/>
                  <w:lang w:val="es-ES"/>
                </w:rPr>
              </m:ctrlPr>
            </m:fPr>
            <m:num>
              <m:r>
                <w:rPr>
                  <w:rFonts w:ascii="Cambria Math" w:hAnsi="Cambria Math"/>
                  <w:lang w:val="es-ES"/>
                </w:rPr>
                <m:t>Ov  x  15</m:t>
              </m:r>
            </m:num>
            <m:den>
              <m:r>
                <w:rPr>
                  <w:rFonts w:ascii="Cambria Math" w:hAnsi="Cambria Math"/>
                  <w:lang w:val="es-ES"/>
                </w:rPr>
                <m:t>CM</m:t>
              </m:r>
            </m:den>
          </m:f>
        </m:oMath>
      </m:oMathPara>
    </w:p>
    <w:p w14:paraId="544BC8A4" w14:textId="77777777" w:rsidR="00EA14D5" w:rsidRPr="00EB3D94" w:rsidRDefault="00EA14D5" w:rsidP="002C29A9">
      <w:pPr>
        <w:ind w:left="1065" w:hanging="357"/>
        <w:rPr>
          <w:i/>
          <w:iCs/>
          <w:sz w:val="20"/>
          <w:lang w:val="es-ES"/>
        </w:rPr>
      </w:pPr>
    </w:p>
    <w:p w14:paraId="68AA4D95" w14:textId="1DC972F4" w:rsidR="002C29A9" w:rsidRPr="00EB3D94" w:rsidRDefault="002C29A9" w:rsidP="002C29A9">
      <w:pPr>
        <w:ind w:left="1065" w:hanging="357"/>
        <w:rPr>
          <w:i/>
          <w:iCs/>
          <w:sz w:val="20"/>
          <w:lang w:val="es-ES"/>
        </w:rPr>
      </w:pPr>
      <w:r w:rsidRPr="00EB3D94">
        <w:rPr>
          <w:i/>
          <w:iCs/>
          <w:sz w:val="20"/>
          <w:lang w:val="es-ES"/>
        </w:rPr>
        <w:t xml:space="preserve">CM = Mejor oferta (será la mejor oferta de todas las presentadas, incluida la entidad que se valora). Se entiende por “mejor oferta” la que presenta una reducción mayor </w:t>
      </w:r>
      <w:proofErr w:type="gramStart"/>
      <w:r w:rsidRPr="00EB3D94">
        <w:rPr>
          <w:i/>
          <w:iCs/>
          <w:sz w:val="20"/>
          <w:lang w:val="es-ES"/>
        </w:rPr>
        <w:t>en relación al</w:t>
      </w:r>
      <w:proofErr w:type="gramEnd"/>
      <w:r w:rsidRPr="00EB3D94">
        <w:rPr>
          <w:i/>
          <w:iCs/>
          <w:sz w:val="20"/>
          <w:lang w:val="es-ES"/>
        </w:rPr>
        <w:t xml:space="preserve"> diferencial máximo de 50 puntos básicos.</w:t>
      </w:r>
    </w:p>
    <w:p w14:paraId="686F3A5F" w14:textId="77777777" w:rsidR="002C29A9" w:rsidRPr="00EB3D94" w:rsidRDefault="002C29A9" w:rsidP="002C29A9">
      <w:pPr>
        <w:ind w:left="1065" w:hanging="357"/>
        <w:rPr>
          <w:i/>
          <w:iCs/>
          <w:sz w:val="20"/>
          <w:lang w:val="es-ES"/>
        </w:rPr>
      </w:pPr>
      <w:proofErr w:type="spellStart"/>
      <w:r w:rsidRPr="00EB3D94">
        <w:rPr>
          <w:i/>
          <w:iCs/>
          <w:sz w:val="20"/>
          <w:lang w:val="es-ES"/>
        </w:rPr>
        <w:t>Ov</w:t>
      </w:r>
      <w:proofErr w:type="spellEnd"/>
      <w:r w:rsidRPr="00EB3D94">
        <w:rPr>
          <w:i/>
          <w:iCs/>
          <w:sz w:val="20"/>
          <w:lang w:val="es-ES"/>
        </w:rPr>
        <w:t xml:space="preserve"> = Ofrecida a valorar</w:t>
      </w:r>
    </w:p>
    <w:p w14:paraId="0E1F4846" w14:textId="77777777" w:rsidR="002C29A9" w:rsidRPr="00EB3D94" w:rsidRDefault="002C29A9" w:rsidP="002C29A9">
      <w:pPr>
        <w:jc w:val="both"/>
        <w:rPr>
          <w:lang w:val="es-ES"/>
        </w:rPr>
      </w:pPr>
    </w:p>
    <w:p w14:paraId="61245F46" w14:textId="2FB862F4" w:rsidR="002C29A9" w:rsidRPr="00EB3D94" w:rsidRDefault="002C29A9" w:rsidP="00BC4866">
      <w:pPr>
        <w:jc w:val="both"/>
        <w:rPr>
          <w:lang w:val="es-ES"/>
        </w:rPr>
      </w:pPr>
      <w:r w:rsidRPr="00EB3D94">
        <w:rPr>
          <w:lang w:val="es-ES"/>
        </w:rPr>
        <w:t xml:space="preserve">El coste máximo se calculará en el momento de </w:t>
      </w:r>
      <w:r w:rsidR="00EA14D5" w:rsidRPr="00EB3D94">
        <w:rPr>
          <w:lang w:val="es-ES"/>
        </w:rPr>
        <w:t>la apertura</w:t>
      </w:r>
      <w:r w:rsidRPr="00EB3D94">
        <w:rPr>
          <w:lang w:val="es-ES"/>
        </w:rPr>
        <w:t xml:space="preserve"> del proceso de licitación de acuerdo con l</w:t>
      </w:r>
      <w:r w:rsidR="00EA14D5" w:rsidRPr="00EB3D94">
        <w:rPr>
          <w:lang w:val="es-ES"/>
        </w:rPr>
        <w:t>o</w:t>
      </w:r>
      <w:r w:rsidRPr="00EB3D94">
        <w:rPr>
          <w:lang w:val="es-ES"/>
        </w:rPr>
        <w:t xml:space="preserve"> previsto en el anexo 1 de la mencionada Resolución. En caso de prórroga del contrato, el coste máximo se calculará en la fecha de firma del acuerdo de prórroga del contrato de acuerdo con el previsto en el anexo 1 de la mencionada Resolución ya que es la fecha en que se hace efectivo el </w:t>
      </w:r>
      <w:r w:rsidR="00EA14D5" w:rsidRPr="00EB3D94">
        <w:rPr>
          <w:lang w:val="es-ES"/>
        </w:rPr>
        <w:t>acuerdo expreso</w:t>
      </w:r>
      <w:r w:rsidRPr="00EB3D94">
        <w:rPr>
          <w:lang w:val="es-ES"/>
        </w:rPr>
        <w:t xml:space="preserve"> entre las partes.</w:t>
      </w:r>
    </w:p>
    <w:p w14:paraId="4B67E2F6" w14:textId="77777777" w:rsidR="002C29A9" w:rsidRPr="00EB3D94" w:rsidRDefault="002C29A9" w:rsidP="00BC4866">
      <w:pPr>
        <w:jc w:val="both"/>
        <w:rPr>
          <w:rFonts w:cs="Arial"/>
          <w:szCs w:val="22"/>
          <w:lang w:val="es-ES"/>
        </w:rPr>
      </w:pPr>
    </w:p>
    <w:p w14:paraId="6B7ACBBC" w14:textId="40991939" w:rsidR="002C29A9" w:rsidRPr="00EB3D94" w:rsidRDefault="002C29A9" w:rsidP="00BC4866">
      <w:pPr>
        <w:jc w:val="both"/>
        <w:rPr>
          <w:rFonts w:cs="Arial"/>
          <w:szCs w:val="22"/>
          <w:lang w:val="es-ES"/>
        </w:rPr>
      </w:pPr>
      <w:r w:rsidRPr="00EB3D94">
        <w:rPr>
          <w:rFonts w:cs="Arial"/>
          <w:i/>
          <w:szCs w:val="22"/>
          <w:lang w:val="es-ES"/>
        </w:rPr>
        <w:t>5)</w:t>
      </w:r>
      <w:r w:rsidRPr="00EB3D94">
        <w:rPr>
          <w:rFonts w:cs="Arial"/>
          <w:i/>
          <w:szCs w:val="22"/>
          <w:u w:val="single"/>
          <w:lang w:val="es-ES"/>
        </w:rPr>
        <w:t xml:space="preserve"> Otros gastos de la operativa transaccional </w:t>
      </w:r>
      <w:r w:rsidRPr="00EB3D94">
        <w:rPr>
          <w:rFonts w:cs="Arial"/>
          <w:b/>
          <w:bCs/>
          <w:i/>
          <w:szCs w:val="22"/>
          <w:u w:val="single"/>
          <w:lang w:val="es-ES"/>
        </w:rPr>
        <w:t>(Sólo para el Lot</w:t>
      </w:r>
      <w:r w:rsidR="001150A0" w:rsidRPr="00EB3D94">
        <w:rPr>
          <w:rFonts w:cs="Arial"/>
          <w:b/>
          <w:bCs/>
          <w:i/>
          <w:szCs w:val="22"/>
          <w:u w:val="single"/>
          <w:lang w:val="es-ES"/>
        </w:rPr>
        <w:t>e</w:t>
      </w:r>
      <w:r w:rsidRPr="00EB3D94">
        <w:rPr>
          <w:rFonts w:cs="Arial"/>
          <w:b/>
          <w:bCs/>
          <w:i/>
          <w:szCs w:val="22"/>
          <w:u w:val="single"/>
          <w:lang w:val="es-ES"/>
        </w:rPr>
        <w:t xml:space="preserve"> 1)</w:t>
      </w:r>
      <w:r w:rsidRPr="00EB3D94">
        <w:rPr>
          <w:rFonts w:cs="Arial"/>
          <w:szCs w:val="22"/>
          <w:lang w:val="es-ES"/>
        </w:rPr>
        <w:tab/>
        <w:t xml:space="preserve"> </w:t>
      </w:r>
    </w:p>
    <w:p w14:paraId="60E6D95D" w14:textId="77777777" w:rsidR="002C29A9" w:rsidRPr="00EB3D94" w:rsidRDefault="002C29A9" w:rsidP="002C29A9">
      <w:pPr>
        <w:ind w:left="5664" w:firstLine="708"/>
        <w:jc w:val="both"/>
        <w:rPr>
          <w:rFonts w:cs="Arial"/>
          <w:b/>
          <w:bCs/>
          <w:i/>
          <w:szCs w:val="22"/>
          <w:lang w:val="es-ES"/>
        </w:rPr>
      </w:pPr>
      <w:r w:rsidRPr="00EB3D94">
        <w:rPr>
          <w:rFonts w:cs="Arial"/>
          <w:szCs w:val="22"/>
          <w:lang w:val="es-ES"/>
        </w:rPr>
        <w:t xml:space="preserve"> </w:t>
      </w:r>
      <w:r w:rsidRPr="00EB3D94">
        <w:rPr>
          <w:rFonts w:cs="Arial"/>
          <w:i/>
          <w:szCs w:val="22"/>
          <w:lang w:val="es-ES"/>
        </w:rPr>
        <w:t xml:space="preserve">puntuación máxima </w:t>
      </w:r>
      <w:r w:rsidRPr="00EB3D94">
        <w:rPr>
          <w:rFonts w:cs="Arial"/>
          <w:b/>
          <w:bCs/>
          <w:i/>
          <w:szCs w:val="22"/>
          <w:lang w:val="es-ES"/>
        </w:rPr>
        <w:t>5 puntos</w:t>
      </w:r>
    </w:p>
    <w:p w14:paraId="132DBE8C" w14:textId="77777777" w:rsidR="0025093D" w:rsidRPr="00EB3D94" w:rsidRDefault="0025093D" w:rsidP="002C29A9">
      <w:pPr>
        <w:ind w:left="5664" w:firstLine="708"/>
        <w:jc w:val="both"/>
        <w:rPr>
          <w:rFonts w:cs="Arial"/>
          <w:szCs w:val="22"/>
          <w:lang w:val="es-ES"/>
        </w:rPr>
      </w:pPr>
    </w:p>
    <w:p w14:paraId="5CF3BAB4" w14:textId="77777777" w:rsidR="0025093D" w:rsidRPr="00EB3D94" w:rsidRDefault="0025093D" w:rsidP="0025093D">
      <w:pPr>
        <w:rPr>
          <w:lang w:val="es-ES"/>
        </w:rPr>
      </w:pPr>
      <w:r w:rsidRPr="00EB3D94">
        <w:rPr>
          <w:lang w:val="es-ES"/>
        </w:rPr>
        <w:t xml:space="preserve">La puntuación de este apartado se obtendrá con el sumatorio de los cinco subapartados: </w:t>
      </w:r>
    </w:p>
    <w:p w14:paraId="0D4E6DED" w14:textId="77777777" w:rsidR="0025093D" w:rsidRPr="00EB3D94" w:rsidRDefault="0025093D" w:rsidP="0025093D">
      <w:pPr>
        <w:pStyle w:val="Pargrafdellista"/>
        <w:numPr>
          <w:ilvl w:val="0"/>
          <w:numId w:val="65"/>
        </w:numPr>
        <w:ind w:left="714" w:hanging="357"/>
        <w:rPr>
          <w:lang w:val="es-ES"/>
        </w:rPr>
      </w:pPr>
      <w:r w:rsidRPr="00EB3D94">
        <w:rPr>
          <w:lang w:val="es-ES"/>
        </w:rPr>
        <w:t>Pagos internacionales (transferencias euros). (1 punto)</w:t>
      </w:r>
    </w:p>
    <w:p w14:paraId="14DBCB1B" w14:textId="77777777" w:rsidR="0025093D" w:rsidRPr="00EB3D94" w:rsidRDefault="0025093D" w:rsidP="0025093D">
      <w:pPr>
        <w:pStyle w:val="Pargrafdellista"/>
        <w:numPr>
          <w:ilvl w:val="0"/>
          <w:numId w:val="65"/>
        </w:numPr>
        <w:ind w:left="714" w:hanging="357"/>
        <w:rPr>
          <w:lang w:val="es-ES"/>
        </w:rPr>
      </w:pPr>
      <w:r w:rsidRPr="00EB3D94">
        <w:rPr>
          <w:lang w:val="es-ES"/>
        </w:rPr>
        <w:t>Pagos internacionales (</w:t>
      </w:r>
      <w:proofErr w:type="gramStart"/>
      <w:r w:rsidRPr="00EB3D94">
        <w:rPr>
          <w:lang w:val="es-ES"/>
        </w:rPr>
        <w:t>transferencias divisa</w:t>
      </w:r>
      <w:proofErr w:type="gramEnd"/>
      <w:r w:rsidRPr="00EB3D94">
        <w:rPr>
          <w:lang w:val="es-ES"/>
        </w:rPr>
        <w:t>). (1 punto)</w:t>
      </w:r>
    </w:p>
    <w:p w14:paraId="4F0B9284" w14:textId="77777777" w:rsidR="0025093D" w:rsidRPr="00EB3D94" w:rsidRDefault="0025093D" w:rsidP="0025093D">
      <w:pPr>
        <w:pStyle w:val="Pargrafdellista"/>
        <w:numPr>
          <w:ilvl w:val="0"/>
          <w:numId w:val="65"/>
        </w:numPr>
        <w:ind w:left="714" w:hanging="357"/>
        <w:rPr>
          <w:lang w:val="es-ES"/>
        </w:rPr>
      </w:pPr>
      <w:r w:rsidRPr="00EB3D94">
        <w:rPr>
          <w:lang w:val="es-ES"/>
        </w:rPr>
        <w:lastRenderedPageBreak/>
        <w:t>Cobros internacionales (transferencias). (1 punto)</w:t>
      </w:r>
    </w:p>
    <w:p w14:paraId="0A00A547" w14:textId="77777777" w:rsidR="0025093D" w:rsidRPr="00EB3D94" w:rsidRDefault="0025093D" w:rsidP="0025093D">
      <w:pPr>
        <w:pStyle w:val="Pargrafdellista"/>
        <w:numPr>
          <w:ilvl w:val="0"/>
          <w:numId w:val="65"/>
        </w:numPr>
        <w:ind w:left="714" w:hanging="357"/>
        <w:rPr>
          <w:lang w:val="es-ES"/>
        </w:rPr>
      </w:pPr>
      <w:r w:rsidRPr="00EB3D94">
        <w:rPr>
          <w:lang w:val="es-ES"/>
        </w:rPr>
        <w:t>Coste por operativa con tarjetas/TPV (1 punto)</w:t>
      </w:r>
    </w:p>
    <w:p w14:paraId="55D147AB" w14:textId="7F986A0F" w:rsidR="0025093D" w:rsidRPr="00EB3D94" w:rsidRDefault="0025093D" w:rsidP="0025093D">
      <w:pPr>
        <w:pStyle w:val="Pargrafdellista"/>
        <w:numPr>
          <w:ilvl w:val="0"/>
          <w:numId w:val="65"/>
        </w:numPr>
        <w:ind w:left="714" w:hanging="357"/>
        <w:rPr>
          <w:lang w:val="es-ES"/>
        </w:rPr>
      </w:pPr>
      <w:r w:rsidRPr="00EB3D94">
        <w:rPr>
          <w:lang w:val="es-ES"/>
        </w:rPr>
        <w:t>Coste</w:t>
      </w:r>
      <w:r w:rsidR="002A5522" w:rsidRPr="00EB3D94">
        <w:rPr>
          <w:lang w:val="es-ES"/>
        </w:rPr>
        <w:t xml:space="preserve"> por r</w:t>
      </w:r>
      <w:r w:rsidRPr="00EB3D94">
        <w:rPr>
          <w:lang w:val="es-ES"/>
        </w:rPr>
        <w:t>ecibos domiciliados (€) (1 punto)</w:t>
      </w:r>
    </w:p>
    <w:p w14:paraId="58B751C6" w14:textId="77777777" w:rsidR="008F7796" w:rsidRPr="00EB3D94" w:rsidRDefault="008F7796" w:rsidP="00BC4866">
      <w:pPr>
        <w:jc w:val="both"/>
        <w:rPr>
          <w:rFonts w:cs="Arial"/>
          <w:szCs w:val="22"/>
          <w:lang w:val="es-ES"/>
        </w:rPr>
      </w:pPr>
    </w:p>
    <w:p w14:paraId="0BC8ECEE" w14:textId="77777777" w:rsidR="00A21FF1" w:rsidRPr="00EB3D94" w:rsidRDefault="00A21FF1" w:rsidP="00A21FF1">
      <w:pPr>
        <w:rPr>
          <w:lang w:val="es-ES"/>
        </w:rPr>
      </w:pPr>
      <w:r w:rsidRPr="00EB3D94">
        <w:rPr>
          <w:lang w:val="es-ES"/>
        </w:rPr>
        <w:t>La valoración de estos cinco apartados se realizará de la siguiente manera:</w:t>
      </w:r>
    </w:p>
    <w:p w14:paraId="36360B54" w14:textId="77777777" w:rsidR="00A21FF1" w:rsidRPr="00EB3D94" w:rsidRDefault="00A21FF1" w:rsidP="00A21FF1">
      <w:pPr>
        <w:pStyle w:val="Pargrafdellista"/>
        <w:numPr>
          <w:ilvl w:val="0"/>
          <w:numId w:val="64"/>
        </w:numPr>
        <w:autoSpaceDE w:val="0"/>
        <w:autoSpaceDN w:val="0"/>
        <w:adjustRightInd w:val="0"/>
        <w:ind w:left="357" w:hanging="357"/>
        <w:jc w:val="both"/>
        <w:rPr>
          <w:lang w:val="es-ES"/>
        </w:rPr>
      </w:pPr>
      <w:r w:rsidRPr="00EB3D94">
        <w:rPr>
          <w:lang w:val="es-ES"/>
        </w:rPr>
        <w:t xml:space="preserve">Las ofertas con porcentaje y coste igual a cero se </w:t>
      </w:r>
      <w:proofErr w:type="gramStart"/>
      <w:r w:rsidRPr="00EB3D94">
        <w:rPr>
          <w:lang w:val="es-ES"/>
        </w:rPr>
        <w:t>puntuará</w:t>
      </w:r>
      <w:proofErr w:type="gramEnd"/>
      <w:r w:rsidRPr="00EB3D94">
        <w:rPr>
          <w:lang w:val="es-ES"/>
        </w:rPr>
        <w:t xml:space="preserve"> con 1 punto.</w:t>
      </w:r>
    </w:p>
    <w:p w14:paraId="525D5714" w14:textId="77777777" w:rsidR="00A21FF1" w:rsidRPr="00EB3D94" w:rsidRDefault="00A21FF1" w:rsidP="00A21FF1">
      <w:pPr>
        <w:pStyle w:val="Pargrafdellista"/>
        <w:numPr>
          <w:ilvl w:val="0"/>
          <w:numId w:val="64"/>
        </w:numPr>
        <w:autoSpaceDE w:val="0"/>
        <w:autoSpaceDN w:val="0"/>
        <w:adjustRightInd w:val="0"/>
        <w:ind w:left="357" w:hanging="357"/>
        <w:jc w:val="both"/>
        <w:rPr>
          <w:lang w:val="es-ES"/>
        </w:rPr>
      </w:pPr>
      <w:r w:rsidRPr="00EB3D94">
        <w:rPr>
          <w:lang w:val="es-ES"/>
        </w:rPr>
        <w:t xml:space="preserve">El resto de </w:t>
      </w:r>
      <w:proofErr w:type="gramStart"/>
      <w:r w:rsidRPr="00EB3D94">
        <w:rPr>
          <w:lang w:val="es-ES"/>
        </w:rPr>
        <w:t>ofertas</w:t>
      </w:r>
      <w:proofErr w:type="gramEnd"/>
      <w:r w:rsidRPr="00EB3D94">
        <w:rPr>
          <w:lang w:val="es-ES"/>
        </w:rPr>
        <w:t xml:space="preserve"> se valorarán hasta un máximo de 0,7 puntos según la fórmula siguiente: </w:t>
      </w:r>
    </w:p>
    <w:p w14:paraId="61E271A1" w14:textId="77777777" w:rsidR="00A21FF1" w:rsidRPr="00EB3D94" w:rsidRDefault="00A21FF1" w:rsidP="00A21FF1">
      <w:pPr>
        <w:rPr>
          <w:lang w:val="es-ES"/>
        </w:rPr>
      </w:pPr>
    </w:p>
    <w:p w14:paraId="472E25C0" w14:textId="1529D031" w:rsidR="00A21FF1" w:rsidRPr="00EB3D94" w:rsidRDefault="00972666" w:rsidP="00A21FF1">
      <w:pPr>
        <w:pBdr>
          <w:top w:val="single" w:sz="4" w:space="1" w:color="auto"/>
          <w:left w:val="single" w:sz="4" w:space="4" w:color="auto"/>
          <w:bottom w:val="single" w:sz="4" w:space="1" w:color="auto"/>
          <w:right w:val="single" w:sz="4" w:space="4" w:color="auto"/>
        </w:pBdr>
        <w:jc w:val="center"/>
        <w:rPr>
          <w:lang w:val="es-ES"/>
        </w:rPr>
      </w:pPr>
      <m:oMathPara>
        <m:oMath>
          <m:r>
            <w:rPr>
              <w:rFonts w:ascii="Cambria Math" w:hAnsi="Cambria Math"/>
              <w:lang w:val="es-ES"/>
            </w:rPr>
            <m:t>Punt</m:t>
          </m:r>
          <m:r>
            <w:rPr>
              <w:rFonts w:ascii="Cambria Math" w:hAnsi="Cambria Math"/>
              <w:lang w:val="es-ES"/>
            </w:rPr>
            <m:t>o</m:t>
          </m:r>
          <m:r>
            <w:rPr>
              <w:rFonts w:ascii="Cambria Math" w:hAnsi="Cambria Math"/>
              <w:lang w:val="es-ES"/>
            </w:rPr>
            <m:t xml:space="preserve">s= </m:t>
          </m:r>
          <m:f>
            <m:fPr>
              <m:ctrlPr>
                <w:rPr>
                  <w:rFonts w:ascii="Cambria Math" w:hAnsi="Cambria Math"/>
                  <w:i/>
                  <w:lang w:val="es-ES"/>
                </w:rPr>
              </m:ctrlPr>
            </m:fPr>
            <m:num>
              <m:r>
                <w:rPr>
                  <w:rFonts w:ascii="Cambria Math" w:hAnsi="Cambria Math"/>
                  <w:lang w:val="es-ES"/>
                </w:rPr>
                <m:t>Cm  x  0,7</m:t>
              </m:r>
            </m:num>
            <m:den>
              <m:r>
                <w:rPr>
                  <w:rFonts w:ascii="Cambria Math" w:hAnsi="Cambria Math"/>
                  <w:lang w:val="es-ES"/>
                </w:rPr>
                <m:t>Ov</m:t>
              </m:r>
            </m:den>
          </m:f>
        </m:oMath>
      </m:oMathPara>
    </w:p>
    <w:p w14:paraId="506AFEAE" w14:textId="77777777" w:rsidR="00A21FF1" w:rsidRPr="00EB3D94" w:rsidRDefault="00A21FF1" w:rsidP="00A21FF1">
      <w:pPr>
        <w:ind w:left="357" w:hanging="357"/>
        <w:rPr>
          <w:i/>
          <w:iCs/>
          <w:sz w:val="2"/>
          <w:szCs w:val="2"/>
          <w:lang w:val="es-ES"/>
        </w:rPr>
      </w:pPr>
    </w:p>
    <w:p w14:paraId="33B94170" w14:textId="77777777" w:rsidR="00A21FF1" w:rsidRPr="00EB3D94" w:rsidRDefault="00A21FF1" w:rsidP="00A21FF1">
      <w:pPr>
        <w:ind w:left="357" w:hanging="357"/>
        <w:jc w:val="both"/>
        <w:rPr>
          <w:i/>
          <w:iCs/>
          <w:lang w:val="es-ES"/>
        </w:rPr>
      </w:pPr>
    </w:p>
    <w:p w14:paraId="65103290" w14:textId="77777777" w:rsidR="00A21FF1" w:rsidRPr="00EB3D94" w:rsidRDefault="00A21FF1" w:rsidP="00A21FF1">
      <w:pPr>
        <w:ind w:left="714" w:hanging="357"/>
        <w:jc w:val="both"/>
        <w:rPr>
          <w:i/>
          <w:iCs/>
          <w:sz w:val="20"/>
          <w:lang w:val="es-ES"/>
        </w:rPr>
      </w:pPr>
      <w:r w:rsidRPr="00EB3D94">
        <w:rPr>
          <w:i/>
          <w:iCs/>
          <w:sz w:val="20"/>
          <w:lang w:val="es-ES"/>
        </w:rPr>
        <w:t>Cm = Mejor oferta (será el coste menor por cuenta corriente de todas las ofertas presentadas diferentes de cero, incluida la entidad que se valora).</w:t>
      </w:r>
    </w:p>
    <w:p w14:paraId="3970A617" w14:textId="3C1B3598" w:rsidR="00A21FF1" w:rsidRPr="00EB3D94" w:rsidRDefault="00A21FF1" w:rsidP="00A21FF1">
      <w:pPr>
        <w:ind w:left="714" w:hanging="357"/>
        <w:rPr>
          <w:i/>
          <w:iCs/>
          <w:sz w:val="20"/>
          <w:lang w:val="es-ES"/>
        </w:rPr>
      </w:pPr>
      <w:proofErr w:type="spellStart"/>
      <w:r w:rsidRPr="00EB3D94">
        <w:rPr>
          <w:i/>
          <w:iCs/>
          <w:sz w:val="20"/>
          <w:lang w:val="es-ES"/>
        </w:rPr>
        <w:t>Ov</w:t>
      </w:r>
      <w:proofErr w:type="spellEnd"/>
      <w:r w:rsidRPr="00EB3D94">
        <w:rPr>
          <w:i/>
          <w:iCs/>
          <w:sz w:val="20"/>
          <w:lang w:val="es-ES"/>
        </w:rPr>
        <w:t xml:space="preserve"> = Ofrecida a valorar (será el valor ofrecid</w:t>
      </w:r>
      <w:r w:rsidR="002A5522" w:rsidRPr="00EB3D94">
        <w:rPr>
          <w:i/>
          <w:iCs/>
          <w:sz w:val="20"/>
          <w:lang w:val="es-ES"/>
        </w:rPr>
        <w:t>o por</w:t>
      </w:r>
      <w:r w:rsidRPr="00EB3D94">
        <w:rPr>
          <w:i/>
          <w:iCs/>
          <w:vanish/>
          <w:sz w:val="20"/>
          <w:lang w:val="es-ES"/>
        </w:rPr>
        <w:t>&lt;A[por|para]&gt;</w:t>
      </w:r>
      <w:r w:rsidRPr="00EB3D94">
        <w:rPr>
          <w:i/>
          <w:iCs/>
          <w:sz w:val="20"/>
          <w:lang w:val="es-ES"/>
        </w:rPr>
        <w:t xml:space="preserve"> el E.F.)</w:t>
      </w:r>
    </w:p>
    <w:p w14:paraId="31A089C9" w14:textId="77777777" w:rsidR="00A21FF1" w:rsidRPr="00EB3D94" w:rsidRDefault="00A21FF1" w:rsidP="00A21FF1">
      <w:pPr>
        <w:jc w:val="both"/>
        <w:rPr>
          <w:lang w:val="es-ES"/>
        </w:rPr>
      </w:pPr>
    </w:p>
    <w:p w14:paraId="76D2BE28" w14:textId="4AD4B9D6" w:rsidR="00A21FF1" w:rsidRPr="00EB3D94" w:rsidRDefault="00A21FF1" w:rsidP="00A21FF1">
      <w:pPr>
        <w:jc w:val="both"/>
        <w:rPr>
          <w:lang w:val="es-ES"/>
        </w:rPr>
      </w:pPr>
      <w:r w:rsidRPr="00EB3D94">
        <w:rPr>
          <w:lang w:val="es-ES"/>
        </w:rPr>
        <w:t xml:space="preserve">A </w:t>
      </w:r>
      <w:proofErr w:type="gramStart"/>
      <w:r w:rsidRPr="00EB3D94">
        <w:rPr>
          <w:lang w:val="es-ES"/>
        </w:rPr>
        <w:t>continuación</w:t>
      </w:r>
      <w:proofErr w:type="gramEnd"/>
      <w:r w:rsidRPr="00EB3D94">
        <w:rPr>
          <w:lang w:val="es-ES"/>
        </w:rPr>
        <w:t xml:space="preserve"> se indican los </w:t>
      </w:r>
      <w:r w:rsidR="002A5522" w:rsidRPr="00EB3D94">
        <w:rPr>
          <w:lang w:val="es-ES"/>
        </w:rPr>
        <w:t>servicios para</w:t>
      </w:r>
      <w:r w:rsidRPr="00EB3D94">
        <w:rPr>
          <w:lang w:val="es-ES"/>
        </w:rPr>
        <w:t xml:space="preserve"> los cuales se </w:t>
      </w:r>
      <w:r w:rsidR="00982820" w:rsidRPr="00EB3D94">
        <w:rPr>
          <w:lang w:val="es-ES"/>
        </w:rPr>
        <w:t xml:space="preserve">debe </w:t>
      </w:r>
      <w:r w:rsidRPr="00EB3D94">
        <w:rPr>
          <w:lang w:val="es-ES"/>
        </w:rPr>
        <w:t>especificar el gasto máximo que se cobrará y los productos especiales a ofrecer, con especificación de los puntos máximos a otorgar y la forma de valoración.</w:t>
      </w:r>
    </w:p>
    <w:p w14:paraId="0DD5F214" w14:textId="77777777" w:rsidR="00A21FF1" w:rsidRPr="00EB3D94" w:rsidRDefault="00A21FF1" w:rsidP="00A21FF1">
      <w:pPr>
        <w:jc w:val="both"/>
        <w:rPr>
          <w:lang w:val="es-ES"/>
        </w:rPr>
      </w:pPr>
    </w:p>
    <w:p w14:paraId="63B4B252" w14:textId="77777777" w:rsidR="00A21FF1" w:rsidRPr="00EB3D94" w:rsidRDefault="00A21FF1" w:rsidP="00A21FF1">
      <w:pPr>
        <w:jc w:val="both"/>
        <w:rPr>
          <w:lang w:val="es-ES"/>
        </w:rPr>
      </w:pPr>
      <w:r w:rsidRPr="00EB3D94">
        <w:rPr>
          <w:lang w:val="es-ES"/>
        </w:rPr>
        <w:t>Cuando la complejidad de la comparativa de los datos no permita valorar algún apartado de forma coherente e inequívoca, este no se puntuará para ninguno de los licitadores.</w:t>
      </w:r>
    </w:p>
    <w:p w14:paraId="2629D174" w14:textId="77777777" w:rsidR="00A21FF1" w:rsidRPr="00EB3D94" w:rsidRDefault="00A21FF1" w:rsidP="00A21FF1">
      <w:pPr>
        <w:jc w:val="both"/>
        <w:rPr>
          <w:lang w:val="es-ES"/>
        </w:rPr>
      </w:pPr>
    </w:p>
    <w:p w14:paraId="2D550491" w14:textId="77777777" w:rsidR="00A21FF1" w:rsidRPr="00EB3D94" w:rsidRDefault="00A21FF1" w:rsidP="00A21FF1">
      <w:pPr>
        <w:spacing w:after="40"/>
        <w:rPr>
          <w:u w:val="dotted"/>
          <w:lang w:val="es-ES"/>
        </w:rPr>
      </w:pPr>
      <w:r w:rsidRPr="00EB3D94">
        <w:rPr>
          <w:u w:val="dotted"/>
          <w:lang w:val="es-ES"/>
        </w:rPr>
        <w:t>a) Pagos Internacionales (transferencias):</w:t>
      </w:r>
    </w:p>
    <w:p w14:paraId="319CF5B6" w14:textId="4F1E1535" w:rsidR="00A21FF1" w:rsidRPr="00EB3D94" w:rsidRDefault="00A21FF1" w:rsidP="00A21FF1">
      <w:pPr>
        <w:tabs>
          <w:tab w:val="left" w:pos="567"/>
        </w:tabs>
        <w:ind w:left="284"/>
        <w:jc w:val="both"/>
        <w:rPr>
          <w:lang w:val="es-ES"/>
        </w:rPr>
      </w:pPr>
      <w:r w:rsidRPr="00EB3D94">
        <w:rPr>
          <w:lang w:val="es-ES"/>
        </w:rPr>
        <w:t xml:space="preserve">Las entidades licitadoras </w:t>
      </w:r>
      <w:r w:rsidR="00A25938" w:rsidRPr="00EB3D94">
        <w:rPr>
          <w:lang w:val="es-ES"/>
        </w:rPr>
        <w:t xml:space="preserve">deberán </w:t>
      </w:r>
      <w:r w:rsidRPr="00EB3D94">
        <w:rPr>
          <w:lang w:val="es-ES"/>
        </w:rPr>
        <w:t>indicar en su oferta el importe de las comisiones aplicables a los pagos internacionales (modalidad SHARE), desglosando:</w:t>
      </w:r>
    </w:p>
    <w:p w14:paraId="6D8B0215" w14:textId="77777777" w:rsidR="00A21FF1" w:rsidRPr="00EB3D94" w:rsidRDefault="00A21FF1" w:rsidP="00A21FF1">
      <w:pPr>
        <w:pStyle w:val="Pargrafdellista"/>
        <w:numPr>
          <w:ilvl w:val="0"/>
          <w:numId w:val="8"/>
        </w:numPr>
        <w:tabs>
          <w:tab w:val="clear" w:pos="1440"/>
          <w:tab w:val="left" w:pos="567"/>
          <w:tab w:val="num" w:pos="1788"/>
        </w:tabs>
        <w:autoSpaceDE w:val="0"/>
        <w:autoSpaceDN w:val="0"/>
        <w:adjustRightInd w:val="0"/>
        <w:ind w:left="284" w:firstLine="0"/>
        <w:jc w:val="both"/>
        <w:rPr>
          <w:lang w:val="es-ES"/>
        </w:rPr>
      </w:pPr>
      <w:proofErr w:type="gramStart"/>
      <w:r w:rsidRPr="00EB3D94">
        <w:rPr>
          <w:lang w:val="es-ES"/>
        </w:rPr>
        <w:t>Porcentaje a aplicar</w:t>
      </w:r>
      <w:proofErr w:type="gramEnd"/>
      <w:r w:rsidRPr="00EB3D94">
        <w:rPr>
          <w:lang w:val="es-ES"/>
        </w:rPr>
        <w:t xml:space="preserve"> sobre el importe de la transferencia, </w:t>
      </w:r>
    </w:p>
    <w:p w14:paraId="08DBDDF6" w14:textId="77777777" w:rsidR="00A21FF1" w:rsidRPr="00EB3D94" w:rsidRDefault="00A21FF1" w:rsidP="00A21FF1">
      <w:pPr>
        <w:pStyle w:val="Pargrafdellista"/>
        <w:numPr>
          <w:ilvl w:val="0"/>
          <w:numId w:val="8"/>
        </w:numPr>
        <w:tabs>
          <w:tab w:val="clear" w:pos="1440"/>
          <w:tab w:val="left" w:pos="567"/>
          <w:tab w:val="num" w:pos="1788"/>
        </w:tabs>
        <w:autoSpaceDE w:val="0"/>
        <w:autoSpaceDN w:val="0"/>
        <w:adjustRightInd w:val="0"/>
        <w:ind w:left="284" w:firstLine="0"/>
        <w:jc w:val="both"/>
        <w:rPr>
          <w:lang w:val="es-ES"/>
        </w:rPr>
      </w:pPr>
      <w:r w:rsidRPr="00EB3D94">
        <w:rPr>
          <w:lang w:val="es-ES"/>
        </w:rPr>
        <w:t xml:space="preserve">Importe mínimo aplicable, y </w:t>
      </w:r>
    </w:p>
    <w:p w14:paraId="75DEE36E" w14:textId="77777777" w:rsidR="00A21FF1" w:rsidRPr="00EB3D94" w:rsidRDefault="00A21FF1" w:rsidP="00A21FF1">
      <w:pPr>
        <w:pStyle w:val="Pargrafdellista"/>
        <w:numPr>
          <w:ilvl w:val="0"/>
          <w:numId w:val="8"/>
        </w:numPr>
        <w:tabs>
          <w:tab w:val="clear" w:pos="1440"/>
          <w:tab w:val="left" w:pos="567"/>
          <w:tab w:val="num" w:pos="1788"/>
        </w:tabs>
        <w:autoSpaceDE w:val="0"/>
        <w:autoSpaceDN w:val="0"/>
        <w:adjustRightInd w:val="0"/>
        <w:ind w:left="284" w:firstLine="0"/>
        <w:jc w:val="both"/>
        <w:rPr>
          <w:lang w:val="es-ES"/>
        </w:rPr>
      </w:pPr>
      <w:r w:rsidRPr="00EB3D94">
        <w:rPr>
          <w:lang w:val="es-ES"/>
        </w:rPr>
        <w:t>Importe máximo aplicable.</w:t>
      </w:r>
    </w:p>
    <w:p w14:paraId="02C7F497" w14:textId="77777777" w:rsidR="00A21FF1" w:rsidRPr="00EB3D94" w:rsidRDefault="00A21FF1" w:rsidP="00A21FF1">
      <w:pPr>
        <w:tabs>
          <w:tab w:val="left" w:pos="567"/>
        </w:tabs>
        <w:ind w:left="284"/>
        <w:jc w:val="both"/>
        <w:rPr>
          <w:lang w:val="es-ES"/>
        </w:rPr>
      </w:pPr>
      <w:r w:rsidRPr="00EB3D94">
        <w:rPr>
          <w:lang w:val="es-ES"/>
        </w:rPr>
        <w:t>Con el fin de facilitar la valoración, se tomará como valor de referencia el porcentaje a aplicar sobre el importe de la transferencia.</w:t>
      </w:r>
    </w:p>
    <w:p w14:paraId="4BFF019F" w14:textId="77777777" w:rsidR="00A21FF1" w:rsidRPr="00EB3D94" w:rsidRDefault="00A21FF1" w:rsidP="00A21FF1">
      <w:pPr>
        <w:jc w:val="both"/>
        <w:rPr>
          <w:lang w:val="es-ES"/>
        </w:rPr>
      </w:pPr>
    </w:p>
    <w:p w14:paraId="10EE1685" w14:textId="77777777" w:rsidR="00A21FF1" w:rsidRPr="00EB3D94" w:rsidRDefault="00A21FF1" w:rsidP="00A21FF1">
      <w:pPr>
        <w:spacing w:after="40"/>
        <w:rPr>
          <w:u w:val="dotted"/>
          <w:lang w:val="es-ES"/>
        </w:rPr>
      </w:pPr>
      <w:r w:rsidRPr="00EB3D94">
        <w:rPr>
          <w:u w:val="dotted"/>
          <w:lang w:val="es-ES"/>
        </w:rPr>
        <w:t>b) Pagos Internacionales (transferencias en divisas):</w:t>
      </w:r>
    </w:p>
    <w:p w14:paraId="18E2AA0F" w14:textId="08DF4F60" w:rsidR="00A21FF1" w:rsidRPr="00EB3D94" w:rsidRDefault="00A21FF1" w:rsidP="00A21FF1">
      <w:pPr>
        <w:ind w:left="284"/>
        <w:jc w:val="both"/>
        <w:rPr>
          <w:lang w:val="es-ES"/>
        </w:rPr>
      </w:pPr>
      <w:r w:rsidRPr="00EB3D94">
        <w:rPr>
          <w:lang w:val="es-ES"/>
        </w:rPr>
        <w:t xml:space="preserve">Las entidades licitadoras </w:t>
      </w:r>
      <w:r w:rsidR="00A25938" w:rsidRPr="00EB3D94">
        <w:rPr>
          <w:lang w:val="es-ES"/>
        </w:rPr>
        <w:t xml:space="preserve">deberán </w:t>
      </w:r>
      <w:r w:rsidRPr="00EB3D94">
        <w:rPr>
          <w:lang w:val="es-ES"/>
        </w:rPr>
        <w:t>indicar en su oferta el importe de las comisiones aplicables a los pagos internacionales en moneda extranjera (modalidad SHARE), desglosando:</w:t>
      </w:r>
    </w:p>
    <w:p w14:paraId="4AA2CEB3" w14:textId="77777777" w:rsidR="00A21FF1" w:rsidRPr="00EB3D94" w:rsidRDefault="00A21FF1" w:rsidP="00A21FF1">
      <w:pPr>
        <w:pStyle w:val="Pargrafdellista"/>
        <w:numPr>
          <w:ilvl w:val="0"/>
          <w:numId w:val="8"/>
        </w:numPr>
        <w:tabs>
          <w:tab w:val="clear" w:pos="1440"/>
          <w:tab w:val="num" w:pos="1080"/>
        </w:tabs>
        <w:autoSpaceDE w:val="0"/>
        <w:autoSpaceDN w:val="0"/>
        <w:adjustRightInd w:val="0"/>
        <w:ind w:left="1077" w:hanging="357"/>
        <w:jc w:val="both"/>
        <w:rPr>
          <w:lang w:val="es-ES"/>
        </w:rPr>
      </w:pPr>
      <w:proofErr w:type="gramStart"/>
      <w:r w:rsidRPr="00EB3D94">
        <w:rPr>
          <w:lang w:val="es-ES"/>
        </w:rPr>
        <w:t>Porcentaje a aplicar</w:t>
      </w:r>
      <w:proofErr w:type="gramEnd"/>
      <w:r w:rsidRPr="00EB3D94">
        <w:rPr>
          <w:lang w:val="es-ES"/>
        </w:rPr>
        <w:t xml:space="preserve"> sobre el importe de la transferencia, </w:t>
      </w:r>
    </w:p>
    <w:p w14:paraId="62E08D48" w14:textId="77777777" w:rsidR="00A21FF1" w:rsidRPr="00EB3D94" w:rsidRDefault="00A21FF1" w:rsidP="00A21FF1">
      <w:pPr>
        <w:pStyle w:val="Pargrafdellista"/>
        <w:numPr>
          <w:ilvl w:val="0"/>
          <w:numId w:val="8"/>
        </w:numPr>
        <w:tabs>
          <w:tab w:val="clear" w:pos="1440"/>
          <w:tab w:val="num" w:pos="1080"/>
        </w:tabs>
        <w:autoSpaceDE w:val="0"/>
        <w:autoSpaceDN w:val="0"/>
        <w:adjustRightInd w:val="0"/>
        <w:ind w:left="1077" w:hanging="357"/>
        <w:jc w:val="both"/>
        <w:rPr>
          <w:lang w:val="es-ES"/>
        </w:rPr>
      </w:pPr>
      <w:r w:rsidRPr="00EB3D94">
        <w:rPr>
          <w:lang w:val="es-ES"/>
        </w:rPr>
        <w:t xml:space="preserve">Importe mínimo aplicable, y </w:t>
      </w:r>
    </w:p>
    <w:p w14:paraId="5B98DE58" w14:textId="77777777" w:rsidR="00A21FF1" w:rsidRPr="00EB3D94" w:rsidRDefault="00A21FF1" w:rsidP="00A21FF1">
      <w:pPr>
        <w:pStyle w:val="Pargrafdellista"/>
        <w:numPr>
          <w:ilvl w:val="0"/>
          <w:numId w:val="8"/>
        </w:numPr>
        <w:tabs>
          <w:tab w:val="clear" w:pos="1440"/>
          <w:tab w:val="num" w:pos="1080"/>
        </w:tabs>
        <w:autoSpaceDE w:val="0"/>
        <w:autoSpaceDN w:val="0"/>
        <w:adjustRightInd w:val="0"/>
        <w:ind w:left="1077" w:hanging="357"/>
        <w:jc w:val="both"/>
        <w:rPr>
          <w:lang w:val="es-ES"/>
        </w:rPr>
      </w:pPr>
      <w:r w:rsidRPr="00EB3D94">
        <w:rPr>
          <w:lang w:val="es-ES"/>
        </w:rPr>
        <w:t>Importe máximo aplicable.</w:t>
      </w:r>
    </w:p>
    <w:p w14:paraId="1296B1FC" w14:textId="77777777" w:rsidR="00A21FF1" w:rsidRPr="00EB3D94" w:rsidRDefault="00A21FF1" w:rsidP="00A21FF1">
      <w:pPr>
        <w:jc w:val="both"/>
        <w:rPr>
          <w:lang w:val="es-ES"/>
        </w:rPr>
      </w:pPr>
    </w:p>
    <w:p w14:paraId="3A36C61F" w14:textId="77777777" w:rsidR="00A21FF1" w:rsidRPr="00EB3D94" w:rsidRDefault="00A21FF1" w:rsidP="00A21FF1">
      <w:pPr>
        <w:ind w:left="284"/>
        <w:jc w:val="both"/>
        <w:rPr>
          <w:lang w:val="es-ES"/>
        </w:rPr>
      </w:pPr>
      <w:r w:rsidRPr="00EB3D94">
        <w:rPr>
          <w:u w:val="dotted"/>
          <w:lang w:val="es-ES"/>
        </w:rPr>
        <w:t>Con el fin de facilitar la valoración, se tomará como valor de referencia el porcentaje a aplicar sobre el importe de la transferencia</w:t>
      </w:r>
      <w:r w:rsidRPr="00EB3D94">
        <w:rPr>
          <w:lang w:val="es-ES"/>
        </w:rPr>
        <w:t>.</w:t>
      </w:r>
    </w:p>
    <w:p w14:paraId="625B683B" w14:textId="77777777" w:rsidR="00A21FF1" w:rsidRPr="00EB3D94" w:rsidRDefault="00A21FF1" w:rsidP="00A21FF1">
      <w:pPr>
        <w:ind w:left="284"/>
        <w:jc w:val="both"/>
        <w:rPr>
          <w:lang w:val="es-ES"/>
        </w:rPr>
      </w:pPr>
    </w:p>
    <w:p w14:paraId="67BA7885" w14:textId="77777777" w:rsidR="00A21FF1" w:rsidRPr="00EB3D94" w:rsidRDefault="00A21FF1" w:rsidP="00A21FF1">
      <w:pPr>
        <w:spacing w:after="40"/>
        <w:rPr>
          <w:u w:val="dotted"/>
          <w:lang w:val="es-ES"/>
        </w:rPr>
      </w:pPr>
      <w:r w:rsidRPr="00EB3D94">
        <w:rPr>
          <w:u w:val="dotted"/>
          <w:lang w:val="es-ES"/>
        </w:rPr>
        <w:t>c) Cobros internacionales (transferencias):</w:t>
      </w:r>
    </w:p>
    <w:p w14:paraId="77AE8564" w14:textId="3E19DC29" w:rsidR="00A21FF1" w:rsidRPr="00EB3D94" w:rsidRDefault="00A21FF1" w:rsidP="00A21FF1">
      <w:pPr>
        <w:ind w:left="284"/>
        <w:jc w:val="both"/>
        <w:rPr>
          <w:lang w:val="es-ES"/>
        </w:rPr>
      </w:pPr>
      <w:r w:rsidRPr="00EB3D94">
        <w:rPr>
          <w:lang w:val="es-ES"/>
        </w:rPr>
        <w:t xml:space="preserve">Las entidades licitadoras </w:t>
      </w:r>
      <w:r w:rsidR="00A25938" w:rsidRPr="00EB3D94">
        <w:rPr>
          <w:lang w:val="es-ES"/>
        </w:rPr>
        <w:t xml:space="preserve">deberán </w:t>
      </w:r>
      <w:r w:rsidRPr="00EB3D94">
        <w:rPr>
          <w:lang w:val="es-ES"/>
        </w:rPr>
        <w:t>indicar en su oferta el importe de las comisiones aplicables a los cobros internacionales (modalidad SHARE), desglosando:</w:t>
      </w:r>
    </w:p>
    <w:p w14:paraId="7D404FED" w14:textId="77777777" w:rsidR="00A21FF1" w:rsidRPr="00EB3D94" w:rsidRDefault="00A21FF1" w:rsidP="00A21FF1">
      <w:pPr>
        <w:pStyle w:val="Pargrafdellista"/>
        <w:numPr>
          <w:ilvl w:val="0"/>
          <w:numId w:val="8"/>
        </w:numPr>
        <w:tabs>
          <w:tab w:val="clear" w:pos="1440"/>
          <w:tab w:val="num" w:pos="1080"/>
        </w:tabs>
        <w:autoSpaceDE w:val="0"/>
        <w:autoSpaceDN w:val="0"/>
        <w:adjustRightInd w:val="0"/>
        <w:ind w:left="284" w:firstLine="425"/>
        <w:jc w:val="both"/>
        <w:rPr>
          <w:lang w:val="es-ES"/>
        </w:rPr>
      </w:pPr>
      <w:proofErr w:type="gramStart"/>
      <w:r w:rsidRPr="00EB3D94">
        <w:rPr>
          <w:lang w:val="es-ES"/>
        </w:rPr>
        <w:t>Porcentaje a aplicar</w:t>
      </w:r>
      <w:proofErr w:type="gramEnd"/>
      <w:r w:rsidRPr="00EB3D94">
        <w:rPr>
          <w:lang w:val="es-ES"/>
        </w:rPr>
        <w:t xml:space="preserve"> sobre el importe de la transferencia, </w:t>
      </w:r>
    </w:p>
    <w:p w14:paraId="27472804" w14:textId="77777777" w:rsidR="00A21FF1" w:rsidRPr="00EB3D94" w:rsidRDefault="00A21FF1" w:rsidP="00A21FF1">
      <w:pPr>
        <w:pStyle w:val="Pargrafdellista"/>
        <w:numPr>
          <w:ilvl w:val="0"/>
          <w:numId w:val="8"/>
        </w:numPr>
        <w:tabs>
          <w:tab w:val="clear" w:pos="1440"/>
          <w:tab w:val="num" w:pos="1080"/>
        </w:tabs>
        <w:autoSpaceDE w:val="0"/>
        <w:autoSpaceDN w:val="0"/>
        <w:adjustRightInd w:val="0"/>
        <w:ind w:left="284" w:firstLine="425"/>
        <w:jc w:val="both"/>
        <w:rPr>
          <w:lang w:val="es-ES"/>
        </w:rPr>
      </w:pPr>
      <w:r w:rsidRPr="00EB3D94">
        <w:rPr>
          <w:lang w:val="es-ES"/>
        </w:rPr>
        <w:t xml:space="preserve">Importe mínimo aplicable, y </w:t>
      </w:r>
    </w:p>
    <w:p w14:paraId="6FD6F119" w14:textId="77777777" w:rsidR="00A21FF1" w:rsidRPr="00EB3D94" w:rsidRDefault="00A21FF1" w:rsidP="00A21FF1">
      <w:pPr>
        <w:pStyle w:val="Pargrafdellista"/>
        <w:numPr>
          <w:ilvl w:val="0"/>
          <w:numId w:val="8"/>
        </w:numPr>
        <w:tabs>
          <w:tab w:val="clear" w:pos="1440"/>
          <w:tab w:val="num" w:pos="1080"/>
        </w:tabs>
        <w:autoSpaceDE w:val="0"/>
        <w:autoSpaceDN w:val="0"/>
        <w:adjustRightInd w:val="0"/>
        <w:ind w:left="284" w:firstLine="425"/>
        <w:jc w:val="both"/>
        <w:rPr>
          <w:lang w:val="es-ES"/>
        </w:rPr>
      </w:pPr>
      <w:r w:rsidRPr="00EB3D94">
        <w:rPr>
          <w:lang w:val="es-ES"/>
        </w:rPr>
        <w:t>Importe máximo aplicable.</w:t>
      </w:r>
    </w:p>
    <w:p w14:paraId="23EC4F82" w14:textId="77777777" w:rsidR="00A21FF1" w:rsidRPr="00EB3D94" w:rsidRDefault="00A21FF1" w:rsidP="00A21FF1">
      <w:pPr>
        <w:pStyle w:val="Pargrafdellista"/>
        <w:autoSpaceDE w:val="0"/>
        <w:autoSpaceDN w:val="0"/>
        <w:adjustRightInd w:val="0"/>
        <w:ind w:left="709"/>
        <w:jc w:val="both"/>
        <w:rPr>
          <w:lang w:val="es-ES"/>
        </w:rPr>
      </w:pPr>
    </w:p>
    <w:p w14:paraId="3BB2F8C8" w14:textId="77777777" w:rsidR="00A21FF1" w:rsidRPr="00EB3D94" w:rsidRDefault="00A21FF1" w:rsidP="00A21FF1">
      <w:pPr>
        <w:ind w:left="284"/>
        <w:jc w:val="both"/>
        <w:rPr>
          <w:lang w:val="es-ES"/>
        </w:rPr>
      </w:pPr>
      <w:r w:rsidRPr="00EB3D94">
        <w:rPr>
          <w:lang w:val="es-ES"/>
        </w:rPr>
        <w:t>Con el fin de facilitar la valoración, se tomará como valor de referencia el porcentaje a aplicar sobre el importe de la transferencia.</w:t>
      </w:r>
    </w:p>
    <w:p w14:paraId="5BFEE03B" w14:textId="77777777" w:rsidR="00A21FF1" w:rsidRPr="00EB3D94" w:rsidRDefault="00A21FF1" w:rsidP="00A21FF1">
      <w:pPr>
        <w:jc w:val="both"/>
        <w:rPr>
          <w:lang w:val="es-ES"/>
        </w:rPr>
      </w:pPr>
    </w:p>
    <w:p w14:paraId="5BED0D86" w14:textId="77777777" w:rsidR="00A21FF1" w:rsidRPr="00EB3D94" w:rsidRDefault="00A21FF1" w:rsidP="00A21FF1">
      <w:pPr>
        <w:spacing w:after="40"/>
        <w:rPr>
          <w:u w:val="dotted"/>
          <w:lang w:val="es-ES"/>
        </w:rPr>
      </w:pPr>
      <w:r w:rsidRPr="00EB3D94">
        <w:rPr>
          <w:u w:val="dotted"/>
          <w:lang w:val="es-ES"/>
        </w:rPr>
        <w:t>d) Coste por operativa con tarjetas/TPV:</w:t>
      </w:r>
    </w:p>
    <w:p w14:paraId="302CC292" w14:textId="4231EC50" w:rsidR="00A21FF1" w:rsidRPr="00EB3D94" w:rsidRDefault="00A21FF1" w:rsidP="00A21FF1">
      <w:pPr>
        <w:ind w:firstLine="284"/>
        <w:jc w:val="both"/>
        <w:rPr>
          <w:lang w:val="es-ES"/>
        </w:rPr>
      </w:pPr>
      <w:r w:rsidRPr="00EB3D94">
        <w:rPr>
          <w:lang w:val="es-ES"/>
        </w:rPr>
        <w:lastRenderedPageBreak/>
        <w:t xml:space="preserve">Las entidades licitadoras </w:t>
      </w:r>
      <w:r w:rsidR="00A25938" w:rsidRPr="00EB3D94">
        <w:rPr>
          <w:lang w:val="es-ES"/>
        </w:rPr>
        <w:t xml:space="preserve">deberán </w:t>
      </w:r>
      <w:r w:rsidRPr="00EB3D94">
        <w:rPr>
          <w:lang w:val="es-ES"/>
        </w:rPr>
        <w:t>indicar el porcentaje a aplicar sobre el importe de la operación.</w:t>
      </w:r>
    </w:p>
    <w:p w14:paraId="40311C4D" w14:textId="77777777" w:rsidR="00A21FF1" w:rsidRPr="00EB3D94" w:rsidRDefault="00A21FF1" w:rsidP="00A21FF1">
      <w:pPr>
        <w:jc w:val="both"/>
        <w:rPr>
          <w:lang w:val="es-ES"/>
        </w:rPr>
      </w:pPr>
    </w:p>
    <w:p w14:paraId="7855B84B" w14:textId="77777777" w:rsidR="002A5522" w:rsidRPr="00EB3D94" w:rsidRDefault="002A5522" w:rsidP="00A21FF1">
      <w:pPr>
        <w:jc w:val="both"/>
        <w:rPr>
          <w:lang w:val="es-ES"/>
        </w:rPr>
      </w:pPr>
    </w:p>
    <w:p w14:paraId="371797D4" w14:textId="03C2C876" w:rsidR="00A21FF1" w:rsidRPr="00EB3D94" w:rsidRDefault="00A21FF1" w:rsidP="00A21FF1">
      <w:pPr>
        <w:spacing w:after="40"/>
        <w:rPr>
          <w:u w:val="dotted"/>
          <w:lang w:val="es-ES"/>
        </w:rPr>
      </w:pPr>
      <w:r w:rsidRPr="00EB3D94">
        <w:rPr>
          <w:u w:val="dotted"/>
          <w:lang w:val="es-ES"/>
        </w:rPr>
        <w:t>e) Cost</w:t>
      </w:r>
      <w:r w:rsidR="002A5522" w:rsidRPr="00EB3D94">
        <w:rPr>
          <w:u w:val="dotted"/>
          <w:lang w:val="es-ES"/>
        </w:rPr>
        <w:t xml:space="preserve">e por recibos </w:t>
      </w:r>
      <w:r w:rsidRPr="00EB3D94">
        <w:rPr>
          <w:u w:val="dotted"/>
          <w:lang w:val="es-ES"/>
        </w:rPr>
        <w:t>domiciliados:</w:t>
      </w:r>
    </w:p>
    <w:p w14:paraId="1F288266" w14:textId="09735B8F" w:rsidR="00A21FF1" w:rsidRPr="00EB3D94" w:rsidRDefault="00A21FF1" w:rsidP="00A21FF1">
      <w:pPr>
        <w:ind w:left="284"/>
        <w:rPr>
          <w:lang w:val="es-ES"/>
        </w:rPr>
      </w:pPr>
      <w:r w:rsidRPr="00EB3D94">
        <w:rPr>
          <w:lang w:val="es-ES"/>
        </w:rPr>
        <w:t xml:space="preserve">Las entidades licitadoras </w:t>
      </w:r>
      <w:r w:rsidR="00A25938" w:rsidRPr="00EB3D94">
        <w:rPr>
          <w:lang w:val="es-ES"/>
        </w:rPr>
        <w:t xml:space="preserve">deberán </w:t>
      </w:r>
      <w:r w:rsidRPr="00EB3D94">
        <w:rPr>
          <w:lang w:val="es-ES"/>
        </w:rPr>
        <w:t>indicar el coste derivado de la domiciliación de recibos. Se valorará el coste de la emisión del recibo.</w:t>
      </w:r>
    </w:p>
    <w:p w14:paraId="701F497C" w14:textId="77777777" w:rsidR="003A19A5" w:rsidRPr="00EB3D94" w:rsidRDefault="003A19A5" w:rsidP="003A19A5">
      <w:pPr>
        <w:jc w:val="both"/>
        <w:rPr>
          <w:rFonts w:cs="Arial"/>
          <w:szCs w:val="22"/>
          <w:lang w:val="es-ES"/>
        </w:rPr>
      </w:pPr>
    </w:p>
    <w:p w14:paraId="7B53105B" w14:textId="77777777" w:rsidR="00765F09" w:rsidRPr="00EB3D94" w:rsidRDefault="003A19A5" w:rsidP="003A19A5">
      <w:pPr>
        <w:jc w:val="both"/>
        <w:rPr>
          <w:u w:val="single"/>
          <w:lang w:val="es-ES"/>
        </w:rPr>
      </w:pPr>
      <w:r w:rsidRPr="00EB3D94">
        <w:rPr>
          <w:rFonts w:cs="Arial"/>
          <w:i/>
          <w:szCs w:val="22"/>
          <w:lang w:val="es-ES"/>
        </w:rPr>
        <w:t>6)</w:t>
      </w:r>
      <w:r w:rsidRPr="00EB3D94">
        <w:rPr>
          <w:rFonts w:cs="Arial"/>
          <w:i/>
          <w:szCs w:val="22"/>
          <w:u w:val="single"/>
          <w:lang w:val="es-ES"/>
        </w:rPr>
        <w:t xml:space="preserve"> </w:t>
      </w:r>
      <w:r w:rsidR="00765F09" w:rsidRPr="00EB3D94">
        <w:rPr>
          <w:b/>
          <w:bCs/>
          <w:u w:val="single"/>
          <w:lang w:val="es-ES"/>
        </w:rPr>
        <w:t>Condiciones no valorables</w:t>
      </w:r>
    </w:p>
    <w:p w14:paraId="3CA76C11" w14:textId="77777777" w:rsidR="00765F09" w:rsidRPr="00EB3D94" w:rsidRDefault="00765F09" w:rsidP="00BC4866">
      <w:pPr>
        <w:ind w:left="426"/>
        <w:jc w:val="both"/>
        <w:rPr>
          <w:u w:val="single"/>
          <w:lang w:val="es-ES"/>
        </w:rPr>
      </w:pPr>
    </w:p>
    <w:p w14:paraId="7DE9AF80" w14:textId="4C6DD698" w:rsidR="00765F09" w:rsidRPr="00EB3D94" w:rsidRDefault="00765F09" w:rsidP="0070622B">
      <w:pPr>
        <w:ind w:left="426"/>
        <w:jc w:val="both"/>
        <w:rPr>
          <w:lang w:val="es-ES"/>
        </w:rPr>
      </w:pPr>
      <w:r w:rsidRPr="00EB3D94">
        <w:rPr>
          <w:lang w:val="es-ES"/>
        </w:rPr>
        <w:t xml:space="preserve">Las Entidades Financieras </w:t>
      </w:r>
      <w:r w:rsidR="00A25938" w:rsidRPr="00EB3D94">
        <w:rPr>
          <w:lang w:val="es-ES"/>
        </w:rPr>
        <w:t xml:space="preserve">deberán </w:t>
      </w:r>
      <w:r w:rsidRPr="00EB3D94">
        <w:rPr>
          <w:lang w:val="es-ES"/>
        </w:rPr>
        <w:t xml:space="preserve">especificar las condiciones de las siguientes operativas, que </w:t>
      </w:r>
      <w:r w:rsidR="00A25938" w:rsidRPr="00EB3D94">
        <w:rPr>
          <w:lang w:val="es-ES"/>
        </w:rPr>
        <w:t xml:space="preserve">deberán </w:t>
      </w:r>
      <w:r w:rsidRPr="00EB3D94">
        <w:rPr>
          <w:lang w:val="es-ES"/>
        </w:rPr>
        <w:t xml:space="preserve">ser coherentes con la práctica bancaria </w:t>
      </w:r>
      <w:proofErr w:type="gramStart"/>
      <w:r w:rsidRPr="00EB3D94">
        <w:rPr>
          <w:lang w:val="es-ES"/>
        </w:rPr>
        <w:t>ordinaria</w:t>
      </w:r>
      <w:proofErr w:type="gramEnd"/>
      <w:r w:rsidRPr="00EB3D94">
        <w:rPr>
          <w:lang w:val="es-ES"/>
        </w:rPr>
        <w:t xml:space="preserve"> aunque no serán valoradas:</w:t>
      </w:r>
    </w:p>
    <w:p w14:paraId="08FEADDA" w14:textId="77777777" w:rsidR="00B41DF3" w:rsidRPr="00EB3D94" w:rsidRDefault="00B41DF3" w:rsidP="0070622B">
      <w:pPr>
        <w:jc w:val="both"/>
        <w:rPr>
          <w:rFonts w:cs="Arial"/>
          <w:szCs w:val="22"/>
          <w:lang w:val="es-ES"/>
        </w:rPr>
      </w:pPr>
    </w:p>
    <w:p w14:paraId="2D602A7C" w14:textId="77777777" w:rsidR="0070622B" w:rsidRPr="00EB3D94" w:rsidRDefault="0070622B" w:rsidP="0070622B">
      <w:pPr>
        <w:pStyle w:val="Pargrafdellista"/>
        <w:numPr>
          <w:ilvl w:val="0"/>
          <w:numId w:val="19"/>
        </w:numPr>
        <w:autoSpaceDE w:val="0"/>
        <w:autoSpaceDN w:val="0"/>
        <w:adjustRightInd w:val="0"/>
        <w:ind w:left="714" w:hanging="357"/>
        <w:jc w:val="both"/>
        <w:rPr>
          <w:lang w:val="es-ES"/>
        </w:rPr>
      </w:pPr>
      <w:r w:rsidRPr="00EB3D94">
        <w:rPr>
          <w:lang w:val="es-ES"/>
        </w:rPr>
        <w:t>Coste máximo por emisión y mantenimiento anual de tarjeta de débito</w:t>
      </w:r>
    </w:p>
    <w:p w14:paraId="5D4AA9EB" w14:textId="77777777" w:rsidR="0070622B" w:rsidRPr="00EB3D94" w:rsidRDefault="0070622B" w:rsidP="0070622B">
      <w:pPr>
        <w:pStyle w:val="Pargrafdellista"/>
        <w:numPr>
          <w:ilvl w:val="0"/>
          <w:numId w:val="19"/>
        </w:numPr>
        <w:autoSpaceDE w:val="0"/>
        <w:autoSpaceDN w:val="0"/>
        <w:adjustRightInd w:val="0"/>
        <w:ind w:left="714" w:hanging="357"/>
        <w:jc w:val="both"/>
        <w:rPr>
          <w:lang w:val="es-ES"/>
        </w:rPr>
      </w:pPr>
      <w:r w:rsidRPr="00EB3D94">
        <w:rPr>
          <w:lang w:val="es-ES"/>
        </w:rPr>
        <w:t>Coste máximo por emisión y mantenimiento anual de tarjeta de crédito</w:t>
      </w:r>
    </w:p>
    <w:p w14:paraId="1465722B" w14:textId="77777777" w:rsidR="0070622B" w:rsidRPr="00EB3D94" w:rsidRDefault="0070622B" w:rsidP="0070622B">
      <w:pPr>
        <w:pStyle w:val="Pargrafdellista"/>
        <w:numPr>
          <w:ilvl w:val="0"/>
          <w:numId w:val="19"/>
        </w:numPr>
        <w:autoSpaceDE w:val="0"/>
        <w:autoSpaceDN w:val="0"/>
        <w:adjustRightInd w:val="0"/>
        <w:ind w:left="714" w:hanging="357"/>
        <w:jc w:val="both"/>
        <w:rPr>
          <w:lang w:val="es-ES"/>
        </w:rPr>
      </w:pPr>
      <w:r w:rsidRPr="00EB3D94">
        <w:rPr>
          <w:lang w:val="es-ES"/>
        </w:rPr>
        <w:t>Coste máximo por emisión y mantenimiento anual de tarjeta de prepago</w:t>
      </w:r>
    </w:p>
    <w:p w14:paraId="12D98E47" w14:textId="05897986" w:rsidR="0070622B" w:rsidRPr="00EB3D94" w:rsidRDefault="0070622B" w:rsidP="0070622B">
      <w:pPr>
        <w:pStyle w:val="Pargrafdellista"/>
        <w:numPr>
          <w:ilvl w:val="0"/>
          <w:numId w:val="19"/>
        </w:numPr>
        <w:autoSpaceDE w:val="0"/>
        <w:autoSpaceDN w:val="0"/>
        <w:adjustRightInd w:val="0"/>
        <w:ind w:left="714" w:hanging="357"/>
        <w:jc w:val="both"/>
        <w:rPr>
          <w:lang w:val="es-ES"/>
        </w:rPr>
      </w:pPr>
      <w:r w:rsidRPr="00EB3D94">
        <w:rPr>
          <w:lang w:val="es-ES"/>
        </w:rPr>
        <w:t xml:space="preserve">Coste máximo comisión pagos </w:t>
      </w:r>
      <w:r w:rsidR="00C2461E" w:rsidRPr="00EB3D94">
        <w:rPr>
          <w:lang w:val="es-ES"/>
        </w:rPr>
        <w:t>cheques al extranjero</w:t>
      </w:r>
      <w:r w:rsidRPr="00EB3D94">
        <w:rPr>
          <w:vanish/>
          <w:lang w:val="es-ES"/>
        </w:rPr>
        <w:t>&lt;A[al extranjero|en el extranjero]&gt;</w:t>
      </w:r>
      <w:r w:rsidRPr="00EB3D94">
        <w:rPr>
          <w:lang w:val="es-ES"/>
        </w:rPr>
        <w:t>.</w:t>
      </w:r>
    </w:p>
    <w:p w14:paraId="3F33E52D" w14:textId="307480D6" w:rsidR="0070622B" w:rsidRPr="00EB3D94" w:rsidRDefault="0070622B" w:rsidP="0070622B">
      <w:pPr>
        <w:pStyle w:val="Pargrafdellista"/>
        <w:numPr>
          <w:ilvl w:val="0"/>
          <w:numId w:val="19"/>
        </w:numPr>
        <w:autoSpaceDE w:val="0"/>
        <w:autoSpaceDN w:val="0"/>
        <w:adjustRightInd w:val="0"/>
        <w:ind w:left="714" w:hanging="357"/>
        <w:jc w:val="both"/>
        <w:rPr>
          <w:lang w:val="es-ES"/>
        </w:rPr>
      </w:pPr>
      <w:r w:rsidRPr="00EB3D94">
        <w:rPr>
          <w:lang w:val="es-ES"/>
        </w:rPr>
        <w:t xml:space="preserve">Coste máximo </w:t>
      </w:r>
      <w:r w:rsidR="00C2461E" w:rsidRPr="00EB3D94">
        <w:rPr>
          <w:lang w:val="es-ES"/>
        </w:rPr>
        <w:t>comisión por</w:t>
      </w:r>
      <w:r w:rsidRPr="00EB3D94">
        <w:rPr>
          <w:lang w:val="es-ES"/>
        </w:rPr>
        <w:t xml:space="preserve"> remesas de importación.</w:t>
      </w:r>
    </w:p>
    <w:p w14:paraId="44EBCFB5" w14:textId="04D4E184" w:rsidR="0070622B" w:rsidRPr="00EB3D94" w:rsidRDefault="0070622B" w:rsidP="0070622B">
      <w:pPr>
        <w:pStyle w:val="Pargrafdellista"/>
        <w:numPr>
          <w:ilvl w:val="0"/>
          <w:numId w:val="19"/>
        </w:numPr>
        <w:autoSpaceDE w:val="0"/>
        <w:autoSpaceDN w:val="0"/>
        <w:adjustRightInd w:val="0"/>
        <w:ind w:left="714" w:hanging="357"/>
        <w:jc w:val="both"/>
        <w:rPr>
          <w:lang w:val="es-ES"/>
        </w:rPr>
      </w:pPr>
      <w:r w:rsidRPr="00EB3D94">
        <w:rPr>
          <w:lang w:val="es-ES"/>
        </w:rPr>
        <w:t xml:space="preserve">Coste </w:t>
      </w:r>
      <w:r w:rsidR="00C2461E" w:rsidRPr="00EB3D94">
        <w:rPr>
          <w:lang w:val="es-ES"/>
        </w:rPr>
        <w:t>máximo por</w:t>
      </w:r>
      <w:r w:rsidRPr="00EB3D94">
        <w:rPr>
          <w:lang w:val="es-ES"/>
        </w:rPr>
        <w:t xml:space="preserve"> créditos documentarios (en pagos y cobros internacionales).</w:t>
      </w:r>
    </w:p>
    <w:p w14:paraId="258C1CDC" w14:textId="7F395587" w:rsidR="0070622B" w:rsidRPr="00EB3D94" w:rsidRDefault="00C2461E" w:rsidP="0070622B">
      <w:pPr>
        <w:pStyle w:val="Pargrafdellista"/>
        <w:numPr>
          <w:ilvl w:val="0"/>
          <w:numId w:val="19"/>
        </w:numPr>
        <w:autoSpaceDE w:val="0"/>
        <w:autoSpaceDN w:val="0"/>
        <w:adjustRightInd w:val="0"/>
        <w:ind w:left="714" w:hanging="357"/>
        <w:jc w:val="both"/>
        <w:rPr>
          <w:lang w:val="es-ES"/>
        </w:rPr>
      </w:pPr>
      <w:r w:rsidRPr="00EB3D94">
        <w:rPr>
          <w:lang w:val="es-ES"/>
        </w:rPr>
        <w:t xml:space="preserve">Coste máximo por </w:t>
      </w:r>
      <w:r w:rsidR="0070622B" w:rsidRPr="00EB3D94">
        <w:rPr>
          <w:lang w:val="es-ES"/>
        </w:rPr>
        <w:t>seguros de cambio.</w:t>
      </w:r>
    </w:p>
    <w:p w14:paraId="0B3BF00D" w14:textId="06847C16" w:rsidR="0070622B" w:rsidRPr="00EB3D94" w:rsidRDefault="00C2461E" w:rsidP="0070622B">
      <w:pPr>
        <w:pStyle w:val="Pargrafdellista"/>
        <w:numPr>
          <w:ilvl w:val="0"/>
          <w:numId w:val="19"/>
        </w:numPr>
        <w:autoSpaceDE w:val="0"/>
        <w:autoSpaceDN w:val="0"/>
        <w:adjustRightInd w:val="0"/>
        <w:ind w:left="714" w:hanging="357"/>
        <w:jc w:val="both"/>
        <w:rPr>
          <w:lang w:val="es-ES"/>
        </w:rPr>
      </w:pPr>
      <w:r w:rsidRPr="00EB3D94">
        <w:rPr>
          <w:lang w:val="es-ES"/>
        </w:rPr>
        <w:t xml:space="preserve">Coste máximo por </w:t>
      </w:r>
      <w:r w:rsidR="0070622B" w:rsidRPr="00EB3D94">
        <w:rPr>
          <w:lang w:val="es-ES"/>
        </w:rPr>
        <w:t>cobros de cheques extranjeros.</w:t>
      </w:r>
    </w:p>
    <w:p w14:paraId="1574EB2E" w14:textId="4350D5A2" w:rsidR="0070622B" w:rsidRPr="00EB3D94" w:rsidRDefault="00C2461E" w:rsidP="0070622B">
      <w:pPr>
        <w:pStyle w:val="Pargrafdellista"/>
        <w:numPr>
          <w:ilvl w:val="0"/>
          <w:numId w:val="19"/>
        </w:numPr>
        <w:autoSpaceDE w:val="0"/>
        <w:autoSpaceDN w:val="0"/>
        <w:adjustRightInd w:val="0"/>
        <w:ind w:left="714" w:hanging="357"/>
        <w:jc w:val="both"/>
        <w:rPr>
          <w:lang w:val="es-ES"/>
        </w:rPr>
      </w:pPr>
      <w:r w:rsidRPr="00EB3D94">
        <w:rPr>
          <w:lang w:val="es-ES"/>
        </w:rPr>
        <w:t xml:space="preserve">Coste máximo por </w:t>
      </w:r>
      <w:r w:rsidR="0070622B" w:rsidRPr="00EB3D94">
        <w:rPr>
          <w:lang w:val="es-ES"/>
        </w:rPr>
        <w:t>remesas de exportación.</w:t>
      </w:r>
    </w:p>
    <w:p w14:paraId="416F0FFD" w14:textId="6E33086D" w:rsidR="0070622B" w:rsidRPr="00EB3D94" w:rsidRDefault="00C2461E" w:rsidP="0070622B">
      <w:pPr>
        <w:pStyle w:val="Pargrafdellista"/>
        <w:numPr>
          <w:ilvl w:val="0"/>
          <w:numId w:val="19"/>
        </w:numPr>
        <w:autoSpaceDE w:val="0"/>
        <w:autoSpaceDN w:val="0"/>
        <w:adjustRightInd w:val="0"/>
        <w:ind w:left="714" w:hanging="357"/>
        <w:jc w:val="both"/>
        <w:rPr>
          <w:lang w:val="es-ES"/>
        </w:rPr>
      </w:pPr>
      <w:r w:rsidRPr="00EB3D94">
        <w:rPr>
          <w:lang w:val="es-ES"/>
        </w:rPr>
        <w:t xml:space="preserve">Coste máximo por </w:t>
      </w:r>
      <w:r w:rsidR="0070622B" w:rsidRPr="00EB3D94">
        <w:rPr>
          <w:lang w:val="es-ES"/>
        </w:rPr>
        <w:t>avales definidos a un año.</w:t>
      </w:r>
    </w:p>
    <w:p w14:paraId="5CC5334D" w14:textId="77777777" w:rsidR="0070622B" w:rsidRPr="00EB3D94" w:rsidRDefault="0070622B" w:rsidP="0070622B">
      <w:pPr>
        <w:pStyle w:val="Pargrafdellista"/>
        <w:numPr>
          <w:ilvl w:val="0"/>
          <w:numId w:val="19"/>
        </w:numPr>
        <w:autoSpaceDE w:val="0"/>
        <w:autoSpaceDN w:val="0"/>
        <w:adjustRightInd w:val="0"/>
        <w:jc w:val="both"/>
        <w:rPr>
          <w:rFonts w:ascii="Calibri" w:eastAsia="Times" w:hAnsi="Calibri" w:cs="Calibri"/>
          <w:lang w:val="es-ES"/>
        </w:rPr>
      </w:pPr>
      <w:r w:rsidRPr="00EB3D94">
        <w:rPr>
          <w:lang w:val="es-ES"/>
        </w:rPr>
        <w:t>Coste máximo por auditoría de cuentas.</w:t>
      </w:r>
    </w:p>
    <w:p w14:paraId="144DFB60" w14:textId="45BDC9AE" w:rsidR="0070622B" w:rsidRPr="00EB3D94" w:rsidRDefault="0070622B" w:rsidP="0070622B">
      <w:pPr>
        <w:pStyle w:val="Pargrafdellista"/>
        <w:numPr>
          <w:ilvl w:val="0"/>
          <w:numId w:val="19"/>
        </w:numPr>
        <w:autoSpaceDE w:val="0"/>
        <w:autoSpaceDN w:val="0"/>
        <w:adjustRightInd w:val="0"/>
        <w:jc w:val="both"/>
        <w:rPr>
          <w:rFonts w:ascii="Calibri" w:eastAsia="Times" w:hAnsi="Calibri" w:cs="Calibri"/>
          <w:lang w:val="es-ES"/>
        </w:rPr>
      </w:pPr>
      <w:r w:rsidRPr="00EB3D94">
        <w:rPr>
          <w:lang w:val="es-ES"/>
        </w:rPr>
        <w:t>Las</w:t>
      </w:r>
      <w:r w:rsidR="00F14819" w:rsidRPr="00EB3D94">
        <w:rPr>
          <w:lang w:val="es-ES"/>
        </w:rPr>
        <w:t xml:space="preserve"> </w:t>
      </w:r>
      <w:proofErr w:type="gramStart"/>
      <w:r w:rsidRPr="00EB3D94">
        <w:rPr>
          <w:lang w:val="es-ES"/>
        </w:rPr>
        <w:t>entidades</w:t>
      </w:r>
      <w:r w:rsidR="00F14819" w:rsidRPr="00EB3D94">
        <w:rPr>
          <w:lang w:val="es-ES"/>
        </w:rPr>
        <w:t xml:space="preserve"> </w:t>
      </w:r>
      <w:r w:rsidRPr="00EB3D94">
        <w:rPr>
          <w:lang w:val="es-ES"/>
        </w:rPr>
        <w:t>licitadores</w:t>
      </w:r>
      <w:proofErr w:type="gramEnd"/>
      <w:r w:rsidRPr="00EB3D94">
        <w:rPr>
          <w:lang w:val="es-ES"/>
        </w:rPr>
        <w:t xml:space="preserve"> podrán indicar otros servicios que puedan ofrecer, con especificación del coste máximo.</w:t>
      </w:r>
    </w:p>
    <w:p w14:paraId="0EB142A8" w14:textId="77777777" w:rsidR="0070622B" w:rsidRPr="00EB3D94" w:rsidRDefault="0070622B" w:rsidP="0070622B">
      <w:pPr>
        <w:jc w:val="both"/>
        <w:rPr>
          <w:rFonts w:cs="Arial"/>
          <w:szCs w:val="22"/>
          <w:lang w:val="es-ES"/>
        </w:rPr>
      </w:pPr>
    </w:p>
    <w:p w14:paraId="4156E406" w14:textId="77777777" w:rsidR="00B41DF3" w:rsidRPr="00EB3D94" w:rsidRDefault="005D04EC" w:rsidP="00BC4866">
      <w:pPr>
        <w:autoSpaceDE w:val="0"/>
        <w:autoSpaceDN w:val="0"/>
        <w:adjustRightInd w:val="0"/>
        <w:jc w:val="both"/>
        <w:rPr>
          <w:rFonts w:cs="Arial"/>
          <w:b/>
          <w:bCs/>
          <w:szCs w:val="22"/>
          <w:lang w:val="es-ES"/>
        </w:rPr>
      </w:pPr>
      <w:r w:rsidRPr="00EB3D94">
        <w:rPr>
          <w:rFonts w:cs="Arial"/>
          <w:b/>
          <w:bCs/>
          <w:szCs w:val="22"/>
          <w:lang w:val="es-ES"/>
        </w:rPr>
        <w:t>4. Justificación de las fórmulas propuestas</w:t>
      </w:r>
    </w:p>
    <w:p w14:paraId="3D768E79" w14:textId="77777777" w:rsidR="00CD3E3A" w:rsidRPr="00EB3D94" w:rsidRDefault="00CD3E3A" w:rsidP="00BC4866">
      <w:pPr>
        <w:autoSpaceDE w:val="0"/>
        <w:autoSpaceDN w:val="0"/>
        <w:adjustRightInd w:val="0"/>
        <w:jc w:val="both"/>
        <w:rPr>
          <w:rFonts w:cs="Arial"/>
          <w:szCs w:val="22"/>
          <w:lang w:val="es-ES"/>
        </w:rPr>
      </w:pPr>
    </w:p>
    <w:p w14:paraId="08449F10" w14:textId="77777777" w:rsidR="00886E46" w:rsidRPr="00EB3D94" w:rsidRDefault="00886E46" w:rsidP="00886E46">
      <w:pPr>
        <w:autoSpaceDE w:val="0"/>
        <w:autoSpaceDN w:val="0"/>
        <w:adjustRightInd w:val="0"/>
        <w:jc w:val="both"/>
        <w:rPr>
          <w:rFonts w:eastAsia="Times" w:cs="Arial"/>
          <w:szCs w:val="22"/>
          <w:lang w:val="es-ES"/>
        </w:rPr>
      </w:pPr>
      <w:r w:rsidRPr="00EB3D94">
        <w:rPr>
          <w:rFonts w:eastAsia="Times" w:cs="Arial"/>
          <w:szCs w:val="22"/>
          <w:lang w:val="es-ES"/>
        </w:rPr>
        <w:t xml:space="preserve">El objetivo es repartir el volumen de negocio entre las entidades licitadoras admitidas. Este reparto se efectúa de manera objetiva a partir de la puntuación de los importes de las líneas de crédito a corto plazo y de los precios por la operativa transaccional en aplicación de diferentes fórmulas. </w:t>
      </w:r>
    </w:p>
    <w:p w14:paraId="4B96D9E4" w14:textId="77777777" w:rsidR="00886E46" w:rsidRPr="00EB3D94" w:rsidRDefault="00886E46" w:rsidP="00886E46">
      <w:pPr>
        <w:autoSpaceDE w:val="0"/>
        <w:autoSpaceDN w:val="0"/>
        <w:adjustRightInd w:val="0"/>
        <w:jc w:val="both"/>
        <w:rPr>
          <w:rFonts w:eastAsia="Times" w:cs="Arial"/>
          <w:szCs w:val="22"/>
          <w:lang w:val="es-ES"/>
        </w:rPr>
      </w:pPr>
    </w:p>
    <w:p w14:paraId="7531D8B1" w14:textId="77777777" w:rsidR="00886E46" w:rsidRPr="00EB3D94" w:rsidRDefault="00886E46" w:rsidP="00886E46">
      <w:pPr>
        <w:jc w:val="both"/>
        <w:rPr>
          <w:rFonts w:cs="Arial"/>
          <w:szCs w:val="22"/>
          <w:lang w:val="es-ES"/>
        </w:rPr>
      </w:pPr>
      <w:r w:rsidRPr="00EB3D94">
        <w:rPr>
          <w:rFonts w:cs="Arial"/>
          <w:szCs w:val="22"/>
          <w:lang w:val="es-ES"/>
        </w:rPr>
        <w:t>En el caso de los criterios valorados con las siguientes formula tipo:</w:t>
      </w:r>
    </w:p>
    <w:p w14:paraId="1452E87A" w14:textId="77777777" w:rsidR="00886E46" w:rsidRPr="00EB3D94" w:rsidRDefault="00886E46" w:rsidP="00886E46">
      <w:pPr>
        <w:jc w:val="both"/>
        <w:rPr>
          <w:rFonts w:cs="Arial"/>
          <w:szCs w:val="22"/>
          <w:lang w:val="es-ES"/>
        </w:rPr>
      </w:pPr>
    </w:p>
    <w:p w14:paraId="4BAD52A2" w14:textId="77777777" w:rsidR="00886E46" w:rsidRPr="00EB3D94" w:rsidRDefault="00886E46" w:rsidP="00886E46">
      <w:pPr>
        <w:jc w:val="both"/>
        <w:rPr>
          <w:rFonts w:cs="Arial"/>
          <w:szCs w:val="22"/>
          <w:u w:val="single"/>
          <w:lang w:val="es-ES"/>
        </w:rPr>
      </w:pPr>
      <w:r w:rsidRPr="00EB3D94">
        <w:rPr>
          <w:rFonts w:cs="Arial"/>
          <w:szCs w:val="22"/>
          <w:u w:val="single"/>
          <w:lang w:val="es-ES"/>
        </w:rPr>
        <w:t>Criterio 1, 2, 5.ª, 5b, 5c, 5d y 5e:</w:t>
      </w:r>
    </w:p>
    <w:p w14:paraId="5347E12D" w14:textId="77777777" w:rsidR="00886E46" w:rsidRPr="00EB3D94" w:rsidRDefault="00886E46" w:rsidP="00886E46">
      <w:pPr>
        <w:jc w:val="both"/>
        <w:rPr>
          <w:rFonts w:cs="Arial"/>
          <w:szCs w:val="22"/>
          <w:u w:val="single"/>
          <w:lang w:val="es-ES"/>
        </w:rPr>
      </w:pPr>
    </w:p>
    <w:p w14:paraId="07964A67" w14:textId="540C5527" w:rsidR="00886E46" w:rsidRPr="00EB3D94" w:rsidRDefault="00972666" w:rsidP="00886E46">
      <w:pPr>
        <w:pBdr>
          <w:top w:val="single" w:sz="4" w:space="1" w:color="auto"/>
          <w:left w:val="single" w:sz="4" w:space="4" w:color="auto"/>
          <w:bottom w:val="single" w:sz="4" w:space="1" w:color="auto"/>
          <w:right w:val="single" w:sz="4" w:space="4" w:color="auto"/>
        </w:pBdr>
        <w:jc w:val="center"/>
        <w:rPr>
          <w:rFonts w:cs="Arial"/>
          <w:szCs w:val="22"/>
          <w:lang w:val="es-ES"/>
        </w:rPr>
      </w:pPr>
      <m:oMathPara>
        <m:oMath>
          <m:r>
            <w:rPr>
              <w:rFonts w:ascii="Cambria Math" w:hAnsi="Cambria Math"/>
              <w:lang w:val="es-ES"/>
            </w:rPr>
            <m:t>Punt</m:t>
          </m:r>
          <m:r>
            <w:rPr>
              <w:rFonts w:ascii="Cambria Math" w:hAnsi="Cambria Math"/>
              <w:lang w:val="es-ES"/>
            </w:rPr>
            <m:t>o</m:t>
          </m:r>
          <m:r>
            <w:rPr>
              <w:rFonts w:ascii="Cambria Math" w:hAnsi="Cambria Math"/>
              <w:lang w:val="es-ES"/>
            </w:rPr>
            <m:t xml:space="preserve">s= </m:t>
          </m:r>
          <m:f>
            <m:fPr>
              <m:ctrlPr>
                <w:rPr>
                  <w:rFonts w:ascii="Cambria Math" w:hAnsi="Cambria Math"/>
                  <w:i/>
                  <w:lang w:val="es-ES"/>
                </w:rPr>
              </m:ctrlPr>
            </m:fPr>
            <m:num>
              <m:r>
                <w:rPr>
                  <w:rFonts w:ascii="Cambria Math" w:hAnsi="Cambria Math"/>
                  <w:lang w:val="es-ES"/>
                </w:rPr>
                <m:t>Cm  x  Pm</m:t>
              </m:r>
            </m:num>
            <m:den>
              <m:r>
                <w:rPr>
                  <w:rFonts w:ascii="Cambria Math" w:hAnsi="Cambria Math"/>
                  <w:lang w:val="es-ES"/>
                </w:rPr>
                <m:t>Ov</m:t>
              </m:r>
            </m:den>
          </m:f>
        </m:oMath>
      </m:oMathPara>
    </w:p>
    <w:p w14:paraId="3C293496" w14:textId="77777777" w:rsidR="00A3204B" w:rsidRPr="00EB3D94" w:rsidRDefault="00A3204B" w:rsidP="00886E46">
      <w:pPr>
        <w:ind w:left="714" w:hanging="357"/>
        <w:rPr>
          <w:rFonts w:cs="Arial"/>
          <w:i/>
          <w:iCs/>
          <w:sz w:val="20"/>
          <w:lang w:val="es-ES"/>
        </w:rPr>
      </w:pPr>
    </w:p>
    <w:p w14:paraId="2BB0F6BC" w14:textId="782B9CBF" w:rsidR="00886E46" w:rsidRPr="00EB3D94" w:rsidRDefault="00886E46" w:rsidP="00886E46">
      <w:pPr>
        <w:ind w:left="714" w:hanging="357"/>
        <w:rPr>
          <w:rFonts w:cs="Arial"/>
          <w:i/>
          <w:iCs/>
          <w:sz w:val="20"/>
          <w:lang w:val="es-ES"/>
        </w:rPr>
      </w:pPr>
      <w:r w:rsidRPr="00EB3D94">
        <w:rPr>
          <w:rFonts w:cs="Arial"/>
          <w:i/>
          <w:iCs/>
          <w:sz w:val="20"/>
          <w:lang w:val="es-ES"/>
        </w:rPr>
        <w:t>Cm = Mejor oferta (será el coste menor de todas las ofertas presentadas diferente de cero)</w:t>
      </w:r>
    </w:p>
    <w:p w14:paraId="3EF64F4E" w14:textId="77777777" w:rsidR="00886E46" w:rsidRPr="00EB3D94" w:rsidRDefault="00886E46" w:rsidP="00886E46">
      <w:pPr>
        <w:ind w:left="714" w:hanging="357"/>
        <w:rPr>
          <w:rFonts w:cs="Arial"/>
          <w:i/>
          <w:iCs/>
          <w:sz w:val="20"/>
          <w:lang w:val="es-ES"/>
        </w:rPr>
      </w:pPr>
      <w:r w:rsidRPr="00EB3D94">
        <w:rPr>
          <w:rFonts w:cs="Arial"/>
          <w:i/>
          <w:iCs/>
          <w:sz w:val="20"/>
          <w:lang w:val="es-ES"/>
        </w:rPr>
        <w:t>Pm = Puntuación máxima a obtener (salvo la que se aplica al coste cero)</w:t>
      </w:r>
    </w:p>
    <w:p w14:paraId="0A4D4858" w14:textId="77777777" w:rsidR="00886E46" w:rsidRPr="00EB3D94" w:rsidRDefault="00886E46" w:rsidP="00886E46">
      <w:pPr>
        <w:ind w:left="714" w:hanging="357"/>
        <w:rPr>
          <w:rFonts w:cs="Arial"/>
          <w:i/>
          <w:iCs/>
          <w:sz w:val="20"/>
          <w:lang w:val="es-ES"/>
        </w:rPr>
      </w:pPr>
      <w:proofErr w:type="spellStart"/>
      <w:r w:rsidRPr="00EB3D94">
        <w:rPr>
          <w:rFonts w:cs="Arial"/>
          <w:i/>
          <w:iCs/>
          <w:sz w:val="20"/>
          <w:lang w:val="es-ES"/>
        </w:rPr>
        <w:t>Ov</w:t>
      </w:r>
      <w:proofErr w:type="spellEnd"/>
      <w:r w:rsidRPr="00EB3D94">
        <w:rPr>
          <w:rFonts w:cs="Arial"/>
          <w:i/>
          <w:iCs/>
          <w:sz w:val="20"/>
          <w:lang w:val="es-ES"/>
        </w:rPr>
        <w:t xml:space="preserve"> = Ofrecida de la Entidad Financiera a valorar consistente en el coste ofrecido.</w:t>
      </w:r>
    </w:p>
    <w:p w14:paraId="51DD05C0" w14:textId="77777777" w:rsidR="00886E46" w:rsidRPr="00EB3D94" w:rsidRDefault="00886E46" w:rsidP="00886E46">
      <w:pPr>
        <w:ind w:left="714" w:hanging="357"/>
        <w:rPr>
          <w:rFonts w:cs="Arial"/>
          <w:i/>
          <w:iCs/>
          <w:sz w:val="20"/>
          <w:lang w:val="es-ES"/>
        </w:rPr>
      </w:pPr>
    </w:p>
    <w:p w14:paraId="27326FEB" w14:textId="77777777" w:rsidR="00886E46" w:rsidRPr="00EB3D94" w:rsidRDefault="00886E46" w:rsidP="00886E46">
      <w:pPr>
        <w:jc w:val="both"/>
        <w:rPr>
          <w:rFonts w:cs="Arial"/>
          <w:szCs w:val="22"/>
          <w:u w:val="single"/>
          <w:lang w:val="es-ES"/>
        </w:rPr>
      </w:pPr>
      <w:r w:rsidRPr="00EB3D94">
        <w:rPr>
          <w:rFonts w:cs="Arial"/>
          <w:szCs w:val="22"/>
          <w:u w:val="single"/>
          <w:lang w:val="es-ES"/>
        </w:rPr>
        <w:t xml:space="preserve">Criterio 3: </w:t>
      </w:r>
    </w:p>
    <w:p w14:paraId="54FC43B1" w14:textId="77777777" w:rsidR="00886E46" w:rsidRPr="00EB3D94" w:rsidRDefault="00886E46" w:rsidP="00886E46">
      <w:pPr>
        <w:jc w:val="both"/>
        <w:rPr>
          <w:rFonts w:cs="Arial"/>
          <w:szCs w:val="22"/>
          <w:u w:val="single"/>
          <w:lang w:val="es-ES"/>
        </w:rPr>
      </w:pPr>
    </w:p>
    <w:p w14:paraId="6CBDB56A" w14:textId="77777777" w:rsidR="00886E46" w:rsidRPr="00EB3D94" w:rsidRDefault="00886E46" w:rsidP="00886E46">
      <w:pPr>
        <w:jc w:val="both"/>
        <w:rPr>
          <w:rFonts w:cs="Arial"/>
          <w:szCs w:val="22"/>
          <w:lang w:val="es-ES"/>
        </w:rPr>
      </w:pPr>
      <w:r w:rsidRPr="00EB3D94">
        <w:rPr>
          <w:rFonts w:cs="Arial"/>
          <w:szCs w:val="22"/>
          <w:lang w:val="es-ES"/>
        </w:rPr>
        <w:t>Este criterio no requiere de fórmula, es relacional, si la oferta consiste en un 80% de líneas de crédito se otorgan 0 puntos, y si consiste en su totalidad de líneas de crédito se otorgan la totalidad de puntos.</w:t>
      </w:r>
    </w:p>
    <w:p w14:paraId="44E594B9" w14:textId="77777777" w:rsidR="00886E46" w:rsidRPr="00EB3D94" w:rsidRDefault="00886E46" w:rsidP="00886E46">
      <w:pPr>
        <w:jc w:val="both"/>
        <w:rPr>
          <w:rFonts w:cs="Arial"/>
          <w:szCs w:val="22"/>
          <w:lang w:val="es-ES"/>
        </w:rPr>
      </w:pPr>
    </w:p>
    <w:p w14:paraId="368768BB" w14:textId="77777777" w:rsidR="00886E46" w:rsidRPr="00EB3D94" w:rsidRDefault="00886E46" w:rsidP="00886E46">
      <w:pPr>
        <w:jc w:val="both"/>
        <w:rPr>
          <w:rFonts w:cs="Arial"/>
          <w:szCs w:val="22"/>
          <w:u w:val="single"/>
          <w:lang w:val="es-ES"/>
        </w:rPr>
      </w:pPr>
      <w:r w:rsidRPr="00EB3D94">
        <w:rPr>
          <w:rFonts w:cs="Arial"/>
          <w:szCs w:val="22"/>
          <w:u w:val="single"/>
          <w:lang w:val="es-ES"/>
        </w:rPr>
        <w:t>Criterio 4:</w:t>
      </w:r>
    </w:p>
    <w:p w14:paraId="03C99A84" w14:textId="77777777" w:rsidR="00886E46" w:rsidRPr="00EB3D94" w:rsidRDefault="00886E46" w:rsidP="00886E46">
      <w:pPr>
        <w:pStyle w:val="Pargrafdellista"/>
        <w:ind w:left="357"/>
        <w:rPr>
          <w:rFonts w:cs="Arial"/>
          <w:szCs w:val="22"/>
          <w:lang w:val="es-ES"/>
        </w:rPr>
      </w:pPr>
    </w:p>
    <w:p w14:paraId="68395F7D" w14:textId="13D3393C" w:rsidR="00886E46" w:rsidRPr="00EB3D94" w:rsidRDefault="00972666" w:rsidP="00886E46">
      <w:pPr>
        <w:pBdr>
          <w:top w:val="single" w:sz="4" w:space="1" w:color="auto"/>
          <w:left w:val="single" w:sz="4" w:space="4" w:color="auto"/>
          <w:bottom w:val="single" w:sz="4" w:space="1" w:color="auto"/>
          <w:right w:val="single" w:sz="4" w:space="4" w:color="auto"/>
        </w:pBdr>
        <w:jc w:val="center"/>
        <w:rPr>
          <w:rFonts w:cs="Arial"/>
          <w:szCs w:val="22"/>
          <w:lang w:val="es-ES"/>
        </w:rPr>
      </w:pPr>
      <m:oMathPara>
        <m:oMath>
          <m:r>
            <w:rPr>
              <w:rFonts w:ascii="Cambria Math" w:hAnsi="Cambria Math"/>
              <w:lang w:val="es-ES"/>
            </w:rPr>
            <w:lastRenderedPageBreak/>
            <m:t>Punt</m:t>
          </m:r>
          <m:r>
            <w:rPr>
              <w:rFonts w:ascii="Cambria Math" w:hAnsi="Cambria Math"/>
              <w:lang w:val="es-ES"/>
            </w:rPr>
            <m:t>o</m:t>
          </m:r>
          <m:r>
            <w:rPr>
              <w:rFonts w:ascii="Cambria Math" w:hAnsi="Cambria Math"/>
              <w:lang w:val="es-ES"/>
            </w:rPr>
            <m:t xml:space="preserve">s= </m:t>
          </m:r>
          <m:f>
            <m:fPr>
              <m:ctrlPr>
                <w:rPr>
                  <w:rFonts w:ascii="Cambria Math" w:hAnsi="Cambria Math"/>
                  <w:i/>
                  <w:lang w:val="es-ES"/>
                </w:rPr>
              </m:ctrlPr>
            </m:fPr>
            <m:num>
              <m:r>
                <w:rPr>
                  <w:rFonts w:ascii="Cambria Math" w:hAnsi="Cambria Math"/>
                  <w:lang w:val="es-ES"/>
                </w:rPr>
                <m:t>Ov  x  PM</m:t>
              </m:r>
            </m:num>
            <m:den>
              <m:r>
                <w:rPr>
                  <w:rFonts w:ascii="Cambria Math" w:hAnsi="Cambria Math"/>
                  <w:lang w:val="es-ES"/>
                </w:rPr>
                <m:t>CM</m:t>
              </m:r>
            </m:den>
          </m:f>
        </m:oMath>
      </m:oMathPara>
    </w:p>
    <w:p w14:paraId="7C113EAF" w14:textId="77777777" w:rsidR="00886E46" w:rsidRPr="00EB3D94" w:rsidRDefault="00886E46" w:rsidP="00886E46">
      <w:pPr>
        <w:ind w:left="357" w:hanging="357"/>
        <w:rPr>
          <w:rFonts w:cs="Arial"/>
          <w:i/>
          <w:iCs/>
          <w:szCs w:val="22"/>
          <w:lang w:val="es-ES"/>
        </w:rPr>
      </w:pPr>
    </w:p>
    <w:p w14:paraId="3C9EBE94" w14:textId="77777777" w:rsidR="00886E46" w:rsidRPr="00EB3D94" w:rsidRDefault="00886E46" w:rsidP="00886E46">
      <w:pPr>
        <w:ind w:left="714" w:hanging="357"/>
        <w:rPr>
          <w:rFonts w:cs="Arial"/>
          <w:i/>
          <w:iCs/>
          <w:sz w:val="20"/>
          <w:lang w:val="es-ES"/>
        </w:rPr>
      </w:pPr>
      <w:proofErr w:type="spellStart"/>
      <w:r w:rsidRPr="00EB3D94">
        <w:rPr>
          <w:rFonts w:cs="Arial"/>
          <w:i/>
          <w:iCs/>
          <w:szCs w:val="22"/>
          <w:lang w:val="es-ES"/>
        </w:rPr>
        <w:t>Ov</w:t>
      </w:r>
      <w:proofErr w:type="spellEnd"/>
      <w:r w:rsidRPr="00EB3D94">
        <w:rPr>
          <w:rFonts w:cs="Arial"/>
          <w:i/>
          <w:iCs/>
          <w:szCs w:val="22"/>
          <w:lang w:val="es-ES"/>
        </w:rPr>
        <w:t xml:space="preserve"> = </w:t>
      </w:r>
      <w:r w:rsidRPr="00EB3D94">
        <w:rPr>
          <w:rFonts w:cs="Arial"/>
          <w:i/>
          <w:iCs/>
          <w:sz w:val="20"/>
          <w:lang w:val="es-ES"/>
        </w:rPr>
        <w:t xml:space="preserve">Ofrecida de la Entidad Financiera a valorar consistente en la mejora en el diferencial. Se entiende por “mejora en el diferencial” la reducción </w:t>
      </w:r>
      <w:proofErr w:type="gramStart"/>
      <w:r w:rsidRPr="00EB3D94">
        <w:rPr>
          <w:rFonts w:cs="Arial"/>
          <w:i/>
          <w:iCs/>
          <w:sz w:val="20"/>
          <w:lang w:val="es-ES"/>
        </w:rPr>
        <w:t>en relación al</w:t>
      </w:r>
      <w:proofErr w:type="gramEnd"/>
      <w:r w:rsidRPr="00EB3D94">
        <w:rPr>
          <w:rFonts w:cs="Arial"/>
          <w:i/>
          <w:iCs/>
          <w:sz w:val="20"/>
          <w:lang w:val="es-ES"/>
        </w:rPr>
        <w:t xml:space="preserve"> diferencial máximo de 50 puntos básicos.</w:t>
      </w:r>
    </w:p>
    <w:p w14:paraId="3102091C" w14:textId="77777777" w:rsidR="00886E46" w:rsidRPr="00EB3D94" w:rsidRDefault="00886E46" w:rsidP="00886E46">
      <w:pPr>
        <w:ind w:left="714" w:hanging="357"/>
        <w:rPr>
          <w:rFonts w:cs="Arial"/>
          <w:i/>
          <w:iCs/>
          <w:sz w:val="20"/>
          <w:lang w:val="es-ES"/>
        </w:rPr>
      </w:pPr>
      <w:r w:rsidRPr="00EB3D94">
        <w:rPr>
          <w:rFonts w:cs="Arial"/>
          <w:i/>
          <w:iCs/>
          <w:sz w:val="20"/>
          <w:lang w:val="es-ES"/>
        </w:rPr>
        <w:t>PM = Puntuación máxima a obtener.</w:t>
      </w:r>
    </w:p>
    <w:p w14:paraId="36244CBE" w14:textId="77777777" w:rsidR="00886E46" w:rsidRPr="00EB3D94" w:rsidRDefault="00886E46" w:rsidP="00886E46">
      <w:pPr>
        <w:ind w:left="714" w:hanging="357"/>
        <w:rPr>
          <w:rFonts w:cs="Arial"/>
          <w:i/>
          <w:iCs/>
          <w:sz w:val="20"/>
          <w:lang w:val="es-ES"/>
        </w:rPr>
      </w:pPr>
      <w:r w:rsidRPr="00EB3D94">
        <w:rPr>
          <w:rFonts w:cs="Arial"/>
          <w:i/>
          <w:iCs/>
          <w:sz w:val="20"/>
          <w:lang w:val="es-ES"/>
        </w:rPr>
        <w:t xml:space="preserve">CM = Mejor oferta. Se entiende por “mejor oferta” la que presenta una reducción mayor </w:t>
      </w:r>
      <w:proofErr w:type="gramStart"/>
      <w:r w:rsidRPr="00EB3D94">
        <w:rPr>
          <w:rFonts w:cs="Arial"/>
          <w:i/>
          <w:iCs/>
          <w:sz w:val="20"/>
          <w:lang w:val="es-ES"/>
        </w:rPr>
        <w:t>en relación al</w:t>
      </w:r>
      <w:proofErr w:type="gramEnd"/>
      <w:r w:rsidRPr="00EB3D94">
        <w:rPr>
          <w:rFonts w:cs="Arial"/>
          <w:i/>
          <w:iCs/>
          <w:sz w:val="20"/>
          <w:lang w:val="es-ES"/>
        </w:rPr>
        <w:t xml:space="preserve"> diferencial máximo de 50 puntos básicos.</w:t>
      </w:r>
    </w:p>
    <w:p w14:paraId="29A0D923" w14:textId="77777777" w:rsidR="00886E46" w:rsidRPr="00EB3D94" w:rsidRDefault="00886E46" w:rsidP="00886E46">
      <w:pPr>
        <w:autoSpaceDE w:val="0"/>
        <w:autoSpaceDN w:val="0"/>
        <w:adjustRightInd w:val="0"/>
        <w:jc w:val="both"/>
        <w:rPr>
          <w:rFonts w:eastAsia="Times" w:cs="Arial"/>
          <w:szCs w:val="22"/>
          <w:lang w:val="es-ES"/>
        </w:rPr>
      </w:pPr>
    </w:p>
    <w:p w14:paraId="1AB6CB77" w14:textId="77777777" w:rsidR="00886E46" w:rsidRPr="00EB3D94" w:rsidRDefault="00886E46" w:rsidP="00886E46">
      <w:pPr>
        <w:autoSpaceDE w:val="0"/>
        <w:autoSpaceDN w:val="0"/>
        <w:adjustRightInd w:val="0"/>
        <w:jc w:val="both"/>
        <w:rPr>
          <w:rFonts w:eastAsia="Times" w:cs="Arial"/>
          <w:szCs w:val="22"/>
          <w:lang w:val="es-ES"/>
        </w:rPr>
      </w:pPr>
      <w:r w:rsidRPr="00EB3D94">
        <w:rPr>
          <w:rFonts w:eastAsia="Times" w:cs="Arial"/>
          <w:szCs w:val="22"/>
          <w:lang w:val="es-ES"/>
        </w:rPr>
        <w:t>Siempre se considera la mejor oferta la de precio más bajo por lo cual se garantiza que sea la que obtenga mejor puntuación.</w:t>
      </w:r>
    </w:p>
    <w:p w14:paraId="71A84D19" w14:textId="77777777" w:rsidR="00886E46" w:rsidRPr="00EB3D94" w:rsidRDefault="00886E46" w:rsidP="00886E46">
      <w:pPr>
        <w:autoSpaceDE w:val="0"/>
        <w:autoSpaceDN w:val="0"/>
        <w:adjustRightInd w:val="0"/>
        <w:jc w:val="both"/>
        <w:rPr>
          <w:rFonts w:eastAsia="Times" w:cs="Arial"/>
          <w:szCs w:val="22"/>
          <w:lang w:val="es-ES"/>
        </w:rPr>
      </w:pPr>
    </w:p>
    <w:p w14:paraId="60A2B31D" w14:textId="77777777" w:rsidR="00886E46" w:rsidRPr="00EB3D94" w:rsidRDefault="00886E46" w:rsidP="00886E46">
      <w:pPr>
        <w:autoSpaceDE w:val="0"/>
        <w:autoSpaceDN w:val="0"/>
        <w:adjustRightInd w:val="0"/>
        <w:jc w:val="both"/>
        <w:rPr>
          <w:rFonts w:eastAsia="Times" w:cs="Arial"/>
          <w:szCs w:val="22"/>
          <w:lang w:val="es-ES"/>
        </w:rPr>
      </w:pPr>
      <w:r w:rsidRPr="00EB3D94">
        <w:rPr>
          <w:rFonts w:eastAsia="Times" w:cs="Arial"/>
          <w:szCs w:val="22"/>
          <w:lang w:val="es-ES"/>
        </w:rPr>
        <w:t>La puntuación obtenida por cada una de las entidades licitadoras en el apartado – Condiciones financieras y servicios - se divide por</w:t>
      </w:r>
      <w:r w:rsidRPr="00EB3D94">
        <w:rPr>
          <w:rFonts w:eastAsia="Times" w:cs="Arial"/>
          <w:vanish/>
          <w:szCs w:val="22"/>
          <w:lang w:val="es-ES"/>
        </w:rPr>
        <w:t>&lt;A[por|para]&gt;</w:t>
      </w:r>
      <w:r w:rsidRPr="00EB3D94">
        <w:rPr>
          <w:rFonts w:eastAsia="Times" w:cs="Arial"/>
          <w:szCs w:val="22"/>
          <w:lang w:val="es-ES"/>
        </w:rPr>
        <w:t xml:space="preserve"> la totalidad de puntos de todas las entidades licitadoras y al resultado se le suma 0,5 para obtener un factor de ponderación con los importes de líneas de crédito presentado por las entidades licitadoras. </w:t>
      </w:r>
    </w:p>
    <w:p w14:paraId="5CBE4343" w14:textId="77777777" w:rsidR="00886E46" w:rsidRPr="00EB3D94" w:rsidRDefault="00886E46" w:rsidP="00886E46">
      <w:pPr>
        <w:autoSpaceDE w:val="0"/>
        <w:autoSpaceDN w:val="0"/>
        <w:adjustRightInd w:val="0"/>
        <w:jc w:val="both"/>
        <w:rPr>
          <w:rFonts w:eastAsia="Times" w:cs="Arial"/>
          <w:szCs w:val="22"/>
          <w:lang w:val="es-ES"/>
        </w:rPr>
      </w:pPr>
    </w:p>
    <w:p w14:paraId="0A27587B" w14:textId="77777777" w:rsidR="00886E46" w:rsidRPr="00EB3D94" w:rsidRDefault="00886E46" w:rsidP="00886E46">
      <w:pPr>
        <w:autoSpaceDE w:val="0"/>
        <w:autoSpaceDN w:val="0"/>
        <w:adjustRightInd w:val="0"/>
        <w:jc w:val="both"/>
        <w:rPr>
          <w:rFonts w:eastAsia="Times" w:cs="Arial"/>
          <w:szCs w:val="22"/>
          <w:lang w:val="es-ES"/>
        </w:rPr>
      </w:pPr>
      <w:r w:rsidRPr="00EB3D94">
        <w:rPr>
          <w:rFonts w:eastAsia="Times" w:cs="Arial"/>
          <w:szCs w:val="22"/>
          <w:lang w:val="es-ES"/>
        </w:rPr>
        <w:t xml:space="preserve">Este factor de ponderación de cada entidad licitadora se multiplica por el importe de las líneas de la entidad, de manera que aumenta o disminuye el peso porcentual de las líneas de crédito de cada entidad en función del factor obtenido en el apartado – Condiciones financieras y servicios -, dando así el porcentaje final de negocio. </w:t>
      </w:r>
    </w:p>
    <w:p w14:paraId="227A12D2" w14:textId="77777777" w:rsidR="00886E46" w:rsidRPr="00EB3D94" w:rsidRDefault="00886E46" w:rsidP="00886E46">
      <w:pPr>
        <w:autoSpaceDE w:val="0"/>
        <w:autoSpaceDN w:val="0"/>
        <w:adjustRightInd w:val="0"/>
        <w:jc w:val="both"/>
        <w:rPr>
          <w:rFonts w:eastAsia="Times" w:cs="Arial"/>
          <w:szCs w:val="22"/>
          <w:lang w:val="es-ES"/>
        </w:rPr>
      </w:pPr>
    </w:p>
    <w:p w14:paraId="4030B53E" w14:textId="77777777" w:rsidR="00886E46" w:rsidRPr="00EB3D94" w:rsidRDefault="00886E46" w:rsidP="00886E46">
      <w:pPr>
        <w:autoSpaceDE w:val="0"/>
        <w:autoSpaceDN w:val="0"/>
        <w:adjustRightInd w:val="0"/>
        <w:jc w:val="both"/>
        <w:rPr>
          <w:rFonts w:eastAsia="Times" w:cs="Arial"/>
          <w:szCs w:val="22"/>
          <w:lang w:val="es-ES"/>
        </w:rPr>
      </w:pPr>
      <w:r w:rsidRPr="00EB3D94">
        <w:rPr>
          <w:rFonts w:eastAsia="Times" w:cs="Arial"/>
          <w:szCs w:val="22"/>
          <w:lang w:val="es-ES"/>
        </w:rPr>
        <w:t xml:space="preserve">En conclusión, a mayor importe de líneas, más puntuación final para distribuir el volumen de negocio. Respecto de las ofertas del apartado – Condiciones financieras y servicios- a mejor precio más puntuación y, por lo tanto, mejor factor de ponderación para obtener mejor puntuación total final. </w:t>
      </w:r>
    </w:p>
    <w:p w14:paraId="27A5D2C8" w14:textId="77777777" w:rsidR="00F6725B" w:rsidRPr="00EB3D94" w:rsidRDefault="00F6725B" w:rsidP="00BC4866">
      <w:pPr>
        <w:pStyle w:val="Textindependent"/>
        <w:spacing w:before="1" w:line="249" w:lineRule="auto"/>
        <w:ind w:left="642" w:firstLine="2"/>
        <w:rPr>
          <w:lang w:val="es-ES"/>
        </w:rPr>
      </w:pPr>
    </w:p>
    <w:p w14:paraId="1F941288" w14:textId="77777777" w:rsidR="009A4D9B" w:rsidRPr="00EB3D94" w:rsidRDefault="009D43DF" w:rsidP="00BC4866">
      <w:pPr>
        <w:autoSpaceDE w:val="0"/>
        <w:autoSpaceDN w:val="0"/>
        <w:adjustRightInd w:val="0"/>
        <w:rPr>
          <w:rFonts w:cs="Arial"/>
          <w:b/>
          <w:bCs/>
          <w:szCs w:val="22"/>
          <w:lang w:val="es-ES"/>
        </w:rPr>
      </w:pPr>
      <w:r w:rsidRPr="00EB3D94">
        <w:rPr>
          <w:rFonts w:cs="Arial"/>
          <w:b/>
          <w:bCs/>
          <w:szCs w:val="22"/>
          <w:lang w:val="es-ES"/>
        </w:rPr>
        <w:t>Undécima</w:t>
      </w:r>
      <w:r w:rsidR="00E223E7" w:rsidRPr="00EB3D94">
        <w:rPr>
          <w:rFonts w:cs="Arial"/>
          <w:b/>
          <w:bCs/>
          <w:szCs w:val="22"/>
          <w:lang w:val="es-ES"/>
        </w:rPr>
        <w:t xml:space="preserve">. </w:t>
      </w:r>
      <w:r w:rsidR="009A4D9B" w:rsidRPr="00EB3D94">
        <w:rPr>
          <w:rFonts w:cs="Arial"/>
          <w:b/>
          <w:bCs/>
          <w:szCs w:val="22"/>
          <w:u w:val="single"/>
          <w:lang w:val="es-ES"/>
        </w:rPr>
        <w:t>Mesa de contratación</w:t>
      </w:r>
      <w:r w:rsidR="009A4D9B" w:rsidRPr="00EB3D94">
        <w:rPr>
          <w:rFonts w:cs="Arial"/>
          <w:b/>
          <w:bCs/>
          <w:szCs w:val="22"/>
          <w:lang w:val="es-ES"/>
        </w:rPr>
        <w:t xml:space="preserve"> </w:t>
      </w:r>
    </w:p>
    <w:p w14:paraId="0E97B703" w14:textId="77777777" w:rsidR="009A4D9B" w:rsidRPr="00EB3D94" w:rsidRDefault="009A4D9B" w:rsidP="00BC4866">
      <w:pPr>
        <w:autoSpaceDE w:val="0"/>
        <w:autoSpaceDN w:val="0"/>
        <w:adjustRightInd w:val="0"/>
        <w:rPr>
          <w:rFonts w:cs="Arial"/>
          <w:b/>
          <w:bCs/>
          <w:szCs w:val="22"/>
          <w:lang w:val="es-ES"/>
        </w:rPr>
      </w:pPr>
    </w:p>
    <w:p w14:paraId="6D54AC21" w14:textId="77777777" w:rsidR="00C03B0B" w:rsidRPr="00EB3D94" w:rsidRDefault="009D43DF" w:rsidP="00BC4866">
      <w:pPr>
        <w:jc w:val="both"/>
        <w:rPr>
          <w:rFonts w:cs="Arial"/>
          <w:lang w:val="es-ES"/>
        </w:rPr>
      </w:pPr>
      <w:r w:rsidRPr="00EB3D94">
        <w:rPr>
          <w:rFonts w:cs="Arial"/>
          <w:b/>
          <w:lang w:val="es-ES"/>
        </w:rPr>
        <w:t>11</w:t>
      </w:r>
      <w:r w:rsidR="00C03B0B" w:rsidRPr="00EB3D94">
        <w:rPr>
          <w:rFonts w:cs="Arial"/>
          <w:b/>
          <w:lang w:val="es-ES"/>
        </w:rPr>
        <w:t>.1</w:t>
      </w:r>
      <w:r w:rsidR="00C03B0B" w:rsidRPr="00EB3D94">
        <w:rPr>
          <w:rFonts w:cs="Arial"/>
          <w:lang w:val="es-ES"/>
        </w:rPr>
        <w:t xml:space="preserve"> La Mesa de contratación está integrada por los miembros que se indican a continuación:</w:t>
      </w:r>
    </w:p>
    <w:p w14:paraId="645C571C" w14:textId="77777777" w:rsidR="00C03B0B" w:rsidRPr="00EB3D94" w:rsidRDefault="00C03B0B" w:rsidP="00BC4866">
      <w:pPr>
        <w:autoSpaceDE w:val="0"/>
        <w:autoSpaceDN w:val="0"/>
        <w:adjustRightInd w:val="0"/>
        <w:jc w:val="both"/>
        <w:rPr>
          <w:rFonts w:cs="Arial"/>
          <w:szCs w:val="22"/>
          <w:lang w:val="es-ES"/>
        </w:rPr>
      </w:pPr>
    </w:p>
    <w:p w14:paraId="4586C761" w14:textId="3183CA78" w:rsidR="00901122" w:rsidRPr="00EB3D94" w:rsidRDefault="00901122" w:rsidP="00F14819">
      <w:pPr>
        <w:pStyle w:val="Capalera"/>
        <w:tabs>
          <w:tab w:val="clear" w:pos="4252"/>
          <w:tab w:val="clear" w:pos="8504"/>
        </w:tabs>
        <w:ind w:left="1800" w:hanging="1516"/>
        <w:jc w:val="both"/>
        <w:rPr>
          <w:szCs w:val="22"/>
          <w:lang w:val="es-ES"/>
        </w:rPr>
      </w:pPr>
      <w:r w:rsidRPr="00EB3D94">
        <w:rPr>
          <w:szCs w:val="22"/>
          <w:lang w:val="es-ES"/>
        </w:rPr>
        <w:t>Presidenta:</w:t>
      </w:r>
      <w:r w:rsidRPr="00EB3D94">
        <w:rPr>
          <w:szCs w:val="22"/>
          <w:lang w:val="es-ES"/>
        </w:rPr>
        <w:tab/>
      </w:r>
      <w:r w:rsidR="00713C1A" w:rsidRPr="00EB3D94">
        <w:rPr>
          <w:szCs w:val="22"/>
          <w:lang w:val="es-ES"/>
        </w:rPr>
        <w:t>Sr/a. subdirector/a general de Deuda Pública y Operaciones financieras</w:t>
      </w:r>
      <w:r w:rsidR="00F14819" w:rsidRPr="00EB3D94">
        <w:rPr>
          <w:szCs w:val="22"/>
          <w:lang w:val="es-ES"/>
        </w:rPr>
        <w:t xml:space="preserve"> o persona en quien delegue.</w:t>
      </w:r>
    </w:p>
    <w:p w14:paraId="5E9BB7E4" w14:textId="77777777" w:rsidR="00901122" w:rsidRPr="00EB3D94" w:rsidRDefault="00901122" w:rsidP="00BC4866">
      <w:pPr>
        <w:pStyle w:val="Capalera"/>
        <w:tabs>
          <w:tab w:val="clear" w:pos="4252"/>
          <w:tab w:val="clear" w:pos="8504"/>
        </w:tabs>
        <w:ind w:left="1800" w:hanging="1516"/>
        <w:jc w:val="both"/>
        <w:rPr>
          <w:szCs w:val="22"/>
          <w:lang w:val="es-ES"/>
        </w:rPr>
      </w:pPr>
    </w:p>
    <w:p w14:paraId="39ABBEFA" w14:textId="2A1BF496" w:rsidR="00F14819" w:rsidRPr="00EB3D94" w:rsidRDefault="00901122" w:rsidP="00F14819">
      <w:pPr>
        <w:pStyle w:val="Sagniadetextindependent3"/>
        <w:spacing w:after="0"/>
        <w:ind w:left="1701" w:hanging="1417"/>
        <w:jc w:val="both"/>
        <w:rPr>
          <w:sz w:val="22"/>
          <w:szCs w:val="22"/>
          <w:lang w:val="es-ES"/>
        </w:rPr>
      </w:pPr>
      <w:r w:rsidRPr="00EB3D94">
        <w:rPr>
          <w:sz w:val="22"/>
          <w:szCs w:val="22"/>
          <w:lang w:val="es-ES"/>
        </w:rPr>
        <w:t>Vocales:</w:t>
      </w:r>
      <w:r w:rsidRPr="00EB3D94">
        <w:rPr>
          <w:sz w:val="22"/>
          <w:szCs w:val="22"/>
          <w:lang w:val="es-ES"/>
        </w:rPr>
        <w:tab/>
      </w:r>
      <w:bookmarkStart w:id="0" w:name="_Hlk196299846"/>
      <w:r w:rsidR="00F14819" w:rsidRPr="00EB3D94">
        <w:rPr>
          <w:rFonts w:cs="Arial"/>
          <w:sz w:val="22"/>
          <w:szCs w:val="22"/>
          <w:lang w:val="es-ES"/>
        </w:rPr>
        <w:t>Sr/a. subdirector/a general de Gestión Económica, Contratación y Patrimonio</w:t>
      </w:r>
      <w:bookmarkEnd w:id="0"/>
      <w:r w:rsidR="00F14819" w:rsidRPr="00EB3D94">
        <w:rPr>
          <w:rFonts w:cs="Arial"/>
          <w:sz w:val="22"/>
          <w:szCs w:val="22"/>
          <w:lang w:val="es-ES"/>
        </w:rPr>
        <w:t xml:space="preserve"> </w:t>
      </w:r>
      <w:r w:rsidR="00F14819" w:rsidRPr="00EB3D94">
        <w:rPr>
          <w:rFonts w:cs="Arial"/>
          <w:sz w:val="22"/>
          <w:szCs w:val="22"/>
          <w:lang w:val="es-ES"/>
        </w:rPr>
        <w:t>que actuará como presidente/a en ausencia del/de la presidente/a.</w:t>
      </w:r>
    </w:p>
    <w:p w14:paraId="4E51BE28" w14:textId="77777777" w:rsidR="00F14819" w:rsidRPr="00EB3D94" w:rsidRDefault="00D440AB" w:rsidP="00F14819">
      <w:pPr>
        <w:pStyle w:val="Sagniadetextindependent3"/>
        <w:spacing w:after="0"/>
        <w:ind w:left="1701"/>
        <w:jc w:val="both"/>
        <w:rPr>
          <w:rFonts w:cs="Arial"/>
          <w:sz w:val="22"/>
          <w:szCs w:val="22"/>
          <w:lang w:val="es-ES"/>
        </w:rPr>
      </w:pPr>
      <w:r w:rsidRPr="00EB3D94">
        <w:rPr>
          <w:rFonts w:cs="Arial"/>
          <w:sz w:val="22"/>
          <w:szCs w:val="22"/>
          <w:lang w:val="es-ES"/>
        </w:rPr>
        <w:t>Sr/a</w:t>
      </w:r>
      <w:r w:rsidR="00F14819" w:rsidRPr="00EB3D94">
        <w:rPr>
          <w:rFonts w:cs="Arial"/>
          <w:vanish/>
          <w:sz w:val="22"/>
          <w:szCs w:val="22"/>
          <w:lang w:val="es-ES"/>
        </w:rPr>
        <w:t>.</w:t>
      </w:r>
      <w:r w:rsidR="00F14819" w:rsidRPr="00EB3D94">
        <w:rPr>
          <w:rFonts w:cs="Arial"/>
          <w:sz w:val="22"/>
          <w:szCs w:val="22"/>
          <w:lang w:val="es-ES"/>
        </w:rPr>
        <w:t xml:space="preserve"> jefe</w:t>
      </w:r>
      <w:r w:rsidRPr="00EB3D94">
        <w:rPr>
          <w:rFonts w:cs="Arial"/>
          <w:vanish/>
          <w:sz w:val="22"/>
          <w:szCs w:val="22"/>
          <w:lang w:val="es-ES"/>
        </w:rPr>
        <w:t>&lt;A[cabeza|cabo|jefe]&gt;</w:t>
      </w:r>
      <w:r w:rsidRPr="00EB3D94">
        <w:rPr>
          <w:rFonts w:cs="Arial"/>
          <w:sz w:val="22"/>
          <w:szCs w:val="22"/>
          <w:lang w:val="es-ES"/>
        </w:rPr>
        <w:t xml:space="preserve"> del Servicio de Contratación</w:t>
      </w:r>
    </w:p>
    <w:p w14:paraId="5336FA68" w14:textId="77777777" w:rsidR="00F14819" w:rsidRPr="00EB3D94" w:rsidRDefault="00F14819" w:rsidP="00F14819">
      <w:pPr>
        <w:pStyle w:val="Sagniadetextindependent3"/>
        <w:spacing w:after="0"/>
        <w:ind w:left="1701"/>
        <w:jc w:val="both"/>
        <w:rPr>
          <w:rFonts w:cs="Arial"/>
          <w:sz w:val="22"/>
          <w:szCs w:val="22"/>
          <w:lang w:val="es-ES"/>
        </w:rPr>
      </w:pPr>
      <w:r w:rsidRPr="00EB3D94">
        <w:rPr>
          <w:rFonts w:cs="Arial"/>
          <w:sz w:val="22"/>
          <w:szCs w:val="22"/>
          <w:lang w:val="es-ES"/>
        </w:rPr>
        <w:t>Sr/a jefe del Servicio de Depositaria</w:t>
      </w:r>
    </w:p>
    <w:p w14:paraId="725D29CF" w14:textId="77777777" w:rsidR="00F14819" w:rsidRPr="00EB3D94" w:rsidRDefault="00C03B0B" w:rsidP="00F14819">
      <w:pPr>
        <w:pStyle w:val="Sagniadetextindependent3"/>
        <w:spacing w:after="0"/>
        <w:ind w:left="1701"/>
        <w:jc w:val="both"/>
        <w:rPr>
          <w:rFonts w:cs="Arial"/>
          <w:sz w:val="22"/>
          <w:szCs w:val="22"/>
          <w:lang w:val="es-ES"/>
        </w:rPr>
      </w:pPr>
      <w:r w:rsidRPr="00EB3D94">
        <w:rPr>
          <w:rFonts w:cs="Arial"/>
          <w:sz w:val="22"/>
          <w:szCs w:val="22"/>
          <w:lang w:val="es-ES"/>
        </w:rPr>
        <w:t>Un representante de la Asesoría Jurídica.</w:t>
      </w:r>
    </w:p>
    <w:p w14:paraId="1145AE5E" w14:textId="18624274" w:rsidR="00C03B0B" w:rsidRPr="00EB3D94" w:rsidRDefault="00C03B0B" w:rsidP="00F14819">
      <w:pPr>
        <w:pStyle w:val="Sagniadetextindependent3"/>
        <w:spacing w:after="0"/>
        <w:ind w:left="1701"/>
        <w:jc w:val="both"/>
        <w:rPr>
          <w:sz w:val="22"/>
          <w:szCs w:val="22"/>
          <w:lang w:val="es-ES"/>
        </w:rPr>
      </w:pPr>
      <w:r w:rsidRPr="00EB3D94">
        <w:rPr>
          <w:sz w:val="22"/>
          <w:szCs w:val="22"/>
          <w:lang w:val="es-ES"/>
        </w:rPr>
        <w:t>Un representante de la Intervención delegada</w:t>
      </w:r>
      <w:r w:rsidR="00E23614" w:rsidRPr="00EB3D94">
        <w:rPr>
          <w:rStyle w:val="Refernciadenotaapeudepgina"/>
          <w:sz w:val="22"/>
          <w:szCs w:val="22"/>
          <w:lang w:val="es-ES"/>
        </w:rPr>
        <w:footnoteReference w:id="1"/>
      </w:r>
      <w:r w:rsidRPr="00EB3D94">
        <w:rPr>
          <w:sz w:val="22"/>
          <w:szCs w:val="22"/>
          <w:lang w:val="es-ES"/>
        </w:rPr>
        <w:t>.</w:t>
      </w:r>
    </w:p>
    <w:p w14:paraId="09C7B058" w14:textId="77777777" w:rsidR="00F14819" w:rsidRPr="00EB3D94" w:rsidRDefault="00F14819" w:rsidP="00F14819">
      <w:pPr>
        <w:pStyle w:val="Sagniadetextindependent3"/>
        <w:spacing w:after="0"/>
        <w:ind w:left="1701"/>
        <w:jc w:val="both"/>
        <w:rPr>
          <w:rFonts w:cs="Arial"/>
          <w:sz w:val="22"/>
          <w:szCs w:val="22"/>
          <w:lang w:val="es-ES"/>
        </w:rPr>
      </w:pPr>
    </w:p>
    <w:p w14:paraId="393F0A44" w14:textId="3DDD36F6" w:rsidR="00CE10A8" w:rsidRPr="00EB3D94" w:rsidRDefault="00C03B0B" w:rsidP="00F14819">
      <w:pPr>
        <w:pStyle w:val="Default"/>
        <w:tabs>
          <w:tab w:val="left" w:pos="1701"/>
        </w:tabs>
        <w:ind w:left="1701" w:hanging="1516"/>
        <w:jc w:val="both"/>
        <w:rPr>
          <w:color w:val="auto"/>
          <w:sz w:val="22"/>
          <w:szCs w:val="22"/>
          <w:lang w:val="es-ES"/>
        </w:rPr>
      </w:pPr>
      <w:r w:rsidRPr="00EB3D94">
        <w:rPr>
          <w:color w:val="auto"/>
          <w:sz w:val="22"/>
          <w:szCs w:val="22"/>
          <w:lang w:val="es-ES"/>
        </w:rPr>
        <w:t xml:space="preserve">Secretaria:   </w:t>
      </w:r>
      <w:r w:rsidR="00F14819" w:rsidRPr="00EB3D94">
        <w:rPr>
          <w:color w:val="auto"/>
          <w:sz w:val="22"/>
          <w:szCs w:val="22"/>
          <w:lang w:val="es-ES"/>
        </w:rPr>
        <w:tab/>
      </w:r>
      <w:r w:rsidR="00CE10A8" w:rsidRPr="00EB3D94">
        <w:rPr>
          <w:color w:val="auto"/>
          <w:sz w:val="22"/>
          <w:szCs w:val="22"/>
          <w:lang w:val="es-ES"/>
        </w:rPr>
        <w:t>Una persona adscrita al Servicio de Co</w:t>
      </w:r>
      <w:r w:rsidR="00491800" w:rsidRPr="00EB3D94">
        <w:rPr>
          <w:color w:val="auto"/>
          <w:sz w:val="22"/>
          <w:szCs w:val="22"/>
          <w:lang w:val="es-ES"/>
        </w:rPr>
        <w:t xml:space="preserve">ntratación del Departamento </w:t>
      </w:r>
      <w:r w:rsidR="00CE10A8" w:rsidRPr="00EB3D94">
        <w:rPr>
          <w:color w:val="auto"/>
          <w:sz w:val="22"/>
          <w:szCs w:val="22"/>
          <w:lang w:val="es-ES"/>
        </w:rPr>
        <w:t xml:space="preserve">de Economía y </w:t>
      </w:r>
      <w:r w:rsidR="00D941EB" w:rsidRPr="00EB3D94">
        <w:rPr>
          <w:color w:val="auto"/>
          <w:sz w:val="22"/>
          <w:szCs w:val="22"/>
          <w:lang w:val="es-ES"/>
        </w:rPr>
        <w:t>Finanzas</w:t>
      </w:r>
    </w:p>
    <w:p w14:paraId="42799C6F" w14:textId="77777777" w:rsidR="00CE10A8" w:rsidRPr="00EB3D94" w:rsidRDefault="00CE10A8" w:rsidP="00BC4866">
      <w:pPr>
        <w:pStyle w:val="Default"/>
        <w:tabs>
          <w:tab w:val="left" w:pos="1800"/>
          <w:tab w:val="left" w:pos="1843"/>
        </w:tabs>
        <w:ind w:left="1843" w:hanging="1483"/>
        <w:jc w:val="both"/>
        <w:rPr>
          <w:color w:val="auto"/>
          <w:sz w:val="22"/>
          <w:szCs w:val="22"/>
          <w:lang w:val="es-ES" w:eastAsia="es-ES"/>
        </w:rPr>
      </w:pPr>
    </w:p>
    <w:p w14:paraId="4E731DF9" w14:textId="505819A1" w:rsidR="00C03B0B" w:rsidRPr="00EB3D94" w:rsidRDefault="009D43DF" w:rsidP="00BC4866">
      <w:pPr>
        <w:pStyle w:val="Default"/>
        <w:spacing w:after="120"/>
        <w:jc w:val="both"/>
        <w:rPr>
          <w:color w:val="auto"/>
          <w:sz w:val="22"/>
          <w:szCs w:val="22"/>
          <w:lang w:val="es-ES"/>
        </w:rPr>
      </w:pPr>
      <w:r w:rsidRPr="00EB3D94">
        <w:rPr>
          <w:b/>
          <w:color w:val="auto"/>
          <w:sz w:val="22"/>
          <w:szCs w:val="22"/>
          <w:lang w:val="es-ES"/>
        </w:rPr>
        <w:t>11</w:t>
      </w:r>
      <w:r w:rsidR="00C03B0B" w:rsidRPr="00EB3D94">
        <w:rPr>
          <w:b/>
          <w:color w:val="auto"/>
          <w:sz w:val="22"/>
          <w:szCs w:val="22"/>
          <w:lang w:val="es-ES"/>
        </w:rPr>
        <w:t>.2</w:t>
      </w:r>
      <w:r w:rsidR="00C03B0B" w:rsidRPr="00EB3D94">
        <w:rPr>
          <w:color w:val="auto"/>
          <w:sz w:val="22"/>
          <w:szCs w:val="22"/>
          <w:lang w:val="es-ES"/>
        </w:rPr>
        <w:t xml:space="preserve"> La Mesa de contratación calificará la documentación contenida en el sobre A y, en caso de observar defectos enmendables, lo comunicará a las empresas licitadoras afectadas para que los enmienden en el plazo de tres días.</w:t>
      </w:r>
    </w:p>
    <w:p w14:paraId="3151B685" w14:textId="77777777" w:rsidR="00C03B0B" w:rsidRPr="00EB3D94" w:rsidRDefault="00C03B0B" w:rsidP="00BC4866">
      <w:pPr>
        <w:autoSpaceDE w:val="0"/>
        <w:autoSpaceDN w:val="0"/>
        <w:adjustRightInd w:val="0"/>
        <w:jc w:val="both"/>
        <w:rPr>
          <w:rFonts w:cs="Arial"/>
          <w:szCs w:val="22"/>
          <w:lang w:val="es-ES"/>
        </w:rPr>
      </w:pPr>
    </w:p>
    <w:p w14:paraId="26D3D6B9" w14:textId="77777777" w:rsidR="00C03B0B" w:rsidRPr="00EB3D94" w:rsidRDefault="00C03B0B" w:rsidP="00BC4866">
      <w:pPr>
        <w:autoSpaceDE w:val="0"/>
        <w:autoSpaceDN w:val="0"/>
        <w:adjustRightInd w:val="0"/>
        <w:jc w:val="both"/>
        <w:rPr>
          <w:rFonts w:cs="Arial"/>
          <w:szCs w:val="22"/>
          <w:lang w:val="es-ES"/>
        </w:rPr>
      </w:pPr>
      <w:r w:rsidRPr="00EB3D94">
        <w:rPr>
          <w:rFonts w:cs="Arial"/>
          <w:szCs w:val="22"/>
          <w:lang w:val="es-ES"/>
        </w:rPr>
        <w:lastRenderedPageBreak/>
        <w:t xml:space="preserve">Una vez enmendado, si procede, </w:t>
      </w:r>
      <w:proofErr w:type="gramStart"/>
      <w:r w:rsidRPr="00EB3D94">
        <w:rPr>
          <w:rFonts w:cs="Arial"/>
          <w:szCs w:val="22"/>
          <w:lang w:val="es-ES"/>
        </w:rPr>
        <w:t>los defectos en la documentación contenida en el sobre En la mesa lo evaluará</w:t>
      </w:r>
      <w:proofErr w:type="gramEnd"/>
      <w:r w:rsidRPr="00EB3D94">
        <w:rPr>
          <w:rFonts w:cs="Arial"/>
          <w:szCs w:val="22"/>
          <w:lang w:val="es-ES"/>
        </w:rPr>
        <w:t xml:space="preserve"> y determinará las empresas admitidas a la licitación y las excluidas, así como, en los suyo caso, las causas de la exclusión.</w:t>
      </w:r>
    </w:p>
    <w:p w14:paraId="27E138D9" w14:textId="77777777" w:rsidR="00C03B0B" w:rsidRPr="00EB3D94" w:rsidRDefault="00C03B0B" w:rsidP="00BC4866">
      <w:pPr>
        <w:autoSpaceDE w:val="0"/>
        <w:autoSpaceDN w:val="0"/>
        <w:adjustRightInd w:val="0"/>
        <w:jc w:val="both"/>
        <w:rPr>
          <w:rFonts w:cs="Arial"/>
          <w:szCs w:val="22"/>
          <w:lang w:val="es-ES"/>
        </w:rPr>
      </w:pPr>
    </w:p>
    <w:p w14:paraId="064E94CF" w14:textId="77777777" w:rsidR="00C03B0B" w:rsidRPr="00EB3D94" w:rsidRDefault="00C03B0B" w:rsidP="00BC4866">
      <w:pPr>
        <w:jc w:val="both"/>
        <w:rPr>
          <w:rFonts w:cs="Arial"/>
          <w:lang w:val="es-ES"/>
        </w:rPr>
      </w:pPr>
      <w:r w:rsidRPr="00EB3D94">
        <w:rPr>
          <w:rFonts w:cs="Arial"/>
          <w:lang w:val="es-ES"/>
        </w:rPr>
        <w:t xml:space="preserve">Sin perjuicio de la comunicación a las personas interesadas, se harán públicas estas circunstancias mediante su perfil de contratante. </w:t>
      </w:r>
    </w:p>
    <w:p w14:paraId="0FAF709D" w14:textId="77777777" w:rsidR="00C03B0B" w:rsidRPr="00EB3D94" w:rsidRDefault="00C03B0B" w:rsidP="00BC4866">
      <w:pPr>
        <w:jc w:val="both"/>
        <w:rPr>
          <w:rFonts w:cs="Arial"/>
          <w:lang w:val="es-ES"/>
        </w:rPr>
      </w:pPr>
    </w:p>
    <w:p w14:paraId="587FFF57" w14:textId="77777777" w:rsidR="00C03B0B" w:rsidRPr="00EB3D94" w:rsidRDefault="00C03B0B" w:rsidP="00BC4866">
      <w:pPr>
        <w:jc w:val="both"/>
        <w:rPr>
          <w:rFonts w:cs="Arial"/>
          <w:lang w:val="es-ES"/>
        </w:rPr>
      </w:pPr>
      <w:r w:rsidRPr="00EB3D94">
        <w:rPr>
          <w:rFonts w:cs="Arial"/>
          <w:lang w:val="es-ES"/>
        </w:rPr>
        <w:t>Asimismo, de acuerdo con el artículo 95 de la LCSP la Mesa podrá solicitar a las empresas licitadoras las aclaraciones que le hagan falta sobre los certificados y documentos presentados o requerirlas para que presenten complementarios, las cuales, de conformidad con el artículo 22 del RGLCAP, dispondrán de un plazo de cinco días naturales sin que puedan presentarse después de declaradas admitidas las ofertas.</w:t>
      </w:r>
    </w:p>
    <w:p w14:paraId="4173914F" w14:textId="77777777" w:rsidR="00C03B0B" w:rsidRPr="00EB3D94" w:rsidRDefault="00C03B0B" w:rsidP="00BC4866">
      <w:pPr>
        <w:jc w:val="both"/>
        <w:rPr>
          <w:rFonts w:cs="Arial"/>
          <w:lang w:val="es-ES"/>
        </w:rPr>
      </w:pPr>
    </w:p>
    <w:p w14:paraId="099A6256" w14:textId="6C169FC7" w:rsidR="00C03B0B" w:rsidRPr="00EB3D94" w:rsidRDefault="00C03B0B" w:rsidP="00BC4866">
      <w:pPr>
        <w:jc w:val="both"/>
        <w:rPr>
          <w:rFonts w:cs="Arial"/>
          <w:lang w:val="es-ES"/>
        </w:rPr>
      </w:pPr>
      <w:r w:rsidRPr="00EB3D94">
        <w:rPr>
          <w:rFonts w:cs="Arial"/>
          <w:lang w:val="es-ES"/>
        </w:rPr>
        <w:t xml:space="preserve">Las solicitudes de aclaraciones o enmiendas se llevarán a cabo a través de la funcionalidad que a este efecto tiene la herramienta de </w:t>
      </w:r>
      <w:proofErr w:type="gramStart"/>
      <w:r w:rsidR="00384EF7" w:rsidRPr="00EB3D94">
        <w:rPr>
          <w:rFonts w:cs="Arial"/>
          <w:lang w:val="es-ES"/>
        </w:rPr>
        <w:t xml:space="preserve">Sobre  </w:t>
      </w:r>
      <w:r w:rsidRPr="00EB3D94">
        <w:rPr>
          <w:rFonts w:cs="Arial"/>
          <w:lang w:val="es-ES"/>
        </w:rPr>
        <w:t>Digital</w:t>
      </w:r>
      <w:proofErr w:type="gramEnd"/>
      <w:r w:rsidRPr="00EB3D94">
        <w:rPr>
          <w:rFonts w:cs="Arial"/>
          <w:lang w:val="es-ES"/>
        </w:rPr>
        <w:t xml:space="preserve">, mediante la cual se dirigirá un correo electrónico a la dirección o las direcciones señaladas por las empresas licitadoras en el formulario de inscripción, con el enlace para el cual accedan al espacio de la herramienta en que </w:t>
      </w:r>
      <w:r w:rsidR="00A25938" w:rsidRPr="00EB3D94">
        <w:rPr>
          <w:rFonts w:cs="Arial"/>
          <w:lang w:val="es-ES"/>
        </w:rPr>
        <w:t xml:space="preserve">deben </w:t>
      </w:r>
      <w:r w:rsidRPr="00EB3D94">
        <w:rPr>
          <w:rFonts w:cs="Arial"/>
          <w:lang w:val="es-ES"/>
        </w:rPr>
        <w:t xml:space="preserve">aportar la documentación correspondiente. </w:t>
      </w:r>
    </w:p>
    <w:p w14:paraId="02BB4088" w14:textId="77777777" w:rsidR="00C03B0B" w:rsidRPr="00EB3D94" w:rsidRDefault="00C03B0B" w:rsidP="00BC4866">
      <w:pPr>
        <w:jc w:val="both"/>
        <w:rPr>
          <w:rFonts w:cs="Arial"/>
          <w:i/>
          <w:lang w:val="es-ES"/>
        </w:rPr>
      </w:pPr>
    </w:p>
    <w:p w14:paraId="64A7593A" w14:textId="77777777" w:rsidR="00C03B0B" w:rsidRPr="00EB3D94" w:rsidRDefault="00C03B0B" w:rsidP="00BC4866">
      <w:pPr>
        <w:jc w:val="both"/>
        <w:rPr>
          <w:rFonts w:cs="Arial"/>
          <w:lang w:val="es-ES"/>
        </w:rPr>
      </w:pPr>
      <w:r w:rsidRPr="00EB3D94">
        <w:rPr>
          <w:rFonts w:cs="Arial"/>
          <w:lang w:val="es-ES"/>
        </w:rPr>
        <w:t xml:space="preserve">Estas peticiones de enmienda o aclaración se comunicarán en la empresa mediante comunicación electrónica a través de </w:t>
      </w:r>
      <w:proofErr w:type="spellStart"/>
      <w:r w:rsidRPr="00EB3D94">
        <w:rPr>
          <w:rFonts w:cs="Arial"/>
          <w:lang w:val="es-ES"/>
        </w:rPr>
        <w:t>l'e</w:t>
      </w:r>
      <w:proofErr w:type="spellEnd"/>
      <w:r w:rsidRPr="00EB3D94">
        <w:rPr>
          <w:rFonts w:cs="Arial"/>
          <w:lang w:val="es-ES"/>
        </w:rPr>
        <w:t>-NOTUM, integrado con la Plataforma de S</w:t>
      </w:r>
      <w:r w:rsidR="00BD3BF1" w:rsidRPr="00EB3D94">
        <w:rPr>
          <w:rFonts w:cs="Arial"/>
          <w:lang w:val="es-ES"/>
        </w:rPr>
        <w:t>ervicios de Contratación Pública.</w:t>
      </w:r>
    </w:p>
    <w:p w14:paraId="0316EC47" w14:textId="77777777" w:rsidR="00C03B0B" w:rsidRPr="00EB3D94" w:rsidRDefault="00C03B0B" w:rsidP="00BC4866">
      <w:pPr>
        <w:tabs>
          <w:tab w:val="left" w:pos="0"/>
          <w:tab w:val="left" w:pos="680"/>
          <w:tab w:val="left" w:pos="1134"/>
          <w:tab w:val="left" w:pos="5040"/>
          <w:tab w:val="left" w:pos="6450"/>
        </w:tabs>
        <w:jc w:val="both"/>
        <w:rPr>
          <w:rFonts w:cs="Arial"/>
          <w:i/>
          <w:lang w:val="es-ES"/>
        </w:rPr>
      </w:pPr>
    </w:p>
    <w:p w14:paraId="217320FC" w14:textId="77777777" w:rsidR="00C03B0B" w:rsidRPr="00EB3D94" w:rsidRDefault="009D43DF" w:rsidP="00BC4866">
      <w:pPr>
        <w:jc w:val="both"/>
        <w:rPr>
          <w:rFonts w:cs="Arial"/>
          <w:lang w:val="es-ES"/>
        </w:rPr>
      </w:pPr>
      <w:r w:rsidRPr="00EB3D94">
        <w:rPr>
          <w:rFonts w:cs="Arial"/>
          <w:b/>
          <w:lang w:val="es-ES"/>
        </w:rPr>
        <w:t>11</w:t>
      </w:r>
      <w:r w:rsidR="00C03B0B" w:rsidRPr="00EB3D94">
        <w:rPr>
          <w:rFonts w:cs="Arial"/>
          <w:b/>
          <w:lang w:val="es-ES"/>
        </w:rPr>
        <w:t>.3</w:t>
      </w:r>
      <w:r w:rsidR="00C03B0B" w:rsidRPr="00EB3D94">
        <w:rPr>
          <w:rFonts w:cs="Arial"/>
          <w:lang w:val="es-ES"/>
        </w:rPr>
        <w:t xml:space="preserve"> Los actos de exclusión adoptados por la Mesa en relación con la apertura</w:t>
      </w:r>
      <w:r w:rsidR="00C03B0B" w:rsidRPr="00EB3D94">
        <w:rPr>
          <w:rFonts w:cs="Arial"/>
          <w:vanish/>
          <w:lang w:val="es-ES"/>
        </w:rPr>
        <w:t>&lt;A[apertura|abertura]&gt;</w:t>
      </w:r>
      <w:r w:rsidR="00C03B0B" w:rsidRPr="00EB3D94">
        <w:rPr>
          <w:rFonts w:cs="Arial"/>
          <w:lang w:val="es-ES"/>
        </w:rPr>
        <w:t xml:space="preserve"> del sobre A serán susceptibles de impugnación.</w:t>
      </w:r>
    </w:p>
    <w:p w14:paraId="58C51813" w14:textId="77777777" w:rsidR="004519FE" w:rsidRPr="00EB3D94" w:rsidRDefault="004519FE" w:rsidP="00BC4866">
      <w:pPr>
        <w:autoSpaceDE w:val="0"/>
        <w:autoSpaceDN w:val="0"/>
        <w:adjustRightInd w:val="0"/>
        <w:rPr>
          <w:rFonts w:cs="Arial"/>
          <w:b/>
          <w:bCs/>
          <w:szCs w:val="22"/>
          <w:lang w:val="es-ES"/>
        </w:rPr>
      </w:pPr>
    </w:p>
    <w:p w14:paraId="1C39680C" w14:textId="77777777" w:rsidR="00D16484" w:rsidRPr="00EB3D94" w:rsidRDefault="00CC6097" w:rsidP="00BC4866">
      <w:pPr>
        <w:autoSpaceDE w:val="0"/>
        <w:autoSpaceDN w:val="0"/>
        <w:adjustRightInd w:val="0"/>
        <w:rPr>
          <w:rFonts w:cs="Arial"/>
          <w:b/>
          <w:bCs/>
          <w:szCs w:val="22"/>
          <w:lang w:val="es-ES"/>
        </w:rPr>
      </w:pPr>
      <w:r w:rsidRPr="00EB3D94">
        <w:rPr>
          <w:rFonts w:cs="Arial"/>
          <w:b/>
          <w:bCs/>
          <w:szCs w:val="22"/>
          <w:lang w:val="es-ES"/>
        </w:rPr>
        <w:t>Do</w:t>
      </w:r>
      <w:r w:rsidR="009A4D9B" w:rsidRPr="00EB3D94">
        <w:rPr>
          <w:rFonts w:cs="Arial"/>
          <w:b/>
          <w:bCs/>
          <w:szCs w:val="22"/>
          <w:lang w:val="es-ES"/>
        </w:rPr>
        <w:t xml:space="preserve">cena. </w:t>
      </w:r>
      <w:r w:rsidR="00D16484" w:rsidRPr="00EB3D94">
        <w:rPr>
          <w:rFonts w:cs="Arial"/>
          <w:b/>
          <w:bCs/>
          <w:szCs w:val="22"/>
          <w:u w:val="single"/>
          <w:lang w:val="es-ES"/>
        </w:rPr>
        <w:t>Determinación de la oferta económicamente más ventajosa</w:t>
      </w:r>
    </w:p>
    <w:p w14:paraId="61595159" w14:textId="77777777" w:rsidR="00D16484" w:rsidRPr="00EB3D94" w:rsidRDefault="00D16484" w:rsidP="00BC4866">
      <w:pPr>
        <w:autoSpaceDE w:val="0"/>
        <w:autoSpaceDN w:val="0"/>
        <w:adjustRightInd w:val="0"/>
        <w:rPr>
          <w:rFonts w:cs="Arial"/>
          <w:b/>
          <w:bCs/>
          <w:szCs w:val="22"/>
          <w:u w:val="single"/>
          <w:lang w:val="es-ES"/>
        </w:rPr>
      </w:pPr>
    </w:p>
    <w:p w14:paraId="3A92BDFE" w14:textId="77777777" w:rsidR="00F85341" w:rsidRPr="00EB3D94" w:rsidRDefault="00CC6097" w:rsidP="00BC4866">
      <w:pPr>
        <w:jc w:val="both"/>
        <w:rPr>
          <w:rFonts w:cs="Arial"/>
          <w:lang w:val="es-ES"/>
        </w:rPr>
      </w:pPr>
      <w:r w:rsidRPr="00EB3D94">
        <w:rPr>
          <w:rFonts w:cs="Arial"/>
          <w:b/>
          <w:lang w:val="es-ES"/>
        </w:rPr>
        <w:t>12</w:t>
      </w:r>
      <w:r w:rsidR="00F85341" w:rsidRPr="00EB3D94">
        <w:rPr>
          <w:rFonts w:cs="Arial"/>
          <w:b/>
          <w:lang w:val="es-ES"/>
        </w:rPr>
        <w:t>.1 Práctica de la valoración de las ofertas</w:t>
      </w:r>
      <w:r w:rsidR="00F85341" w:rsidRPr="00EB3D94">
        <w:rPr>
          <w:rFonts w:cs="Arial"/>
          <w:lang w:val="es-ES"/>
        </w:rPr>
        <w:t xml:space="preserve"> </w:t>
      </w:r>
    </w:p>
    <w:p w14:paraId="2A8F7A03" w14:textId="77777777" w:rsidR="00F85341" w:rsidRPr="00EB3D94" w:rsidRDefault="00F85341" w:rsidP="00BC4866">
      <w:pPr>
        <w:jc w:val="both"/>
        <w:rPr>
          <w:rFonts w:cs="Arial"/>
          <w:lang w:val="es-ES"/>
        </w:rPr>
      </w:pPr>
    </w:p>
    <w:p w14:paraId="5D489C88" w14:textId="60DD6012" w:rsidR="00D16484" w:rsidRPr="00EB3D94" w:rsidRDefault="00D16484" w:rsidP="00BC4866">
      <w:pPr>
        <w:jc w:val="both"/>
        <w:rPr>
          <w:rFonts w:cs="Arial"/>
          <w:lang w:val="es-ES"/>
        </w:rPr>
      </w:pPr>
      <w:r w:rsidRPr="00EB3D94">
        <w:rPr>
          <w:rFonts w:cs="Arial"/>
          <w:lang w:val="es-ES"/>
        </w:rPr>
        <w:t xml:space="preserve">En aplicación del establecido en el artículo 157.3 de la LCSP, </w:t>
      </w:r>
      <w:r w:rsidR="00E23614" w:rsidRPr="00EB3D94">
        <w:rPr>
          <w:rFonts w:cs="Arial"/>
          <w:lang w:val="es-ES"/>
        </w:rPr>
        <w:t>la apertura</w:t>
      </w:r>
      <w:r w:rsidRPr="00EB3D94">
        <w:rPr>
          <w:rFonts w:cs="Arial"/>
          <w:lang w:val="es-ES"/>
        </w:rPr>
        <w:t xml:space="preserve"> de las proposiciones </w:t>
      </w:r>
      <w:r w:rsidR="00E23614" w:rsidRPr="00EB3D94">
        <w:rPr>
          <w:rFonts w:cs="Arial"/>
          <w:lang w:val="es-ES"/>
        </w:rPr>
        <w:t>deberá</w:t>
      </w:r>
      <w:r w:rsidRPr="00EB3D94">
        <w:rPr>
          <w:rFonts w:cs="Arial"/>
          <w:lang w:val="es-ES"/>
        </w:rPr>
        <w:t xml:space="preserve"> efectu</w:t>
      </w:r>
      <w:r w:rsidR="005D04EC" w:rsidRPr="00EB3D94">
        <w:rPr>
          <w:rFonts w:cs="Arial"/>
          <w:lang w:val="es-ES"/>
        </w:rPr>
        <w:t>arse en el plazo máximo de 10</w:t>
      </w:r>
      <w:r w:rsidRPr="00EB3D94">
        <w:rPr>
          <w:rFonts w:cs="Arial"/>
          <w:lang w:val="es-ES"/>
        </w:rPr>
        <w:t xml:space="preserve"> días contados desde la fecha de finalización del plazo para presentar las mismas.</w:t>
      </w:r>
    </w:p>
    <w:p w14:paraId="45A9E645" w14:textId="77777777" w:rsidR="00D16484" w:rsidRPr="00EB3D94" w:rsidRDefault="00D16484" w:rsidP="00BC4866">
      <w:pPr>
        <w:jc w:val="both"/>
        <w:rPr>
          <w:rFonts w:cs="Arial"/>
          <w:lang w:val="es-ES"/>
        </w:rPr>
      </w:pPr>
    </w:p>
    <w:p w14:paraId="21F3CF3E" w14:textId="5926C8C5" w:rsidR="00D16484" w:rsidRPr="00EB3D94" w:rsidRDefault="00D16484" w:rsidP="00BC4866">
      <w:pPr>
        <w:jc w:val="both"/>
        <w:rPr>
          <w:rFonts w:cs="Arial"/>
          <w:lang w:val="es-ES"/>
        </w:rPr>
      </w:pPr>
      <w:r w:rsidRPr="00EB3D94">
        <w:rPr>
          <w:rFonts w:cs="Arial"/>
          <w:lang w:val="es-ES"/>
        </w:rPr>
        <w:t xml:space="preserve">Si la proposición se contuviera en más de un sobre o archivo electrónico, de tal forma que estos </w:t>
      </w:r>
      <w:r w:rsidR="00A25938" w:rsidRPr="00EB3D94">
        <w:rPr>
          <w:rFonts w:cs="Arial"/>
          <w:lang w:val="es-ES"/>
        </w:rPr>
        <w:t xml:space="preserve">deben </w:t>
      </w:r>
      <w:r w:rsidRPr="00EB3D94">
        <w:rPr>
          <w:rFonts w:cs="Arial"/>
          <w:lang w:val="es-ES"/>
        </w:rPr>
        <w:t xml:space="preserve">abrirse en varios sobres independientes, el plazo anterior se entenderá cumplido cuando se haya abierto, dentro de lo mismo, el primero de los sobres o archivos electrónicos que componen la proposición. </w:t>
      </w:r>
    </w:p>
    <w:p w14:paraId="21623FC3" w14:textId="77777777" w:rsidR="00D16484" w:rsidRPr="00EB3D94" w:rsidRDefault="00D16484" w:rsidP="00BC4866">
      <w:pPr>
        <w:jc w:val="both"/>
        <w:rPr>
          <w:rFonts w:cs="Arial"/>
          <w:lang w:val="es-ES"/>
        </w:rPr>
      </w:pPr>
    </w:p>
    <w:p w14:paraId="5134E532" w14:textId="045F7F0A" w:rsidR="00D16484" w:rsidRPr="00EB3D94" w:rsidRDefault="00D16484" w:rsidP="00BC4866">
      <w:pPr>
        <w:jc w:val="both"/>
        <w:rPr>
          <w:rFonts w:cs="Arial"/>
          <w:i/>
          <w:lang w:val="es-ES"/>
        </w:rPr>
      </w:pPr>
      <w:r w:rsidRPr="00EB3D94">
        <w:rPr>
          <w:rFonts w:cs="Arial"/>
          <w:lang w:val="es-ES"/>
        </w:rPr>
        <w:t xml:space="preserve">Una vez acabada </w:t>
      </w:r>
      <w:r w:rsidR="00E9618D" w:rsidRPr="00EB3D94">
        <w:rPr>
          <w:rFonts w:cs="Arial"/>
          <w:lang w:val="es-ES"/>
        </w:rPr>
        <w:t>la apertura</w:t>
      </w:r>
      <w:r w:rsidRPr="00EB3D94">
        <w:rPr>
          <w:rFonts w:cs="Arial"/>
          <w:lang w:val="es-ES"/>
        </w:rPr>
        <w:t xml:space="preserve"> de los sobres, las empresas licitadoras presentes pueden hacer </w:t>
      </w:r>
      <w:r w:rsidR="00E9618D" w:rsidRPr="00EB3D94">
        <w:rPr>
          <w:rFonts w:cs="Arial"/>
          <w:lang w:val="es-ES"/>
        </w:rPr>
        <w:t>constar ante</w:t>
      </w:r>
      <w:r w:rsidRPr="00EB3D94">
        <w:rPr>
          <w:rFonts w:cs="Arial"/>
          <w:lang w:val="es-ES"/>
        </w:rPr>
        <w:t xml:space="preserve"> la Mesa todas las observaciones que consideren necesarias, las cuales </w:t>
      </w:r>
      <w:r w:rsidR="00A25938" w:rsidRPr="00EB3D94">
        <w:rPr>
          <w:rFonts w:cs="Arial"/>
          <w:lang w:val="es-ES"/>
        </w:rPr>
        <w:t xml:space="preserve">deberán </w:t>
      </w:r>
      <w:r w:rsidRPr="00EB3D94">
        <w:rPr>
          <w:rFonts w:cs="Arial"/>
          <w:lang w:val="es-ES"/>
        </w:rPr>
        <w:t xml:space="preserve">quedar reflejadas en el acta. </w:t>
      </w:r>
    </w:p>
    <w:p w14:paraId="75498255" w14:textId="77777777" w:rsidR="00D16484" w:rsidRPr="00EB3D94" w:rsidRDefault="00D16484" w:rsidP="00BC4866">
      <w:pPr>
        <w:jc w:val="both"/>
        <w:rPr>
          <w:rFonts w:cs="Arial"/>
          <w:lang w:val="es-ES"/>
        </w:rPr>
      </w:pPr>
    </w:p>
    <w:p w14:paraId="2019E88C" w14:textId="77777777" w:rsidR="00D16484" w:rsidRPr="00EB3D94" w:rsidRDefault="00D16484" w:rsidP="00BC4866">
      <w:pPr>
        <w:autoSpaceDE w:val="0"/>
        <w:autoSpaceDN w:val="0"/>
        <w:adjustRightInd w:val="0"/>
        <w:jc w:val="both"/>
        <w:rPr>
          <w:rFonts w:cs="Arial"/>
          <w:lang w:val="es-ES"/>
        </w:rPr>
      </w:pPr>
      <w:r w:rsidRPr="00EB3D94">
        <w:rPr>
          <w:rFonts w:cs="Arial"/>
          <w:lang w:val="es-ES"/>
        </w:rPr>
        <w:t xml:space="preserve">La Mesa de contratación podrá solicitar y admitir la aclaración o la enmienda de errores en las ofertas cuando sean de tipo material o </w:t>
      </w:r>
      <w:proofErr w:type="gramStart"/>
      <w:r w:rsidRPr="00EB3D94">
        <w:rPr>
          <w:rFonts w:cs="Arial"/>
          <w:lang w:val="es-ES"/>
        </w:rPr>
        <w:t>formal,  no</w:t>
      </w:r>
      <w:proofErr w:type="gramEnd"/>
      <w:r w:rsidRPr="00EB3D94">
        <w:rPr>
          <w:rFonts w:cs="Arial"/>
          <w:lang w:val="es-ES"/>
        </w:rPr>
        <w:t xml:space="preserve"> sustanciales y no impidan conocer el sentido de la oferta. Únicamente se permitirá la aclaración o la enmienda de errores en las ofertas siempre que no comporten una modificación o concreción de la oferta, con la finalidad de garantizar el principio de igualdad de trato entre empresas licitadoras.</w:t>
      </w:r>
    </w:p>
    <w:p w14:paraId="1CFB0B78" w14:textId="77777777" w:rsidR="00D16484" w:rsidRPr="00EB3D94" w:rsidRDefault="00D16484" w:rsidP="00BC4866">
      <w:pPr>
        <w:jc w:val="both"/>
        <w:rPr>
          <w:rFonts w:cs="Arial"/>
          <w:lang w:val="es-ES"/>
        </w:rPr>
      </w:pPr>
    </w:p>
    <w:p w14:paraId="65F3AE71" w14:textId="04C114C1" w:rsidR="00D16484" w:rsidRPr="00EB3D94" w:rsidRDefault="00D16484" w:rsidP="00BC4866">
      <w:pPr>
        <w:jc w:val="both"/>
        <w:rPr>
          <w:rFonts w:cs="Arial"/>
          <w:lang w:val="es-ES"/>
        </w:rPr>
      </w:pPr>
      <w:r w:rsidRPr="00EB3D94">
        <w:rPr>
          <w:rFonts w:cs="Arial"/>
          <w:lang w:val="es-ES"/>
        </w:rPr>
        <w:t xml:space="preserve">Las solicitudes de aclaraciones o enmiendas se llevarán a cabo a través de la funcionalidad que a este efecto tiene la herramienta de </w:t>
      </w:r>
      <w:proofErr w:type="gramStart"/>
      <w:r w:rsidR="00384EF7" w:rsidRPr="00EB3D94">
        <w:rPr>
          <w:rFonts w:cs="Arial"/>
          <w:lang w:val="es-ES"/>
        </w:rPr>
        <w:t xml:space="preserve">Sobre  </w:t>
      </w:r>
      <w:r w:rsidRPr="00EB3D94">
        <w:rPr>
          <w:rFonts w:cs="Arial"/>
          <w:lang w:val="es-ES"/>
        </w:rPr>
        <w:t>Digital</w:t>
      </w:r>
      <w:proofErr w:type="gramEnd"/>
      <w:r w:rsidRPr="00EB3D94">
        <w:rPr>
          <w:rFonts w:cs="Arial"/>
          <w:lang w:val="es-ES"/>
        </w:rPr>
        <w:t xml:space="preserve">, mediante la cual se dirigirá un correo electrónico a la dirección o las direcciones señaladas por las empresas licitadoras en el formulario de </w:t>
      </w:r>
      <w:r w:rsidRPr="00EB3D94">
        <w:rPr>
          <w:rFonts w:cs="Arial"/>
          <w:lang w:val="es-ES"/>
        </w:rPr>
        <w:lastRenderedPageBreak/>
        <w:t xml:space="preserve">inscripción, con el enlace para el cual accedan al espacio de la herramienta en que </w:t>
      </w:r>
      <w:r w:rsidR="00A25938" w:rsidRPr="00EB3D94">
        <w:rPr>
          <w:rFonts w:cs="Arial"/>
          <w:lang w:val="es-ES"/>
        </w:rPr>
        <w:t xml:space="preserve">deben </w:t>
      </w:r>
      <w:r w:rsidRPr="00EB3D94">
        <w:rPr>
          <w:rFonts w:cs="Arial"/>
          <w:lang w:val="es-ES"/>
        </w:rPr>
        <w:t xml:space="preserve">aportar la documentación correspondiente. </w:t>
      </w:r>
    </w:p>
    <w:p w14:paraId="50781990" w14:textId="77777777" w:rsidR="00D16484" w:rsidRPr="00EB3D94" w:rsidRDefault="00D16484" w:rsidP="00BC4866">
      <w:pPr>
        <w:jc w:val="both"/>
        <w:rPr>
          <w:rFonts w:cs="Arial"/>
          <w:i/>
          <w:lang w:val="es-ES"/>
        </w:rPr>
      </w:pPr>
    </w:p>
    <w:p w14:paraId="2A799476" w14:textId="649A1603" w:rsidR="00D16484" w:rsidRPr="00EB3D94" w:rsidRDefault="00D16484" w:rsidP="00BC4866">
      <w:pPr>
        <w:jc w:val="both"/>
        <w:rPr>
          <w:rFonts w:cs="Arial"/>
          <w:lang w:val="es-ES"/>
        </w:rPr>
      </w:pPr>
      <w:r w:rsidRPr="00EB3D94">
        <w:rPr>
          <w:rFonts w:cs="Arial"/>
          <w:lang w:val="es-ES"/>
        </w:rPr>
        <w:t xml:space="preserve">Estas peticiones de enmienda o aclaración se comunicarán en la empresa mediante comunicación electrónica a través de </w:t>
      </w:r>
      <w:proofErr w:type="spellStart"/>
      <w:r w:rsidRPr="00EB3D94">
        <w:rPr>
          <w:rFonts w:cs="Arial"/>
          <w:lang w:val="es-ES"/>
        </w:rPr>
        <w:t>l'e</w:t>
      </w:r>
      <w:proofErr w:type="spellEnd"/>
      <w:r w:rsidRPr="00EB3D94">
        <w:rPr>
          <w:rFonts w:cs="Arial"/>
          <w:lang w:val="es-ES"/>
        </w:rPr>
        <w:t xml:space="preserve">-NOTUM, integrado con la Plataforma de Servicios de Contratación Pública, de acuerdo con la cláusula octava de </w:t>
      </w:r>
      <w:r w:rsidR="00E9618D" w:rsidRPr="00EB3D94">
        <w:rPr>
          <w:rFonts w:cs="Arial"/>
          <w:lang w:val="es-ES"/>
        </w:rPr>
        <w:t>este pliego</w:t>
      </w:r>
      <w:r w:rsidRPr="00EB3D94">
        <w:rPr>
          <w:rFonts w:cs="Arial"/>
          <w:vanish/>
          <w:lang w:val="es-ES"/>
        </w:rPr>
        <w:t>&lt;A[pliegue|pliego]&gt;</w:t>
      </w:r>
      <w:r w:rsidRPr="00EB3D94">
        <w:rPr>
          <w:rFonts w:cs="Arial"/>
          <w:lang w:val="es-ES"/>
        </w:rPr>
        <w:t>.</w:t>
      </w:r>
    </w:p>
    <w:p w14:paraId="154142F8" w14:textId="77777777" w:rsidR="00D16484" w:rsidRPr="00EB3D94" w:rsidRDefault="00D16484" w:rsidP="00BC4866">
      <w:pPr>
        <w:jc w:val="both"/>
        <w:rPr>
          <w:rFonts w:cs="Arial"/>
          <w:lang w:val="es-ES"/>
        </w:rPr>
      </w:pPr>
    </w:p>
    <w:p w14:paraId="03B2DE3E" w14:textId="5CE1A808" w:rsidR="00D16484" w:rsidRPr="00EB3D94" w:rsidRDefault="00D16484" w:rsidP="00BC4866">
      <w:pPr>
        <w:jc w:val="both"/>
        <w:rPr>
          <w:rFonts w:cs="Arial"/>
          <w:lang w:val="es-ES"/>
        </w:rPr>
      </w:pPr>
      <w:r w:rsidRPr="00EB3D94">
        <w:rPr>
          <w:rFonts w:cs="Arial"/>
          <w:lang w:val="es-ES"/>
        </w:rPr>
        <w:t xml:space="preserve">Serán excluidas de la licitación, mediante resolución motivada, las empresas cuyas proposiciones no concuerden con la documentación examinada y admitida, las que excedan del presupuesto base de licitación, modifiquen sustancialmente los modelos de proposición establecidos </w:t>
      </w:r>
      <w:r w:rsidR="00E9618D" w:rsidRPr="00EB3D94">
        <w:rPr>
          <w:rFonts w:cs="Arial"/>
          <w:lang w:val="es-ES"/>
        </w:rPr>
        <w:t>en este pliego</w:t>
      </w:r>
      <w:r w:rsidRPr="00EB3D94">
        <w:rPr>
          <w:rFonts w:cs="Arial"/>
          <w:vanish/>
          <w:lang w:val="es-ES"/>
        </w:rPr>
        <w:t>&lt;A[pliegue|pliego]&gt;</w:t>
      </w:r>
      <w:r w:rsidRPr="00EB3D94">
        <w:rPr>
          <w:rFonts w:cs="Arial"/>
          <w:lang w:val="es-ES"/>
        </w:rPr>
        <w:t>, comporten un error manifiesto en el importe de la proposición y aquellas en las cuales la empresa licitadora reconozca la existencia de error o inconsistencia que la hace inviable.</w:t>
      </w:r>
    </w:p>
    <w:p w14:paraId="0004A235" w14:textId="77777777" w:rsidR="00D16484" w:rsidRPr="00EB3D94" w:rsidRDefault="00D16484" w:rsidP="00BC4866">
      <w:pPr>
        <w:jc w:val="both"/>
        <w:rPr>
          <w:rFonts w:cs="Arial"/>
          <w:lang w:val="es-ES"/>
        </w:rPr>
      </w:pPr>
    </w:p>
    <w:p w14:paraId="4CCF68C6" w14:textId="3A2F7C9E" w:rsidR="00D16484" w:rsidRPr="00EB3D94" w:rsidRDefault="00D16484" w:rsidP="00BC4866">
      <w:pPr>
        <w:tabs>
          <w:tab w:val="left" w:pos="0"/>
          <w:tab w:val="left" w:pos="680"/>
          <w:tab w:val="left" w:pos="1134"/>
          <w:tab w:val="left" w:pos="5040"/>
        </w:tabs>
        <w:jc w:val="both"/>
        <w:rPr>
          <w:rFonts w:cs="Arial"/>
          <w:lang w:val="es-ES"/>
        </w:rPr>
      </w:pPr>
      <w:r w:rsidRPr="00EB3D94">
        <w:rPr>
          <w:rFonts w:cs="Arial"/>
          <w:lang w:val="es-ES"/>
        </w:rPr>
        <w:t xml:space="preserve">La existencia de errores en las proposiciones económicas de las empresas licitadoras implicará la exclusión de estas del procedimiento de contratación, cuando pueda resultar afectado el principio de igualdad, en los casos de errores que impiden determinar con carácter cierto cuál es el precio realmente </w:t>
      </w:r>
      <w:r w:rsidR="00E9618D" w:rsidRPr="00EB3D94">
        <w:rPr>
          <w:rFonts w:cs="Arial"/>
          <w:lang w:val="es-ES"/>
        </w:rPr>
        <w:t>ofrecido por las</w:t>
      </w:r>
      <w:r w:rsidRPr="00EB3D94">
        <w:rPr>
          <w:rFonts w:cs="Arial"/>
          <w:lang w:val="es-ES"/>
        </w:rPr>
        <w:t xml:space="preserve"> empresas y, por lo tanto, impidan realizar la valoración de las ofertas.</w:t>
      </w:r>
    </w:p>
    <w:p w14:paraId="4BF36380" w14:textId="77777777" w:rsidR="00D16484" w:rsidRPr="00EB3D94" w:rsidRDefault="00D16484" w:rsidP="00BC4866">
      <w:pPr>
        <w:tabs>
          <w:tab w:val="left" w:pos="0"/>
          <w:tab w:val="left" w:pos="680"/>
          <w:tab w:val="left" w:pos="1134"/>
          <w:tab w:val="left" w:pos="5040"/>
        </w:tabs>
        <w:jc w:val="both"/>
        <w:rPr>
          <w:rFonts w:cs="Arial"/>
          <w:lang w:val="es-ES"/>
        </w:rPr>
      </w:pPr>
    </w:p>
    <w:p w14:paraId="533CF898" w14:textId="681E94E7" w:rsidR="00D16484" w:rsidRPr="00EB3D94" w:rsidRDefault="00D16484" w:rsidP="00BC4866">
      <w:pPr>
        <w:tabs>
          <w:tab w:val="left" w:pos="0"/>
          <w:tab w:val="left" w:pos="680"/>
          <w:tab w:val="left" w:pos="1134"/>
          <w:tab w:val="left" w:pos="5040"/>
        </w:tabs>
        <w:jc w:val="both"/>
        <w:rPr>
          <w:rFonts w:cs="Arial"/>
          <w:lang w:val="es-ES"/>
        </w:rPr>
      </w:pPr>
      <w:r w:rsidRPr="00EB3D94">
        <w:rPr>
          <w:rFonts w:cs="Arial"/>
          <w:lang w:val="es-ES"/>
        </w:rPr>
        <w:t xml:space="preserve">La Mesa podrá solicitar los informes técnicos que considere necesarios antes de formular su propuesta de adjudicación. También podrá solicitar estos informes cuando considere necesario verificar que las ofertas cumplen con las especificaciones técnicas de </w:t>
      </w:r>
      <w:r w:rsidR="00E9618D" w:rsidRPr="00EB3D94">
        <w:rPr>
          <w:rFonts w:cs="Arial"/>
          <w:lang w:val="es-ES"/>
        </w:rPr>
        <w:t>los pliegos</w:t>
      </w:r>
      <w:r w:rsidRPr="00EB3D94">
        <w:rPr>
          <w:rFonts w:cs="Arial"/>
          <w:vanish/>
          <w:lang w:val="es-ES"/>
        </w:rPr>
        <w:t>&lt;A[pliegues|pliegos]&gt;</w:t>
      </w:r>
      <w:r w:rsidRPr="00EB3D94">
        <w:rPr>
          <w:rFonts w:cs="Arial"/>
          <w:lang w:val="es-ES"/>
        </w:rPr>
        <w:t>. Las proposiciones que no cumplan dichas prescripciones no serán objeto de valoración.</w:t>
      </w:r>
    </w:p>
    <w:p w14:paraId="6519C9EA" w14:textId="77777777" w:rsidR="00D16484" w:rsidRPr="00EB3D94" w:rsidRDefault="00D16484" w:rsidP="00BC4866">
      <w:pPr>
        <w:tabs>
          <w:tab w:val="left" w:pos="0"/>
          <w:tab w:val="left" w:pos="680"/>
          <w:tab w:val="left" w:pos="1134"/>
          <w:tab w:val="left" w:pos="5040"/>
        </w:tabs>
        <w:jc w:val="both"/>
        <w:rPr>
          <w:rFonts w:cs="Arial"/>
          <w:lang w:val="es-ES"/>
        </w:rPr>
      </w:pPr>
    </w:p>
    <w:p w14:paraId="29640906" w14:textId="77777777" w:rsidR="00D16484" w:rsidRPr="00EB3D94" w:rsidRDefault="00D16484" w:rsidP="00BC4866">
      <w:pPr>
        <w:tabs>
          <w:tab w:val="left" w:pos="0"/>
          <w:tab w:val="left" w:pos="680"/>
          <w:tab w:val="left" w:pos="1134"/>
          <w:tab w:val="left" w:pos="5040"/>
        </w:tabs>
        <w:jc w:val="both"/>
        <w:rPr>
          <w:rFonts w:cs="Arial"/>
          <w:lang w:val="es-ES"/>
        </w:rPr>
      </w:pPr>
      <w:r w:rsidRPr="00EB3D94">
        <w:rPr>
          <w:rFonts w:cs="Arial"/>
          <w:lang w:val="es-ES"/>
        </w:rPr>
        <w:t>También podrá requerir informes a las organizaciones sociales de usuarios destinatarios de la prestación, a las organizaciones representativas del ámbito de actividad en el cual corresponda el objeto del contrato, a las organizaciones sindicales, a las organizaciones que defiendan la igualdad de género y a otras organizaciones para verificar las consideraciones sociales y ambientales.</w:t>
      </w:r>
    </w:p>
    <w:p w14:paraId="7DBAFE0C" w14:textId="77777777" w:rsidR="00D16484" w:rsidRPr="00EB3D94" w:rsidRDefault="00D16484" w:rsidP="00BC4866">
      <w:pPr>
        <w:tabs>
          <w:tab w:val="left" w:pos="0"/>
          <w:tab w:val="left" w:pos="680"/>
          <w:tab w:val="left" w:pos="1134"/>
          <w:tab w:val="left" w:pos="5040"/>
        </w:tabs>
        <w:jc w:val="both"/>
        <w:rPr>
          <w:rFonts w:cs="Arial"/>
          <w:i/>
          <w:lang w:val="es-ES"/>
        </w:rPr>
      </w:pPr>
    </w:p>
    <w:p w14:paraId="09B10E85" w14:textId="03C04A05" w:rsidR="00D16484" w:rsidRPr="00EB3D94" w:rsidRDefault="00D16484" w:rsidP="00BC4866">
      <w:pPr>
        <w:tabs>
          <w:tab w:val="left" w:pos="0"/>
          <w:tab w:val="left" w:pos="680"/>
          <w:tab w:val="left" w:pos="1134"/>
          <w:tab w:val="left" w:pos="5040"/>
        </w:tabs>
        <w:jc w:val="both"/>
        <w:rPr>
          <w:rFonts w:cs="Arial"/>
          <w:lang w:val="es-ES"/>
        </w:rPr>
      </w:pPr>
      <w:r w:rsidRPr="00EB3D94">
        <w:rPr>
          <w:rFonts w:cs="Arial"/>
          <w:lang w:val="es-ES"/>
        </w:rPr>
        <w:t xml:space="preserve">De acuerdo con el artículo 63.3.e) de la LCSP, se </w:t>
      </w:r>
      <w:r w:rsidR="00A25938" w:rsidRPr="00EB3D94">
        <w:rPr>
          <w:rFonts w:cs="Arial"/>
          <w:lang w:val="es-ES"/>
        </w:rPr>
        <w:t xml:space="preserve">deben </w:t>
      </w:r>
      <w:r w:rsidRPr="00EB3D94">
        <w:rPr>
          <w:rFonts w:cs="Arial"/>
          <w:lang w:val="es-ES"/>
        </w:rPr>
        <w:t>publicar en el perfil de contratante del órgano de contratación todas las actas de la mesa de contratación relativas al procedimiento de adjudicación, así como el informe de valoración de los criterios de adjudicación cuantificables mediante un juicio de valor de cada una de las ofertas.</w:t>
      </w:r>
    </w:p>
    <w:p w14:paraId="6886B70A" w14:textId="77777777" w:rsidR="00D16484" w:rsidRPr="00EB3D94" w:rsidRDefault="00D16484" w:rsidP="00BC4866">
      <w:pPr>
        <w:tabs>
          <w:tab w:val="left" w:pos="0"/>
          <w:tab w:val="left" w:pos="680"/>
          <w:tab w:val="left" w:pos="1134"/>
          <w:tab w:val="left" w:pos="5040"/>
        </w:tabs>
        <w:jc w:val="both"/>
        <w:rPr>
          <w:rFonts w:cs="Arial"/>
          <w:lang w:val="es-ES"/>
        </w:rPr>
      </w:pPr>
    </w:p>
    <w:p w14:paraId="1328F9B7" w14:textId="0AAF06AF" w:rsidR="00D16484" w:rsidRPr="00EB3D94" w:rsidRDefault="00D16484" w:rsidP="00BC4866">
      <w:pPr>
        <w:tabs>
          <w:tab w:val="left" w:pos="0"/>
          <w:tab w:val="left" w:pos="680"/>
          <w:tab w:val="left" w:pos="1134"/>
          <w:tab w:val="left" w:pos="5040"/>
        </w:tabs>
        <w:jc w:val="both"/>
        <w:rPr>
          <w:rFonts w:cs="Arial"/>
          <w:lang w:val="es-ES"/>
        </w:rPr>
      </w:pPr>
      <w:r w:rsidRPr="00EB3D94">
        <w:rPr>
          <w:rFonts w:cs="Arial"/>
          <w:lang w:val="es-ES"/>
        </w:rPr>
        <w:t xml:space="preserve">También el artículo 159, apartado 1.5, de la Ley 5/2017, de medidas, prevé que los órganos de contratación </w:t>
      </w:r>
      <w:r w:rsidR="00A25938" w:rsidRPr="00EB3D94">
        <w:rPr>
          <w:rFonts w:cs="Arial"/>
          <w:lang w:val="es-ES"/>
        </w:rPr>
        <w:t xml:space="preserve">deben </w:t>
      </w:r>
      <w:r w:rsidRPr="00EB3D94">
        <w:rPr>
          <w:rFonts w:cs="Arial"/>
          <w:lang w:val="es-ES"/>
        </w:rPr>
        <w:t>publicar íntegramente los informes de valoración de las proposiciones en la Plataforma de servicios de contratación pública, salvo la información declarada confidencial.</w:t>
      </w:r>
    </w:p>
    <w:p w14:paraId="2600975B" w14:textId="77777777" w:rsidR="00D16484" w:rsidRPr="00EB3D94" w:rsidRDefault="00D16484" w:rsidP="00BC4866">
      <w:pPr>
        <w:tabs>
          <w:tab w:val="left" w:pos="0"/>
          <w:tab w:val="left" w:pos="680"/>
          <w:tab w:val="left" w:pos="1134"/>
          <w:tab w:val="left" w:pos="5040"/>
        </w:tabs>
        <w:jc w:val="both"/>
        <w:rPr>
          <w:rFonts w:cs="Arial"/>
          <w:lang w:val="es-ES"/>
        </w:rPr>
      </w:pPr>
    </w:p>
    <w:p w14:paraId="7FBB4889" w14:textId="77777777" w:rsidR="00D16484" w:rsidRPr="00EB3D94" w:rsidRDefault="00D16484" w:rsidP="00BC4866">
      <w:pPr>
        <w:tabs>
          <w:tab w:val="left" w:pos="0"/>
          <w:tab w:val="left" w:pos="680"/>
          <w:tab w:val="left" w:pos="1134"/>
          <w:tab w:val="left" w:pos="5040"/>
        </w:tabs>
        <w:jc w:val="both"/>
        <w:rPr>
          <w:rFonts w:cs="Arial"/>
          <w:lang w:val="es-ES"/>
        </w:rPr>
      </w:pPr>
      <w:r w:rsidRPr="00EB3D94">
        <w:rPr>
          <w:rFonts w:cs="Arial"/>
          <w:lang w:val="es-ES"/>
        </w:rPr>
        <w:t>Los actos de exclusión de las empresas licitadoras adoptados en relación con la apertura</w:t>
      </w:r>
      <w:r w:rsidRPr="00EB3D94">
        <w:rPr>
          <w:rFonts w:cs="Arial"/>
          <w:vanish/>
          <w:lang w:val="es-ES"/>
        </w:rPr>
        <w:t>&lt;A[apertura|abertura]&gt;</w:t>
      </w:r>
      <w:r w:rsidRPr="00EB3D94">
        <w:rPr>
          <w:rFonts w:cs="Arial"/>
          <w:lang w:val="es-ES"/>
        </w:rPr>
        <w:t xml:space="preserve"> de los sobres B </w:t>
      </w:r>
      <w:r w:rsidR="00781523" w:rsidRPr="00EB3D94">
        <w:rPr>
          <w:rFonts w:cs="Arial"/>
          <w:lang w:val="es-ES"/>
        </w:rPr>
        <w:t>serán susceptibles de impugnación.</w:t>
      </w:r>
    </w:p>
    <w:p w14:paraId="4EDA9EBD" w14:textId="77777777" w:rsidR="00781523" w:rsidRPr="00EB3D94" w:rsidRDefault="00781523" w:rsidP="00BC4866">
      <w:pPr>
        <w:tabs>
          <w:tab w:val="left" w:pos="0"/>
          <w:tab w:val="left" w:pos="680"/>
          <w:tab w:val="left" w:pos="1134"/>
          <w:tab w:val="left" w:pos="5040"/>
        </w:tabs>
        <w:jc w:val="both"/>
        <w:rPr>
          <w:rFonts w:cs="Arial"/>
          <w:lang w:val="es-ES"/>
        </w:rPr>
      </w:pPr>
    </w:p>
    <w:p w14:paraId="340892F3" w14:textId="77777777" w:rsidR="00D16484" w:rsidRPr="00EB3D94" w:rsidRDefault="00CC6097" w:rsidP="00BC4866">
      <w:pPr>
        <w:jc w:val="both"/>
        <w:rPr>
          <w:rFonts w:cs="Arial"/>
          <w:lang w:val="es-ES"/>
        </w:rPr>
      </w:pPr>
      <w:r w:rsidRPr="00EB3D94">
        <w:rPr>
          <w:rFonts w:cs="Arial"/>
          <w:b/>
          <w:lang w:val="es-ES"/>
        </w:rPr>
        <w:t>12</w:t>
      </w:r>
      <w:r w:rsidR="00F85341" w:rsidRPr="00EB3D94">
        <w:rPr>
          <w:rFonts w:cs="Arial"/>
          <w:b/>
          <w:lang w:val="es-ES"/>
        </w:rPr>
        <w:t>.2</w:t>
      </w:r>
      <w:r w:rsidR="00F85341" w:rsidRPr="00EB3D94">
        <w:rPr>
          <w:rFonts w:cs="Arial"/>
          <w:lang w:val="es-ES"/>
        </w:rPr>
        <w:t xml:space="preserve"> En </w:t>
      </w:r>
      <w:r w:rsidR="00D16484" w:rsidRPr="00EB3D94">
        <w:rPr>
          <w:rFonts w:cs="Arial"/>
          <w:lang w:val="es-ES"/>
        </w:rPr>
        <w:t xml:space="preserve">casos </w:t>
      </w:r>
      <w:r w:rsidR="00D16484" w:rsidRPr="00EB3D94">
        <w:rPr>
          <w:rFonts w:cs="Arial"/>
          <w:b/>
          <w:lang w:val="es-ES"/>
        </w:rPr>
        <w:t>de empate</w:t>
      </w:r>
      <w:r w:rsidR="00D16484" w:rsidRPr="00EB3D94">
        <w:rPr>
          <w:rFonts w:cs="Arial"/>
          <w:lang w:val="es-ES"/>
        </w:rPr>
        <w:t xml:space="preserve"> en las puntuaciones obtenidas por las ofertas de las empresas licitadoras, tendrá preferencia en la adjudicación del contrato los criterios sucesivos siguientes: </w:t>
      </w:r>
    </w:p>
    <w:p w14:paraId="47FA4965" w14:textId="77777777" w:rsidR="00D16484" w:rsidRPr="00EB3D94" w:rsidRDefault="00D16484" w:rsidP="00BC4866">
      <w:pPr>
        <w:jc w:val="both"/>
        <w:rPr>
          <w:rFonts w:cs="Arial"/>
          <w:lang w:val="es-ES"/>
        </w:rPr>
      </w:pPr>
    </w:p>
    <w:p w14:paraId="67DE8EB7" w14:textId="77777777" w:rsidR="00D16484" w:rsidRPr="00EB3D94" w:rsidRDefault="00D16484" w:rsidP="00BC4866">
      <w:pPr>
        <w:pStyle w:val="Pargrafdellista"/>
        <w:numPr>
          <w:ilvl w:val="0"/>
          <w:numId w:val="28"/>
        </w:numPr>
        <w:jc w:val="both"/>
        <w:rPr>
          <w:rFonts w:cs="Arial"/>
          <w:szCs w:val="22"/>
          <w:lang w:val="es-ES"/>
        </w:rPr>
      </w:pPr>
      <w:r w:rsidRPr="00EB3D94">
        <w:rPr>
          <w:rFonts w:cs="Arial"/>
          <w:szCs w:val="22"/>
          <w:lang w:val="es-ES"/>
        </w:rPr>
        <w:t>La proposición presentada por aquellas empresas que, al vencimiento del plazo de presentación de ofertas, tengan en su plantilla un porcentaje de trabajadores con discapacidad superior a lo que les imponga la normativa. Si varias empresas licitadoras de las que hayan empatado en cuanto a la proposición más ventajosa acreditan tener relación laboral con personas con discapacidad en un porcentaje superior a lo que les imponga la normativa, tendrá preferencia en la adjudicación del contrato la empresa licitadora que disponga del porcentaje más alto de trabajadores fijos con discapacidad en su plantilla.</w:t>
      </w:r>
    </w:p>
    <w:p w14:paraId="6015F951" w14:textId="77777777" w:rsidR="00D16484" w:rsidRPr="00EB3D94" w:rsidRDefault="00D16484" w:rsidP="00BC4866">
      <w:pPr>
        <w:pStyle w:val="Pargrafdellista"/>
        <w:ind w:left="360"/>
        <w:jc w:val="both"/>
        <w:rPr>
          <w:rFonts w:cs="Arial"/>
          <w:szCs w:val="22"/>
          <w:lang w:val="es-ES"/>
        </w:rPr>
      </w:pPr>
    </w:p>
    <w:p w14:paraId="460A7569" w14:textId="2E128985" w:rsidR="00D16484" w:rsidRPr="00EB3D94" w:rsidRDefault="00D16484" w:rsidP="00BC4866">
      <w:pPr>
        <w:pStyle w:val="Pargrafdellista"/>
        <w:numPr>
          <w:ilvl w:val="0"/>
          <w:numId w:val="28"/>
        </w:numPr>
        <w:jc w:val="both"/>
        <w:rPr>
          <w:rFonts w:cs="Arial"/>
          <w:szCs w:val="22"/>
          <w:lang w:val="es-ES"/>
        </w:rPr>
      </w:pPr>
      <w:r w:rsidRPr="00EB3D94">
        <w:rPr>
          <w:rFonts w:cs="Arial"/>
          <w:szCs w:val="22"/>
          <w:lang w:val="es-ES"/>
        </w:rPr>
        <w:lastRenderedPageBreak/>
        <w:t xml:space="preserve">La proposición </w:t>
      </w:r>
      <w:r w:rsidR="00E9618D" w:rsidRPr="00EB3D94">
        <w:rPr>
          <w:rFonts w:cs="Arial"/>
          <w:szCs w:val="22"/>
          <w:lang w:val="es-ES"/>
        </w:rPr>
        <w:t>presentada por</w:t>
      </w:r>
      <w:r w:rsidRPr="00EB3D94">
        <w:rPr>
          <w:rFonts w:cs="Arial"/>
          <w:szCs w:val="22"/>
          <w:lang w:val="es-ES"/>
        </w:rPr>
        <w:t xml:space="preserve"> las empresas de inserción que regula la Ley 44/2007, de 13 de diciembre, para la regulación del régimen de las empresas de inserción, que cumplan los requisitos que establece esta normativa para tener dicha consideración.</w:t>
      </w:r>
    </w:p>
    <w:p w14:paraId="1A4726F2" w14:textId="77777777" w:rsidR="00D16484" w:rsidRPr="00EB3D94" w:rsidRDefault="00D16484" w:rsidP="00BC4866">
      <w:pPr>
        <w:jc w:val="both"/>
        <w:rPr>
          <w:rFonts w:cs="Arial"/>
          <w:lang w:val="es-ES"/>
        </w:rPr>
      </w:pPr>
    </w:p>
    <w:p w14:paraId="36ADD7AC" w14:textId="77777777" w:rsidR="00D16484" w:rsidRPr="00EB3D94" w:rsidRDefault="00D16484" w:rsidP="00BC4866">
      <w:pPr>
        <w:pStyle w:val="Pargrafdellista"/>
        <w:numPr>
          <w:ilvl w:val="0"/>
          <w:numId w:val="28"/>
        </w:numPr>
        <w:jc w:val="both"/>
        <w:rPr>
          <w:rFonts w:cs="Arial"/>
          <w:szCs w:val="22"/>
          <w:lang w:val="es-ES"/>
        </w:rPr>
      </w:pPr>
      <w:r w:rsidRPr="00EB3D94">
        <w:rPr>
          <w:rFonts w:cs="Arial"/>
          <w:szCs w:val="22"/>
          <w:lang w:val="es-ES"/>
        </w:rPr>
        <w:t>La proposición presentada por empresas que, al vencimiento del plazo de presentación de ofertas, incluyan medidas de carácter social y laboral que favorezcan la igualdad de oportunidades entre mujeres y hombres.</w:t>
      </w:r>
    </w:p>
    <w:p w14:paraId="4637BF72" w14:textId="77777777" w:rsidR="00D16484" w:rsidRPr="00EB3D94" w:rsidRDefault="00D16484" w:rsidP="00BC4866">
      <w:pPr>
        <w:jc w:val="both"/>
        <w:rPr>
          <w:rFonts w:cs="Arial"/>
          <w:lang w:val="es-ES"/>
        </w:rPr>
      </w:pPr>
    </w:p>
    <w:p w14:paraId="63B849B6" w14:textId="539F715F" w:rsidR="00D16484" w:rsidRPr="00EB3D94" w:rsidRDefault="00D16484" w:rsidP="00BC4866">
      <w:pPr>
        <w:jc w:val="both"/>
        <w:rPr>
          <w:rFonts w:cs="Arial"/>
          <w:lang w:val="es-ES"/>
        </w:rPr>
      </w:pPr>
      <w:r w:rsidRPr="00EB3D94">
        <w:rPr>
          <w:rFonts w:cs="Arial"/>
          <w:lang w:val="es-ES"/>
        </w:rPr>
        <w:t xml:space="preserve">Las empresas licitadoras </w:t>
      </w:r>
      <w:r w:rsidR="00A25938" w:rsidRPr="00EB3D94">
        <w:rPr>
          <w:rFonts w:cs="Arial"/>
          <w:lang w:val="es-ES"/>
        </w:rPr>
        <w:t xml:space="preserve">deben </w:t>
      </w:r>
      <w:r w:rsidRPr="00EB3D94">
        <w:rPr>
          <w:rFonts w:cs="Arial"/>
          <w:lang w:val="es-ES"/>
        </w:rPr>
        <w:t>aportar la documentación acreditativa de los criterios de desempate en el momento en que se produzca el empate.</w:t>
      </w:r>
    </w:p>
    <w:p w14:paraId="2FF0A808" w14:textId="77777777" w:rsidR="00D16484" w:rsidRPr="00EB3D94" w:rsidRDefault="00D16484" w:rsidP="00BC4866">
      <w:pPr>
        <w:autoSpaceDE w:val="0"/>
        <w:autoSpaceDN w:val="0"/>
        <w:adjustRightInd w:val="0"/>
        <w:rPr>
          <w:rFonts w:cs="Arial"/>
          <w:b/>
          <w:bCs/>
          <w:szCs w:val="22"/>
          <w:u w:val="single"/>
          <w:lang w:val="es-ES"/>
        </w:rPr>
      </w:pPr>
    </w:p>
    <w:p w14:paraId="3E6AF760" w14:textId="77777777" w:rsidR="00AD732A" w:rsidRPr="00EB3D94" w:rsidRDefault="00CC6097" w:rsidP="00BC4866">
      <w:pPr>
        <w:autoSpaceDE w:val="0"/>
        <w:autoSpaceDN w:val="0"/>
        <w:adjustRightInd w:val="0"/>
        <w:jc w:val="both"/>
        <w:rPr>
          <w:rFonts w:cs="Arial"/>
          <w:b/>
          <w:bCs/>
          <w:szCs w:val="22"/>
          <w:u w:val="single"/>
          <w:lang w:val="es-ES"/>
        </w:rPr>
      </w:pPr>
      <w:r w:rsidRPr="00EB3D94">
        <w:rPr>
          <w:rFonts w:cs="Arial"/>
          <w:b/>
          <w:bCs/>
          <w:szCs w:val="22"/>
          <w:lang w:val="es-ES"/>
        </w:rPr>
        <w:t>Decimo</w:t>
      </w:r>
      <w:r w:rsidR="00CE7DCD" w:rsidRPr="00EB3D94">
        <w:rPr>
          <w:rFonts w:cs="Arial"/>
          <w:b/>
          <w:bCs/>
          <w:szCs w:val="22"/>
          <w:lang w:val="es-ES"/>
        </w:rPr>
        <w:t>tercera.</w:t>
      </w:r>
      <w:r w:rsidRPr="00EB3D94">
        <w:rPr>
          <w:rFonts w:cs="Arial"/>
          <w:b/>
          <w:bCs/>
          <w:szCs w:val="22"/>
          <w:lang w:val="es-ES"/>
        </w:rPr>
        <w:t xml:space="preserve"> </w:t>
      </w:r>
      <w:r w:rsidR="00CE7DCD" w:rsidRPr="00EB3D94">
        <w:rPr>
          <w:rFonts w:cs="Arial"/>
          <w:b/>
          <w:bCs/>
          <w:szCs w:val="22"/>
          <w:u w:val="single"/>
          <w:lang w:val="es-ES"/>
        </w:rPr>
        <w:t>Clasificación de las ofertas y requerimiento de documentación previo a la adjudicación</w:t>
      </w:r>
    </w:p>
    <w:p w14:paraId="28A0E7C2" w14:textId="77777777" w:rsidR="00E94C8E" w:rsidRPr="00EB3D94" w:rsidRDefault="00E94C8E" w:rsidP="00BC4866">
      <w:pPr>
        <w:jc w:val="both"/>
        <w:rPr>
          <w:rFonts w:cs="Arial"/>
          <w:b/>
          <w:lang w:val="es-ES"/>
        </w:rPr>
      </w:pPr>
    </w:p>
    <w:p w14:paraId="3FE7B4B3" w14:textId="77777777" w:rsidR="00AD732A" w:rsidRPr="00EB3D94" w:rsidRDefault="00CC6097" w:rsidP="00BC4866">
      <w:pPr>
        <w:jc w:val="both"/>
        <w:rPr>
          <w:rFonts w:cs="Arial"/>
          <w:lang w:val="es-ES"/>
        </w:rPr>
      </w:pPr>
      <w:r w:rsidRPr="00EB3D94">
        <w:rPr>
          <w:rFonts w:cs="Arial"/>
          <w:b/>
          <w:lang w:val="es-ES"/>
        </w:rPr>
        <w:t>13</w:t>
      </w:r>
      <w:r w:rsidR="00CB46CA" w:rsidRPr="00EB3D94">
        <w:rPr>
          <w:rFonts w:cs="Arial"/>
          <w:b/>
          <w:lang w:val="es-ES"/>
        </w:rPr>
        <w:t>.1</w:t>
      </w:r>
      <w:r w:rsidR="00CB46CA" w:rsidRPr="00EB3D94">
        <w:rPr>
          <w:rFonts w:cs="Arial"/>
          <w:lang w:val="es-ES"/>
        </w:rPr>
        <w:t xml:space="preserve"> </w:t>
      </w:r>
      <w:r w:rsidR="00AD732A" w:rsidRPr="00EB3D94">
        <w:rPr>
          <w:rFonts w:cs="Arial"/>
          <w:lang w:val="es-ES"/>
        </w:rPr>
        <w:t xml:space="preserve">Una vez valoradas las ofertas, la mesa de contratación las clasificará por orden decreciente y, posteriormente, remitirá en el órgano de contratación la correspondiente propuesta de adjudicación. </w:t>
      </w:r>
    </w:p>
    <w:p w14:paraId="370C0BD9" w14:textId="77777777" w:rsidR="00AD732A" w:rsidRPr="00EB3D94" w:rsidRDefault="00AD732A" w:rsidP="00BC4866">
      <w:pPr>
        <w:jc w:val="both"/>
        <w:rPr>
          <w:rFonts w:cs="Arial"/>
          <w:lang w:val="es-ES"/>
        </w:rPr>
      </w:pPr>
    </w:p>
    <w:p w14:paraId="642F4EFC" w14:textId="684D17C3" w:rsidR="00AD732A" w:rsidRPr="00EB3D94" w:rsidRDefault="00AD732A" w:rsidP="00BC4866">
      <w:pPr>
        <w:jc w:val="both"/>
        <w:rPr>
          <w:rFonts w:cs="Arial"/>
          <w:lang w:val="es-ES"/>
        </w:rPr>
      </w:pPr>
      <w:r w:rsidRPr="00EB3D94">
        <w:rPr>
          <w:rFonts w:cs="Arial"/>
          <w:lang w:val="es-ES"/>
        </w:rPr>
        <w:t>La propuesta de adjudicación de la mesa no cr</w:t>
      </w:r>
      <w:r w:rsidR="00CB46CA" w:rsidRPr="00EB3D94">
        <w:rPr>
          <w:rFonts w:cs="Arial"/>
          <w:lang w:val="es-ES"/>
        </w:rPr>
        <w:t>ea ningún derecho a favor de la empresa/s</w:t>
      </w:r>
      <w:r w:rsidRPr="00EB3D94">
        <w:rPr>
          <w:rFonts w:cs="Arial"/>
          <w:lang w:val="es-ES"/>
        </w:rPr>
        <w:t xml:space="preserve"> licitadora</w:t>
      </w:r>
      <w:r w:rsidR="00CB46CA" w:rsidRPr="00EB3D94">
        <w:rPr>
          <w:rFonts w:cs="Arial"/>
          <w:lang w:val="es-ES"/>
        </w:rPr>
        <w:t>/s</w:t>
      </w:r>
      <w:r w:rsidRPr="00EB3D94">
        <w:rPr>
          <w:rFonts w:cs="Arial"/>
          <w:lang w:val="es-ES"/>
        </w:rPr>
        <w:t xml:space="preserve"> prop</w:t>
      </w:r>
      <w:r w:rsidR="00DC0D98" w:rsidRPr="00EB3D94">
        <w:rPr>
          <w:rFonts w:cs="Arial"/>
          <w:lang w:val="es-ES"/>
        </w:rPr>
        <w:t>uesta</w:t>
      </w:r>
      <w:r w:rsidR="00CB46CA" w:rsidRPr="00EB3D94">
        <w:rPr>
          <w:rFonts w:cs="Arial"/>
          <w:lang w:val="es-ES"/>
        </w:rPr>
        <w:t>/s</w:t>
      </w:r>
      <w:r w:rsidRPr="00EB3D94">
        <w:rPr>
          <w:rFonts w:cs="Arial"/>
          <w:lang w:val="es-ES"/>
        </w:rPr>
        <w:t xml:space="preserve"> como adjudicataria</w:t>
      </w:r>
      <w:r w:rsidR="00CB46CA" w:rsidRPr="00EB3D94">
        <w:rPr>
          <w:rFonts w:cs="Arial"/>
          <w:lang w:val="es-ES"/>
        </w:rPr>
        <w:t>/s</w:t>
      </w:r>
      <w:r w:rsidRPr="00EB3D94">
        <w:rPr>
          <w:rFonts w:cs="Arial"/>
          <w:lang w:val="es-ES"/>
        </w:rPr>
        <w:t>, ya que el órgano de contratación podrá apartarse siempre que motive su decisión.</w:t>
      </w:r>
    </w:p>
    <w:p w14:paraId="05F5FA82" w14:textId="77777777" w:rsidR="00AD732A" w:rsidRPr="00EB3D94" w:rsidRDefault="00AD732A" w:rsidP="00BC4866">
      <w:pPr>
        <w:pStyle w:val="Textindependent2"/>
        <w:tabs>
          <w:tab w:val="left" w:pos="1418"/>
        </w:tabs>
        <w:spacing w:after="0" w:line="240" w:lineRule="auto"/>
        <w:jc w:val="both"/>
        <w:outlineLvl w:val="0"/>
        <w:rPr>
          <w:rFonts w:cs="Arial"/>
          <w:szCs w:val="22"/>
          <w:lang w:val="es-ES"/>
        </w:rPr>
      </w:pPr>
    </w:p>
    <w:p w14:paraId="4898025A" w14:textId="3CAB7E0E" w:rsidR="009A4D9B" w:rsidRPr="00EB3D94" w:rsidRDefault="00E11CFC" w:rsidP="00BC4866">
      <w:pPr>
        <w:pStyle w:val="Textindependent2"/>
        <w:tabs>
          <w:tab w:val="left" w:pos="1418"/>
        </w:tabs>
        <w:spacing w:after="0" w:line="240" w:lineRule="auto"/>
        <w:jc w:val="both"/>
        <w:outlineLvl w:val="0"/>
        <w:rPr>
          <w:rFonts w:cs="Arial"/>
          <w:szCs w:val="22"/>
          <w:lang w:val="es-ES"/>
        </w:rPr>
      </w:pPr>
      <w:r w:rsidRPr="00EB3D94">
        <w:rPr>
          <w:rFonts w:cs="Arial"/>
          <w:szCs w:val="22"/>
          <w:lang w:val="es-ES"/>
        </w:rPr>
        <w:t>Una vez determinadas</w:t>
      </w:r>
      <w:r w:rsidR="009A4D9B" w:rsidRPr="00EB3D94">
        <w:rPr>
          <w:rFonts w:cs="Arial"/>
          <w:szCs w:val="22"/>
          <w:lang w:val="es-ES"/>
        </w:rPr>
        <w:t xml:space="preserve"> </w:t>
      </w:r>
      <w:r w:rsidRPr="00EB3D94">
        <w:rPr>
          <w:rFonts w:cs="Arial"/>
          <w:szCs w:val="22"/>
          <w:lang w:val="es-ES"/>
        </w:rPr>
        <w:t>las ofertas económicamente más ventajosas</w:t>
      </w:r>
      <w:r w:rsidR="009A4D9B" w:rsidRPr="00EB3D94">
        <w:rPr>
          <w:rFonts w:cs="Arial"/>
          <w:szCs w:val="22"/>
          <w:lang w:val="es-ES"/>
        </w:rPr>
        <w:t xml:space="preserve">, el órgano de contratación requerirá a la empresa licitadora </w:t>
      </w:r>
      <w:r w:rsidRPr="00EB3D94">
        <w:rPr>
          <w:rFonts w:cs="Arial"/>
          <w:szCs w:val="22"/>
          <w:lang w:val="es-ES"/>
        </w:rPr>
        <w:t xml:space="preserve">o empresas licitadoras </w:t>
      </w:r>
      <w:r w:rsidR="00491D73" w:rsidRPr="00EB3D94">
        <w:rPr>
          <w:rFonts w:cs="Arial"/>
          <w:szCs w:val="22"/>
          <w:lang w:val="es-ES"/>
        </w:rPr>
        <w:t>propuest</w:t>
      </w:r>
      <w:r w:rsidR="0090793A" w:rsidRPr="00EB3D94">
        <w:rPr>
          <w:rFonts w:cs="Arial"/>
          <w:szCs w:val="22"/>
          <w:lang w:val="es-ES"/>
        </w:rPr>
        <w:t>a/</w:t>
      </w:r>
      <w:r w:rsidR="00491D73" w:rsidRPr="00EB3D94">
        <w:rPr>
          <w:rFonts w:cs="Arial"/>
          <w:szCs w:val="22"/>
          <w:lang w:val="es-ES"/>
        </w:rPr>
        <w:t>s como adjudicataria, dado que únicamente ha</w:t>
      </w:r>
      <w:r w:rsidR="0090793A" w:rsidRPr="00EB3D94">
        <w:rPr>
          <w:rFonts w:cs="Arial"/>
          <w:szCs w:val="22"/>
          <w:lang w:val="es-ES"/>
        </w:rPr>
        <w:t>/n</w:t>
      </w:r>
      <w:r w:rsidR="00491D73" w:rsidRPr="00EB3D94">
        <w:rPr>
          <w:rFonts w:cs="Arial"/>
          <w:szCs w:val="22"/>
          <w:lang w:val="es-ES"/>
        </w:rPr>
        <w:t xml:space="preserve"> aportado el formulario DEUC, la acreditación de la posesión y validez de la documentación justificativa </w:t>
      </w:r>
      <w:r w:rsidR="00DC0D98" w:rsidRPr="00EB3D94">
        <w:rPr>
          <w:rFonts w:cs="Arial"/>
          <w:szCs w:val="22"/>
          <w:lang w:val="es-ES"/>
        </w:rPr>
        <w:t>del cumplimiento</w:t>
      </w:r>
      <w:r w:rsidR="00491D73" w:rsidRPr="00EB3D94">
        <w:rPr>
          <w:rFonts w:cs="Arial"/>
          <w:szCs w:val="22"/>
          <w:lang w:val="es-ES"/>
        </w:rPr>
        <w:t xml:space="preserve"> de los requisitos exigidos para esta contratación. La documentación solicitada </w:t>
      </w:r>
      <w:r w:rsidR="00E23614" w:rsidRPr="00EB3D94">
        <w:rPr>
          <w:rFonts w:cs="Arial"/>
          <w:szCs w:val="22"/>
          <w:lang w:val="es-ES"/>
        </w:rPr>
        <w:t>deberá</w:t>
      </w:r>
      <w:r w:rsidR="00491D73" w:rsidRPr="00EB3D94">
        <w:rPr>
          <w:rFonts w:cs="Arial"/>
          <w:szCs w:val="22"/>
          <w:lang w:val="es-ES"/>
        </w:rPr>
        <w:t xml:space="preserve"> presentarse</w:t>
      </w:r>
      <w:r w:rsidR="009A4D9B" w:rsidRPr="00EB3D94">
        <w:rPr>
          <w:rFonts w:cs="Arial"/>
          <w:szCs w:val="22"/>
          <w:lang w:val="es-ES"/>
        </w:rPr>
        <w:t xml:space="preserve">, </w:t>
      </w:r>
      <w:r w:rsidR="009A4D9B" w:rsidRPr="00EB3D94">
        <w:rPr>
          <w:rFonts w:cs="Arial"/>
          <w:szCs w:val="22"/>
          <w:u w:val="single"/>
          <w:lang w:val="es-ES"/>
        </w:rPr>
        <w:t>en el plazo</w:t>
      </w:r>
      <w:r w:rsidR="00491D73" w:rsidRPr="00EB3D94">
        <w:rPr>
          <w:rFonts w:cs="Arial"/>
          <w:szCs w:val="22"/>
          <w:u w:val="single"/>
          <w:lang w:val="es-ES"/>
        </w:rPr>
        <w:t xml:space="preserve"> máximo</w:t>
      </w:r>
      <w:r w:rsidR="00925395" w:rsidRPr="00EB3D94">
        <w:rPr>
          <w:rFonts w:cs="Arial"/>
          <w:szCs w:val="22"/>
          <w:u w:val="single"/>
          <w:lang w:val="es-ES"/>
        </w:rPr>
        <w:t xml:space="preserve"> de 5</w:t>
      </w:r>
      <w:r w:rsidR="009A4D9B" w:rsidRPr="00EB3D94">
        <w:rPr>
          <w:rFonts w:cs="Arial"/>
          <w:szCs w:val="22"/>
          <w:u w:val="single"/>
          <w:lang w:val="es-ES"/>
        </w:rPr>
        <w:t xml:space="preserve"> días hábiles</w:t>
      </w:r>
      <w:r w:rsidR="00491D73" w:rsidRPr="00EB3D94">
        <w:rPr>
          <w:rFonts w:cs="Arial"/>
          <w:szCs w:val="22"/>
          <w:lang w:val="es-ES"/>
        </w:rPr>
        <w:t xml:space="preserve"> </w:t>
      </w:r>
      <w:r w:rsidR="00925395" w:rsidRPr="00EB3D94">
        <w:rPr>
          <w:rFonts w:cs="Arial"/>
          <w:szCs w:val="22"/>
          <w:lang w:val="es-ES"/>
        </w:rPr>
        <w:t xml:space="preserve">(dado que el expediente ha sido declarado de tramitación urgente), </w:t>
      </w:r>
      <w:r w:rsidR="009A4D9B" w:rsidRPr="00EB3D94">
        <w:rPr>
          <w:rFonts w:cs="Arial"/>
          <w:szCs w:val="22"/>
          <w:lang w:val="es-ES"/>
        </w:rPr>
        <w:t>a contar desde el siguiente al día e</w:t>
      </w:r>
      <w:r w:rsidR="00491D73" w:rsidRPr="00EB3D94">
        <w:rPr>
          <w:rFonts w:cs="Arial"/>
          <w:szCs w:val="22"/>
          <w:lang w:val="es-ES"/>
        </w:rPr>
        <w:t>n que se ha recibido el requerimiento.</w:t>
      </w:r>
    </w:p>
    <w:p w14:paraId="0A9F0839" w14:textId="77777777" w:rsidR="00491D73" w:rsidRPr="00EB3D94" w:rsidRDefault="00491D73" w:rsidP="00BC4866">
      <w:pPr>
        <w:pStyle w:val="Textindependent2"/>
        <w:spacing w:after="0" w:line="240" w:lineRule="auto"/>
        <w:jc w:val="both"/>
        <w:outlineLvl w:val="0"/>
        <w:rPr>
          <w:rFonts w:cs="Arial"/>
          <w:szCs w:val="22"/>
          <w:lang w:val="es-ES"/>
        </w:rPr>
      </w:pPr>
    </w:p>
    <w:p w14:paraId="120B17CD" w14:textId="77777777" w:rsidR="00AD732A" w:rsidRPr="00EB3D94" w:rsidRDefault="00AD732A" w:rsidP="00BC4866">
      <w:pPr>
        <w:jc w:val="both"/>
        <w:rPr>
          <w:rFonts w:cs="Arial"/>
          <w:lang w:val="es-ES"/>
        </w:rPr>
      </w:pPr>
      <w:r w:rsidRPr="00EB3D94">
        <w:rPr>
          <w:rFonts w:cs="Arial"/>
          <w:lang w:val="es-ES"/>
        </w:rPr>
        <w:t xml:space="preserve">Este requerimiento se efectuará mediante notificación electrónica a través de </w:t>
      </w:r>
      <w:proofErr w:type="spellStart"/>
      <w:r w:rsidRPr="00EB3D94">
        <w:rPr>
          <w:rFonts w:cs="Arial"/>
          <w:lang w:val="es-ES"/>
        </w:rPr>
        <w:t>l'e</w:t>
      </w:r>
      <w:proofErr w:type="spellEnd"/>
      <w:r w:rsidRPr="00EB3D94">
        <w:rPr>
          <w:rFonts w:cs="Arial"/>
          <w:lang w:val="es-ES"/>
        </w:rPr>
        <w:t>-NOTUM, integrado con la Plataforma de Servicios de Contratación Púb</w:t>
      </w:r>
      <w:r w:rsidR="00CB46CA" w:rsidRPr="00EB3D94">
        <w:rPr>
          <w:rFonts w:cs="Arial"/>
          <w:lang w:val="es-ES"/>
        </w:rPr>
        <w:t>lica.</w:t>
      </w:r>
    </w:p>
    <w:p w14:paraId="4E9CC393" w14:textId="77777777" w:rsidR="004519FE" w:rsidRPr="00EB3D94" w:rsidRDefault="004519FE" w:rsidP="00BC4866">
      <w:pPr>
        <w:tabs>
          <w:tab w:val="left" w:pos="2962"/>
        </w:tabs>
        <w:jc w:val="both"/>
        <w:rPr>
          <w:rFonts w:cs="Arial"/>
          <w:lang w:val="es-ES"/>
        </w:rPr>
      </w:pPr>
    </w:p>
    <w:p w14:paraId="6F07CFC4" w14:textId="474808E4" w:rsidR="00AD732A" w:rsidRPr="00EB3D94" w:rsidRDefault="00AD732A" w:rsidP="00BC4866">
      <w:pPr>
        <w:jc w:val="both"/>
        <w:rPr>
          <w:rFonts w:cs="Arial"/>
          <w:b/>
          <w:lang w:val="es-ES"/>
        </w:rPr>
      </w:pPr>
      <w:r w:rsidRPr="00EB3D94">
        <w:rPr>
          <w:rFonts w:cs="Arial"/>
          <w:b/>
          <w:lang w:val="es-ES"/>
        </w:rPr>
        <w:t xml:space="preserve">A.1 </w:t>
      </w:r>
      <w:r w:rsidR="001266E4" w:rsidRPr="00EB3D94">
        <w:rPr>
          <w:rFonts w:cs="Arial"/>
          <w:b/>
          <w:lang w:val="es-ES"/>
        </w:rPr>
        <w:t xml:space="preserve">Empresa </w:t>
      </w:r>
      <w:r w:rsidRPr="00EB3D94">
        <w:rPr>
          <w:rFonts w:cs="Arial"/>
          <w:b/>
          <w:lang w:val="es-ES"/>
        </w:rPr>
        <w:t xml:space="preserve">s no inscritas en el Registro Electrónico de Empresas Licitadoras (RELI) o en el Registro Oficial de Licitadores y Empresas Clasificadas del Sector </w:t>
      </w:r>
      <w:proofErr w:type="gramStart"/>
      <w:r w:rsidRPr="00EB3D94">
        <w:rPr>
          <w:rFonts w:cs="Arial"/>
          <w:b/>
          <w:lang w:val="es-ES"/>
        </w:rPr>
        <w:t>Público  o</w:t>
      </w:r>
      <w:proofErr w:type="gramEnd"/>
      <w:r w:rsidRPr="00EB3D94">
        <w:rPr>
          <w:rFonts w:cs="Arial"/>
          <w:b/>
          <w:lang w:val="es-ES"/>
        </w:rPr>
        <w:t xml:space="preserve"> que no figuren en una base de datos nacional de un Estado miembro de la Unión Europea</w:t>
      </w:r>
    </w:p>
    <w:p w14:paraId="19BA8B97" w14:textId="77777777" w:rsidR="00AD732A" w:rsidRPr="00EB3D94" w:rsidRDefault="00AD732A" w:rsidP="00BC4866">
      <w:pPr>
        <w:jc w:val="both"/>
        <w:rPr>
          <w:rFonts w:cs="Arial"/>
          <w:lang w:val="es-ES"/>
        </w:rPr>
      </w:pPr>
    </w:p>
    <w:p w14:paraId="2489DD39" w14:textId="7F1FB7EB" w:rsidR="00AD732A" w:rsidRPr="00EB3D94" w:rsidRDefault="00AD732A" w:rsidP="00BC4866">
      <w:pPr>
        <w:jc w:val="both"/>
        <w:rPr>
          <w:rFonts w:cs="Arial"/>
          <w:lang w:val="es-ES"/>
        </w:rPr>
      </w:pPr>
      <w:r w:rsidRPr="00EB3D94">
        <w:rPr>
          <w:rFonts w:cs="Arial"/>
          <w:lang w:val="es-ES"/>
        </w:rPr>
        <w:t xml:space="preserve">La empresa licitadora que haya presentado la mejor oferta </w:t>
      </w:r>
      <w:r w:rsidR="00E23614" w:rsidRPr="00EB3D94">
        <w:rPr>
          <w:rFonts w:cs="Arial"/>
          <w:lang w:val="es-ES"/>
        </w:rPr>
        <w:t>deberá</w:t>
      </w:r>
      <w:r w:rsidRPr="00EB3D94">
        <w:rPr>
          <w:rFonts w:cs="Arial"/>
          <w:lang w:val="es-ES"/>
        </w:rPr>
        <w:t xml:space="preserve"> aportar la documentación siguiente –esta documentación, si procede, también se </w:t>
      </w:r>
      <w:r w:rsidR="00E23614" w:rsidRPr="00EB3D94">
        <w:rPr>
          <w:rFonts w:cs="Arial"/>
          <w:lang w:val="es-ES"/>
        </w:rPr>
        <w:t>deberá</w:t>
      </w:r>
      <w:r w:rsidRPr="00EB3D94">
        <w:rPr>
          <w:rFonts w:cs="Arial"/>
          <w:lang w:val="es-ES"/>
        </w:rPr>
        <w:t xml:space="preserve"> aportar respecto de las empresas a las capacidades de las cuales se recurra: </w:t>
      </w:r>
    </w:p>
    <w:p w14:paraId="57F8A47B" w14:textId="77777777" w:rsidR="00AD732A" w:rsidRPr="00EB3D94" w:rsidRDefault="00AD732A" w:rsidP="00BC4866">
      <w:pPr>
        <w:jc w:val="both"/>
        <w:rPr>
          <w:rFonts w:cs="Arial"/>
          <w:lang w:val="es-ES"/>
        </w:rPr>
      </w:pPr>
    </w:p>
    <w:p w14:paraId="78CAD52D" w14:textId="77777777" w:rsidR="00AD732A" w:rsidRPr="00EB3D94" w:rsidRDefault="00AD732A" w:rsidP="00BC4866">
      <w:pPr>
        <w:numPr>
          <w:ilvl w:val="0"/>
          <w:numId w:val="29"/>
        </w:numPr>
        <w:tabs>
          <w:tab w:val="clear" w:pos="360"/>
          <w:tab w:val="num" w:pos="143"/>
        </w:tabs>
        <w:jc w:val="both"/>
        <w:rPr>
          <w:rFonts w:cs="Arial"/>
          <w:lang w:val="es-ES"/>
        </w:rPr>
      </w:pPr>
      <w:r w:rsidRPr="00EB3D94">
        <w:rPr>
          <w:rFonts w:cs="Arial"/>
          <w:lang w:val="es-ES"/>
        </w:rPr>
        <w:t>Documentación correspondiente acreditativa de la capacidad de obra</w:t>
      </w:r>
      <w:r w:rsidR="00CB46CA" w:rsidRPr="00EB3D94">
        <w:rPr>
          <w:rFonts w:cs="Arial"/>
          <w:lang w:val="es-ES"/>
        </w:rPr>
        <w:t>r y de la personalidad jurídica</w:t>
      </w:r>
      <w:r w:rsidRPr="00EB3D94">
        <w:rPr>
          <w:rFonts w:cs="Arial"/>
          <w:lang w:val="es-ES"/>
        </w:rPr>
        <w:t>.</w:t>
      </w:r>
    </w:p>
    <w:p w14:paraId="18611F07" w14:textId="2F05C8C8" w:rsidR="00363697" w:rsidRPr="00EB3D94" w:rsidRDefault="00AD732A" w:rsidP="00BC4866">
      <w:pPr>
        <w:numPr>
          <w:ilvl w:val="0"/>
          <w:numId w:val="29"/>
        </w:numPr>
        <w:tabs>
          <w:tab w:val="clear" w:pos="360"/>
        </w:tabs>
        <w:ind w:left="142" w:hanging="142"/>
        <w:jc w:val="both"/>
        <w:rPr>
          <w:rFonts w:cs="Arial"/>
          <w:lang w:val="es-ES"/>
        </w:rPr>
      </w:pPr>
      <w:r w:rsidRPr="00EB3D94">
        <w:rPr>
          <w:rFonts w:cs="Arial"/>
          <w:lang w:val="es-ES"/>
        </w:rPr>
        <w:t xml:space="preserve">Documentos acreditativos de la representación y personalidad jurídica de las personas firmantes de las ofertas: poder para comparecer o firmar proposiciones en nombre de otro y una fotocopia del documento nacional de identidad o del pasaporte legitimada notarial o </w:t>
      </w:r>
      <w:proofErr w:type="spellStart"/>
      <w:r w:rsidRPr="00EB3D94">
        <w:rPr>
          <w:rFonts w:cs="Arial"/>
          <w:lang w:val="es-ES"/>
        </w:rPr>
        <w:t>compulsadamente</w:t>
      </w:r>
      <w:proofErr w:type="spellEnd"/>
      <w:r w:rsidRPr="00EB3D94">
        <w:rPr>
          <w:rFonts w:cs="Arial"/>
          <w:lang w:val="es-ES"/>
        </w:rPr>
        <w:t xml:space="preserve"> por el órgano administrativo competente. Este poder </w:t>
      </w:r>
      <w:r w:rsidR="00982820" w:rsidRPr="00EB3D94">
        <w:rPr>
          <w:rFonts w:cs="Arial"/>
          <w:lang w:val="es-ES"/>
        </w:rPr>
        <w:t xml:space="preserve">debe </w:t>
      </w:r>
      <w:r w:rsidRPr="00EB3D94">
        <w:rPr>
          <w:rFonts w:cs="Arial"/>
          <w:lang w:val="es-ES"/>
        </w:rPr>
        <w:t xml:space="preserve">reunir los requisitos formales siguientes: ser escritura pública, ser copia auténtica y estar inscrito en el Registro Mercantil o en el registro oficial correspondiente. No se admitirán testimonios de copias de escrituras </w:t>
      </w:r>
      <w:r w:rsidR="00DC0D98" w:rsidRPr="00EB3D94">
        <w:rPr>
          <w:rFonts w:cs="Arial"/>
          <w:lang w:val="es-ES"/>
        </w:rPr>
        <w:t>de apoderamiento</w:t>
      </w:r>
      <w:r w:rsidRPr="00EB3D94">
        <w:rPr>
          <w:rFonts w:cs="Arial"/>
          <w:vanish/>
          <w:lang w:val="es-ES"/>
        </w:rPr>
        <w:t>&lt;A[apoderamiento|empoderamiento]&gt;</w:t>
      </w:r>
      <w:r w:rsidRPr="00EB3D94">
        <w:rPr>
          <w:rFonts w:cs="Arial"/>
          <w:lang w:val="es-ES"/>
        </w:rPr>
        <w:t>.</w:t>
      </w:r>
    </w:p>
    <w:p w14:paraId="60F016CC" w14:textId="77777777" w:rsidR="00363697" w:rsidRPr="00EB3D94" w:rsidRDefault="00363697" w:rsidP="00BC4866">
      <w:pPr>
        <w:ind w:left="142"/>
        <w:jc w:val="both"/>
        <w:rPr>
          <w:rFonts w:cs="Arial"/>
          <w:lang w:val="es-ES"/>
        </w:rPr>
      </w:pPr>
    </w:p>
    <w:p w14:paraId="75A78658" w14:textId="3BD89317" w:rsidR="00AD732A" w:rsidRPr="00EB3D94" w:rsidRDefault="00AD732A" w:rsidP="00BC4866">
      <w:pPr>
        <w:numPr>
          <w:ilvl w:val="0"/>
          <w:numId w:val="29"/>
        </w:numPr>
        <w:tabs>
          <w:tab w:val="clear" w:pos="360"/>
        </w:tabs>
        <w:ind w:left="142" w:hanging="142"/>
        <w:jc w:val="both"/>
        <w:rPr>
          <w:rFonts w:cs="Arial"/>
          <w:lang w:val="es-ES"/>
        </w:rPr>
      </w:pPr>
      <w:r w:rsidRPr="00EB3D94">
        <w:rPr>
          <w:rFonts w:cs="Arial"/>
          <w:lang w:val="es-ES"/>
        </w:rPr>
        <w:t xml:space="preserve">Documentación acreditativa </w:t>
      </w:r>
      <w:r w:rsidR="00DC0D98" w:rsidRPr="00EB3D94">
        <w:rPr>
          <w:rFonts w:cs="Arial"/>
          <w:lang w:val="es-ES"/>
        </w:rPr>
        <w:t>del cumplimiento</w:t>
      </w:r>
      <w:r w:rsidRPr="00EB3D94">
        <w:rPr>
          <w:rFonts w:cs="Arial"/>
          <w:lang w:val="es-ES"/>
        </w:rPr>
        <w:t xml:space="preserve"> de los requisitos específicos de solvencia o del certificado de clasificación correspondiente.</w:t>
      </w:r>
    </w:p>
    <w:p w14:paraId="36D9CFF0" w14:textId="77777777" w:rsidR="00AD732A" w:rsidRPr="00EB3D94" w:rsidRDefault="00AD732A" w:rsidP="00BC4866">
      <w:pPr>
        <w:jc w:val="both"/>
        <w:rPr>
          <w:rFonts w:cs="Arial"/>
          <w:lang w:val="es-ES"/>
        </w:rPr>
      </w:pPr>
    </w:p>
    <w:p w14:paraId="5D0AE84D" w14:textId="6908C998" w:rsidR="00AD732A" w:rsidRPr="00EB3D94" w:rsidRDefault="00AD732A" w:rsidP="00BC4866">
      <w:pPr>
        <w:jc w:val="both"/>
        <w:rPr>
          <w:rFonts w:cs="Arial"/>
          <w:lang w:val="es-ES"/>
        </w:rPr>
      </w:pPr>
      <w:r w:rsidRPr="00EB3D94">
        <w:rPr>
          <w:rFonts w:cs="Arial"/>
          <w:lang w:val="es-ES"/>
        </w:rPr>
        <w:t xml:space="preserve">Asimismo, la empresa licitadora que haya presentado la mejor oferta </w:t>
      </w:r>
      <w:r w:rsidR="00E23614" w:rsidRPr="00EB3D94">
        <w:rPr>
          <w:rFonts w:cs="Arial"/>
          <w:lang w:val="es-ES"/>
        </w:rPr>
        <w:t>deberá</w:t>
      </w:r>
      <w:r w:rsidRPr="00EB3D94">
        <w:rPr>
          <w:rFonts w:cs="Arial"/>
          <w:lang w:val="es-ES"/>
        </w:rPr>
        <w:t xml:space="preserve"> aportar, si procede: </w:t>
      </w:r>
    </w:p>
    <w:p w14:paraId="067EC212" w14:textId="77777777" w:rsidR="00AD732A" w:rsidRPr="00EB3D94" w:rsidRDefault="00AD732A" w:rsidP="00BC4866">
      <w:pPr>
        <w:jc w:val="both"/>
        <w:rPr>
          <w:rFonts w:cs="Arial"/>
          <w:lang w:val="es-ES"/>
        </w:rPr>
      </w:pPr>
    </w:p>
    <w:p w14:paraId="47E7D5D3" w14:textId="26AFF6CB" w:rsidR="00363697" w:rsidRPr="00EB3D94" w:rsidRDefault="00AD732A" w:rsidP="00BC4866">
      <w:pPr>
        <w:numPr>
          <w:ilvl w:val="0"/>
          <w:numId w:val="54"/>
        </w:numPr>
        <w:jc w:val="both"/>
        <w:rPr>
          <w:rFonts w:cs="Arial"/>
          <w:lang w:val="es-ES"/>
        </w:rPr>
      </w:pPr>
      <w:r w:rsidRPr="00EB3D94">
        <w:rPr>
          <w:rFonts w:cs="Arial"/>
          <w:lang w:val="es-ES"/>
        </w:rPr>
        <w:t xml:space="preserve">Certificados acreditativos </w:t>
      </w:r>
      <w:r w:rsidR="00DC0D98" w:rsidRPr="00EB3D94">
        <w:rPr>
          <w:rFonts w:cs="Arial"/>
          <w:lang w:val="es-ES"/>
        </w:rPr>
        <w:t>del cumplimiento</w:t>
      </w:r>
      <w:r w:rsidRPr="00EB3D94">
        <w:rPr>
          <w:rFonts w:cs="Arial"/>
          <w:lang w:val="es-ES"/>
        </w:rPr>
        <w:t xml:space="preserve"> de las normas de garantía de la calidad y de gestión medioambiental.</w:t>
      </w:r>
    </w:p>
    <w:p w14:paraId="2402DCB7" w14:textId="77777777" w:rsidR="00363697" w:rsidRPr="00EB3D94" w:rsidRDefault="00363697" w:rsidP="00BC4866">
      <w:pPr>
        <w:ind w:left="360"/>
        <w:jc w:val="both"/>
        <w:rPr>
          <w:rFonts w:cs="Arial"/>
          <w:lang w:val="es-ES"/>
        </w:rPr>
      </w:pPr>
    </w:p>
    <w:p w14:paraId="1CDA22E3" w14:textId="77777777" w:rsidR="00AD732A" w:rsidRPr="00EB3D94" w:rsidRDefault="00AD732A" w:rsidP="00BC4866">
      <w:pPr>
        <w:numPr>
          <w:ilvl w:val="0"/>
          <w:numId w:val="54"/>
        </w:numPr>
        <w:jc w:val="both"/>
        <w:rPr>
          <w:rFonts w:cs="Arial"/>
          <w:lang w:val="es-ES"/>
        </w:rPr>
      </w:pPr>
      <w:r w:rsidRPr="00EB3D94">
        <w:rPr>
          <w:rFonts w:cs="Arial"/>
          <w:lang w:val="es-ES"/>
        </w:rPr>
        <w:t>Documentos acreditativos de la efectiva disposición de medios que se haya comprometido a dedicar o adscribir a la ejecución del contrato de acuerdo con el artículo 76.2 de la LCSP.</w:t>
      </w:r>
    </w:p>
    <w:p w14:paraId="77792019" w14:textId="77777777" w:rsidR="00AD732A" w:rsidRPr="00EB3D94" w:rsidRDefault="00AD732A" w:rsidP="00BC4866">
      <w:pPr>
        <w:tabs>
          <w:tab w:val="left" w:pos="0"/>
          <w:tab w:val="left" w:pos="680"/>
          <w:tab w:val="left" w:pos="1134"/>
          <w:tab w:val="left" w:pos="5040"/>
        </w:tabs>
        <w:ind w:left="360"/>
        <w:jc w:val="both"/>
        <w:rPr>
          <w:rFonts w:cs="Arial"/>
          <w:lang w:val="es-ES"/>
        </w:rPr>
      </w:pPr>
    </w:p>
    <w:p w14:paraId="7CD163C7" w14:textId="08C30931" w:rsidR="00AD732A" w:rsidRPr="00EB3D94" w:rsidRDefault="00AD732A" w:rsidP="00BC4866">
      <w:pPr>
        <w:jc w:val="both"/>
        <w:rPr>
          <w:rFonts w:cs="Arial"/>
          <w:b/>
          <w:lang w:val="es-ES"/>
        </w:rPr>
      </w:pPr>
      <w:r w:rsidRPr="00EB3D94">
        <w:rPr>
          <w:rFonts w:cs="Arial"/>
          <w:b/>
          <w:lang w:val="es-ES"/>
        </w:rPr>
        <w:t>A.2. Empresas inscritas en el Registro Electrónico de Empresas Licitadoras (RELI) o en el Registro Oficial de Licitadores y Empresas Clasificadas del Sector Público o que figuren en una base de datos nacional de un Estado miembro de la Unión Europea</w:t>
      </w:r>
    </w:p>
    <w:p w14:paraId="07EDBD83" w14:textId="77777777" w:rsidR="00AD732A" w:rsidRPr="00EB3D94" w:rsidRDefault="00AD732A" w:rsidP="00BC4866">
      <w:pPr>
        <w:tabs>
          <w:tab w:val="left" w:pos="0"/>
          <w:tab w:val="left" w:pos="680"/>
          <w:tab w:val="left" w:pos="1134"/>
          <w:tab w:val="left" w:pos="5040"/>
        </w:tabs>
        <w:jc w:val="both"/>
        <w:rPr>
          <w:rFonts w:cs="Arial"/>
          <w:lang w:val="es-ES"/>
        </w:rPr>
      </w:pPr>
    </w:p>
    <w:p w14:paraId="468BF393" w14:textId="07ACBC5E" w:rsidR="00AD732A" w:rsidRPr="00EB3D94" w:rsidRDefault="00AD732A" w:rsidP="00BC4866">
      <w:pPr>
        <w:jc w:val="both"/>
        <w:rPr>
          <w:rFonts w:cs="Arial"/>
          <w:lang w:val="es-ES"/>
        </w:rPr>
      </w:pPr>
      <w:r w:rsidRPr="00EB3D94">
        <w:rPr>
          <w:rFonts w:cs="Arial"/>
          <w:lang w:val="es-ES"/>
        </w:rPr>
        <w:t xml:space="preserve">La empresa que haya presentado la mejor oferta </w:t>
      </w:r>
      <w:r w:rsidR="00982820" w:rsidRPr="00EB3D94">
        <w:rPr>
          <w:rFonts w:cs="Arial"/>
          <w:lang w:val="es-ES"/>
        </w:rPr>
        <w:t xml:space="preserve">debe </w:t>
      </w:r>
      <w:r w:rsidRPr="00EB3D94">
        <w:rPr>
          <w:rFonts w:cs="Arial"/>
          <w:lang w:val="es-ES"/>
        </w:rPr>
        <w:t xml:space="preserve">aportar, si procede, la documentación siguiente, sólo si no figura inscrita en estos registros, o </w:t>
      </w:r>
      <w:r w:rsidR="00B25F0F" w:rsidRPr="00EB3D94">
        <w:rPr>
          <w:rFonts w:cs="Arial"/>
          <w:lang w:val="es-ES"/>
        </w:rPr>
        <w:t>no consta vigente o actualizada</w:t>
      </w:r>
      <w:r w:rsidRPr="00EB3D94">
        <w:rPr>
          <w:rFonts w:cs="Arial"/>
          <w:lang w:val="es-ES"/>
        </w:rPr>
        <w:t xml:space="preserve">: </w:t>
      </w:r>
    </w:p>
    <w:p w14:paraId="020C35F5" w14:textId="77777777" w:rsidR="00AD732A" w:rsidRPr="00EB3D94" w:rsidRDefault="00AD732A" w:rsidP="00BC4866">
      <w:pPr>
        <w:jc w:val="both"/>
        <w:rPr>
          <w:rFonts w:cs="Arial"/>
          <w:lang w:val="es-ES"/>
        </w:rPr>
      </w:pPr>
    </w:p>
    <w:p w14:paraId="297EAC88" w14:textId="77777777" w:rsidR="00AD732A" w:rsidRPr="00EB3D94" w:rsidRDefault="00AD732A" w:rsidP="00BC4866">
      <w:pPr>
        <w:numPr>
          <w:ilvl w:val="0"/>
          <w:numId w:val="55"/>
        </w:numPr>
        <w:jc w:val="both"/>
        <w:rPr>
          <w:rFonts w:cs="Arial"/>
          <w:lang w:val="es-ES"/>
        </w:rPr>
      </w:pPr>
      <w:r w:rsidRPr="00EB3D94">
        <w:rPr>
          <w:rFonts w:cs="Arial"/>
          <w:lang w:val="es-ES"/>
        </w:rPr>
        <w:t>Documentos acreditativos de la efectiva disposición de medios que se haya comprometido a dedicar o adscribir a la ejecución del contrato de acuerdo con el artículo 76.2 de la LCSP.</w:t>
      </w:r>
    </w:p>
    <w:p w14:paraId="7BAD9D8B" w14:textId="77777777" w:rsidR="00AD732A" w:rsidRPr="00EB3D94" w:rsidRDefault="00AD732A" w:rsidP="00BC4866">
      <w:pPr>
        <w:jc w:val="both"/>
        <w:rPr>
          <w:rFonts w:cs="Arial"/>
          <w:b/>
          <w:lang w:val="es-ES"/>
        </w:rPr>
      </w:pPr>
    </w:p>
    <w:p w14:paraId="4E81E0EB" w14:textId="126EB7A0" w:rsidR="00AD732A" w:rsidRPr="00EB3D94" w:rsidRDefault="00AD732A" w:rsidP="00BC4866">
      <w:pPr>
        <w:jc w:val="both"/>
        <w:rPr>
          <w:rFonts w:cs="Arial"/>
          <w:b/>
          <w:lang w:val="es-ES"/>
        </w:rPr>
      </w:pPr>
      <w:r w:rsidRPr="00EB3D94">
        <w:rPr>
          <w:rFonts w:cs="Arial"/>
          <w:b/>
          <w:lang w:val="es-ES"/>
        </w:rPr>
        <w:t xml:space="preserve">A.3 </w:t>
      </w:r>
      <w:r w:rsidR="001266E4" w:rsidRPr="00EB3D94">
        <w:rPr>
          <w:rFonts w:cs="Arial"/>
          <w:b/>
          <w:lang w:val="es-ES"/>
        </w:rPr>
        <w:t xml:space="preserve">Empresa </w:t>
      </w:r>
      <w:r w:rsidRPr="00EB3D94">
        <w:rPr>
          <w:rFonts w:cs="Arial"/>
          <w:b/>
          <w:lang w:val="es-ES"/>
        </w:rPr>
        <w:t>s extranjeras:</w:t>
      </w:r>
    </w:p>
    <w:p w14:paraId="679E8849" w14:textId="77777777" w:rsidR="0010763D" w:rsidRPr="00EB3D94" w:rsidRDefault="0010763D" w:rsidP="00BC4866">
      <w:pPr>
        <w:jc w:val="both"/>
        <w:rPr>
          <w:rFonts w:cs="Arial"/>
          <w:b/>
          <w:lang w:val="es-E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3260"/>
        <w:gridCol w:w="3858"/>
      </w:tblGrid>
      <w:tr w:rsidR="00EB3D94" w:rsidRPr="00EB3D94" w14:paraId="69EAEB41" w14:textId="77777777" w:rsidTr="002961A0">
        <w:tc>
          <w:tcPr>
            <w:tcW w:w="1559" w:type="dxa"/>
          </w:tcPr>
          <w:p w14:paraId="47DF4E75" w14:textId="77777777" w:rsidR="00AD732A" w:rsidRPr="00EB3D94" w:rsidRDefault="00AD732A" w:rsidP="00BC4866">
            <w:pPr>
              <w:autoSpaceDE w:val="0"/>
              <w:autoSpaceDN w:val="0"/>
              <w:adjustRightInd w:val="0"/>
              <w:jc w:val="both"/>
              <w:rPr>
                <w:rFonts w:cs="Arial"/>
                <w:sz w:val="20"/>
                <w:lang w:val="es-ES"/>
              </w:rPr>
            </w:pPr>
          </w:p>
        </w:tc>
        <w:tc>
          <w:tcPr>
            <w:tcW w:w="3260" w:type="dxa"/>
          </w:tcPr>
          <w:p w14:paraId="5CD1B498" w14:textId="77777777" w:rsidR="00AD732A" w:rsidRPr="00EB3D94" w:rsidRDefault="00AD732A" w:rsidP="00BC4866">
            <w:pPr>
              <w:autoSpaceDE w:val="0"/>
              <w:autoSpaceDN w:val="0"/>
              <w:adjustRightInd w:val="0"/>
              <w:jc w:val="both"/>
              <w:rPr>
                <w:rFonts w:cs="Arial"/>
                <w:sz w:val="20"/>
                <w:lang w:val="es-ES"/>
              </w:rPr>
            </w:pPr>
            <w:r w:rsidRPr="00EB3D94">
              <w:rPr>
                <w:rFonts w:cs="Arial"/>
                <w:sz w:val="20"/>
                <w:lang w:val="es-ES"/>
              </w:rPr>
              <w:t xml:space="preserve">Empresas no españolas </w:t>
            </w:r>
            <w:r w:rsidRPr="00EB3D94">
              <w:rPr>
                <w:rFonts w:cs="Arial"/>
                <w:b/>
                <w:bCs/>
                <w:sz w:val="20"/>
                <w:lang w:val="es-ES"/>
              </w:rPr>
              <w:t xml:space="preserve">de estados miembros de la Unión Europea </w:t>
            </w:r>
            <w:r w:rsidRPr="00EB3D94">
              <w:rPr>
                <w:rFonts w:cs="Arial"/>
                <w:sz w:val="20"/>
                <w:lang w:val="es-ES"/>
              </w:rPr>
              <w:t>o signatarios del Acuerdo sobre el Espacio Económico Europeo</w:t>
            </w:r>
          </w:p>
        </w:tc>
        <w:tc>
          <w:tcPr>
            <w:tcW w:w="3858" w:type="dxa"/>
          </w:tcPr>
          <w:p w14:paraId="740A201B" w14:textId="77777777" w:rsidR="00AD732A" w:rsidRPr="00EB3D94" w:rsidRDefault="00AD732A" w:rsidP="00BC4866">
            <w:pPr>
              <w:autoSpaceDE w:val="0"/>
              <w:autoSpaceDN w:val="0"/>
              <w:adjustRightInd w:val="0"/>
              <w:jc w:val="both"/>
              <w:rPr>
                <w:rFonts w:cs="Arial"/>
                <w:b/>
                <w:bCs/>
                <w:sz w:val="20"/>
                <w:lang w:val="es-ES"/>
              </w:rPr>
            </w:pPr>
            <w:r w:rsidRPr="00EB3D94">
              <w:rPr>
                <w:rFonts w:cs="Arial"/>
                <w:b/>
                <w:bCs/>
                <w:sz w:val="20"/>
                <w:lang w:val="es-ES"/>
              </w:rPr>
              <w:t>Restantes empresas extranjeras</w:t>
            </w:r>
          </w:p>
          <w:p w14:paraId="437E936F" w14:textId="77777777" w:rsidR="00AD732A" w:rsidRPr="00EB3D94" w:rsidRDefault="00AD732A" w:rsidP="00BC4866">
            <w:pPr>
              <w:autoSpaceDE w:val="0"/>
              <w:autoSpaceDN w:val="0"/>
              <w:adjustRightInd w:val="0"/>
              <w:jc w:val="both"/>
              <w:rPr>
                <w:rFonts w:cs="Arial"/>
                <w:sz w:val="20"/>
                <w:lang w:val="es-ES"/>
              </w:rPr>
            </w:pPr>
          </w:p>
        </w:tc>
      </w:tr>
      <w:tr w:rsidR="00AD732A" w:rsidRPr="00EB3D94" w14:paraId="41B8700D" w14:textId="77777777" w:rsidTr="002961A0">
        <w:tc>
          <w:tcPr>
            <w:tcW w:w="1559" w:type="dxa"/>
          </w:tcPr>
          <w:p w14:paraId="745005F6" w14:textId="77777777" w:rsidR="00AD732A" w:rsidRPr="00EB3D94" w:rsidRDefault="00AD732A" w:rsidP="00BC4866">
            <w:pPr>
              <w:autoSpaceDE w:val="0"/>
              <w:autoSpaceDN w:val="0"/>
              <w:adjustRightInd w:val="0"/>
              <w:jc w:val="both"/>
              <w:rPr>
                <w:rFonts w:cs="Arial"/>
                <w:b/>
                <w:bCs/>
                <w:sz w:val="20"/>
                <w:lang w:val="es-ES"/>
              </w:rPr>
            </w:pPr>
            <w:r w:rsidRPr="00EB3D94">
              <w:rPr>
                <w:rFonts w:cs="Arial"/>
                <w:b/>
                <w:bCs/>
                <w:sz w:val="20"/>
                <w:lang w:val="es-ES"/>
              </w:rPr>
              <w:t>Documentos que acrediten la capacidad de obrar</w:t>
            </w:r>
          </w:p>
          <w:p w14:paraId="3D01970B" w14:textId="77777777" w:rsidR="00AD732A" w:rsidRPr="00EB3D94" w:rsidRDefault="00AD732A" w:rsidP="00BC4866">
            <w:pPr>
              <w:autoSpaceDE w:val="0"/>
              <w:autoSpaceDN w:val="0"/>
              <w:adjustRightInd w:val="0"/>
              <w:jc w:val="both"/>
              <w:rPr>
                <w:rFonts w:cs="Arial"/>
                <w:sz w:val="20"/>
                <w:lang w:val="es-ES"/>
              </w:rPr>
            </w:pPr>
          </w:p>
        </w:tc>
        <w:tc>
          <w:tcPr>
            <w:tcW w:w="3260" w:type="dxa"/>
          </w:tcPr>
          <w:p w14:paraId="010C5166" w14:textId="27B7FB06" w:rsidR="00AD732A" w:rsidRPr="00EB3D94" w:rsidRDefault="00AD732A" w:rsidP="00BC4866">
            <w:pPr>
              <w:autoSpaceDE w:val="0"/>
              <w:autoSpaceDN w:val="0"/>
              <w:adjustRightInd w:val="0"/>
              <w:jc w:val="both"/>
              <w:rPr>
                <w:rFonts w:cs="Arial"/>
                <w:sz w:val="20"/>
                <w:lang w:val="es-ES"/>
              </w:rPr>
            </w:pPr>
            <w:r w:rsidRPr="00EB3D94">
              <w:rPr>
                <w:rFonts w:cs="Arial"/>
                <w:sz w:val="20"/>
                <w:lang w:val="es-ES"/>
              </w:rPr>
              <w:t xml:space="preserve">Se </w:t>
            </w:r>
            <w:r w:rsidR="00A25938" w:rsidRPr="00EB3D94">
              <w:rPr>
                <w:rFonts w:cs="Arial"/>
                <w:sz w:val="20"/>
                <w:lang w:val="es-ES"/>
              </w:rPr>
              <w:t xml:space="preserve">deben </w:t>
            </w:r>
            <w:r w:rsidRPr="00EB3D94">
              <w:rPr>
                <w:rFonts w:cs="Arial"/>
                <w:sz w:val="20"/>
                <w:lang w:val="es-ES"/>
              </w:rPr>
              <w:t>acreditar mediante la inscripción a los registros o presentación de las certificaciones que se indican en el anexo I RGLCAP, en función de los diferentes contratos.</w:t>
            </w:r>
          </w:p>
          <w:p w14:paraId="509B65B5" w14:textId="77777777" w:rsidR="00AD732A" w:rsidRPr="00EB3D94" w:rsidRDefault="00AD732A" w:rsidP="00BC4866">
            <w:pPr>
              <w:autoSpaceDE w:val="0"/>
              <w:autoSpaceDN w:val="0"/>
              <w:adjustRightInd w:val="0"/>
              <w:jc w:val="both"/>
              <w:rPr>
                <w:rFonts w:cs="Arial"/>
                <w:sz w:val="20"/>
                <w:lang w:val="es-ES"/>
              </w:rPr>
            </w:pPr>
          </w:p>
        </w:tc>
        <w:tc>
          <w:tcPr>
            <w:tcW w:w="3858" w:type="dxa"/>
          </w:tcPr>
          <w:p w14:paraId="7499BEAC" w14:textId="3E7E4D2E" w:rsidR="00AD732A" w:rsidRPr="00EB3D94" w:rsidRDefault="00AD732A" w:rsidP="00BC4866">
            <w:pPr>
              <w:autoSpaceDE w:val="0"/>
              <w:autoSpaceDN w:val="0"/>
              <w:adjustRightInd w:val="0"/>
              <w:jc w:val="both"/>
              <w:rPr>
                <w:rFonts w:cs="Arial"/>
                <w:sz w:val="20"/>
                <w:lang w:val="es-ES"/>
              </w:rPr>
            </w:pPr>
            <w:r w:rsidRPr="00EB3D94">
              <w:rPr>
                <w:rFonts w:cs="Arial"/>
                <w:sz w:val="20"/>
                <w:lang w:val="es-ES"/>
              </w:rPr>
              <w:t xml:space="preserve">a) Se </w:t>
            </w:r>
            <w:r w:rsidR="00982820" w:rsidRPr="00EB3D94">
              <w:rPr>
                <w:rFonts w:cs="Arial"/>
                <w:sz w:val="20"/>
                <w:lang w:val="es-ES"/>
              </w:rPr>
              <w:t xml:space="preserve">debe </w:t>
            </w:r>
            <w:r w:rsidRPr="00EB3D94">
              <w:rPr>
                <w:rFonts w:cs="Arial"/>
                <w:sz w:val="20"/>
                <w:lang w:val="es-ES"/>
              </w:rPr>
              <w:t xml:space="preserve">acreditar mediante </w:t>
            </w:r>
            <w:r w:rsidRPr="00EB3D94">
              <w:rPr>
                <w:rFonts w:cs="Arial"/>
                <w:bCs/>
                <w:sz w:val="20"/>
                <w:lang w:val="es-ES"/>
              </w:rPr>
              <w:t xml:space="preserve">informe </w:t>
            </w:r>
            <w:r w:rsidRPr="00EB3D94">
              <w:rPr>
                <w:rFonts w:cs="Arial"/>
                <w:sz w:val="20"/>
                <w:lang w:val="es-ES"/>
              </w:rPr>
              <w:t xml:space="preserve">expedido por la Misión Diplomática Permanente u Oficina Consular de España </w:t>
            </w:r>
            <w:r w:rsidR="0043373E" w:rsidRPr="00EB3D94">
              <w:rPr>
                <w:rFonts w:cs="Arial"/>
                <w:sz w:val="20"/>
                <w:lang w:val="es-ES"/>
              </w:rPr>
              <w:t>del lugar</w:t>
            </w:r>
            <w:r w:rsidRPr="00EB3D94">
              <w:rPr>
                <w:rFonts w:cs="Arial"/>
                <w:sz w:val="20"/>
                <w:lang w:val="es-ES"/>
              </w:rPr>
              <w:t xml:space="preserve"> del domicilio de la empresa, en el cual se haga constar, previa </w:t>
            </w:r>
            <w:r w:rsidR="0043373E" w:rsidRPr="00EB3D94">
              <w:rPr>
                <w:rFonts w:cs="Arial"/>
                <w:sz w:val="20"/>
                <w:lang w:val="es-ES"/>
              </w:rPr>
              <w:t>acreditación por la</w:t>
            </w:r>
            <w:r w:rsidRPr="00EB3D94">
              <w:rPr>
                <w:rFonts w:cs="Arial"/>
                <w:sz w:val="20"/>
                <w:lang w:val="es-ES"/>
              </w:rPr>
              <w:t xml:space="preserve"> empresa, que figuran inscritas en el registro local profesional, comercial o análogo o, en su defecto, que actúan con habitualidad en el tráfico </w:t>
            </w:r>
            <w:r w:rsidRPr="00EB3D94">
              <w:rPr>
                <w:rFonts w:cs="Arial"/>
                <w:vanish/>
                <w:sz w:val="20"/>
                <w:lang w:val="es-ES"/>
              </w:rPr>
              <w:t xml:space="preserve"> </w:t>
            </w:r>
            <w:r w:rsidRPr="00EB3D94">
              <w:rPr>
                <w:rFonts w:cs="Arial"/>
                <w:sz w:val="20"/>
                <w:lang w:val="es-ES"/>
              </w:rPr>
              <w:t>local en el ámbito de las actividades a las cuales se extiende el objeto del contrato.</w:t>
            </w:r>
          </w:p>
          <w:p w14:paraId="4934C3B2" w14:textId="77777777" w:rsidR="00AD732A" w:rsidRPr="00EB3D94" w:rsidRDefault="00AD732A" w:rsidP="00BC4866">
            <w:pPr>
              <w:autoSpaceDE w:val="0"/>
              <w:autoSpaceDN w:val="0"/>
              <w:adjustRightInd w:val="0"/>
              <w:jc w:val="both"/>
              <w:rPr>
                <w:rFonts w:cs="Arial"/>
                <w:sz w:val="20"/>
                <w:lang w:val="es-ES"/>
              </w:rPr>
            </w:pPr>
          </w:p>
          <w:p w14:paraId="08445D35" w14:textId="33FB0048" w:rsidR="00AD732A" w:rsidRPr="00EB3D94" w:rsidRDefault="00AD732A" w:rsidP="00BC4866">
            <w:pPr>
              <w:autoSpaceDE w:val="0"/>
              <w:autoSpaceDN w:val="0"/>
              <w:adjustRightInd w:val="0"/>
              <w:jc w:val="both"/>
              <w:rPr>
                <w:rFonts w:cs="Arial"/>
                <w:sz w:val="20"/>
                <w:lang w:val="es-ES"/>
              </w:rPr>
            </w:pPr>
            <w:r w:rsidRPr="00EB3D94">
              <w:rPr>
                <w:rFonts w:cs="Arial"/>
                <w:sz w:val="20"/>
                <w:lang w:val="es-ES"/>
              </w:rPr>
              <w:t xml:space="preserve">b) Se </w:t>
            </w:r>
            <w:r w:rsidR="00982820" w:rsidRPr="00EB3D94">
              <w:rPr>
                <w:rFonts w:cs="Arial"/>
                <w:sz w:val="20"/>
                <w:lang w:val="es-ES"/>
              </w:rPr>
              <w:t xml:space="preserve">debe </w:t>
            </w:r>
            <w:r w:rsidRPr="00EB3D94">
              <w:rPr>
                <w:rFonts w:cs="Arial"/>
                <w:sz w:val="20"/>
                <w:lang w:val="es-ES"/>
              </w:rPr>
              <w:t>acompañar, además, el i</w:t>
            </w:r>
            <w:r w:rsidRPr="00EB3D94">
              <w:rPr>
                <w:rFonts w:cs="Arial"/>
                <w:bCs/>
                <w:sz w:val="20"/>
                <w:lang w:val="es-ES"/>
              </w:rPr>
              <w:t xml:space="preserve">nforme de reciprocidad </w:t>
            </w:r>
            <w:r w:rsidRPr="00EB3D94">
              <w:rPr>
                <w:rFonts w:cs="Arial"/>
                <w:sz w:val="20"/>
                <w:lang w:val="es-ES"/>
              </w:rPr>
              <w:t xml:space="preserve">a que se refiere el artículo 68 LCSP, a menos que se trate de contratos sujetos a regulación armonizada.  En este caso, se </w:t>
            </w:r>
            <w:r w:rsidR="00982820" w:rsidRPr="00EB3D94">
              <w:rPr>
                <w:rFonts w:cs="Arial"/>
                <w:sz w:val="20"/>
                <w:lang w:val="es-ES"/>
              </w:rPr>
              <w:t xml:space="preserve">debe </w:t>
            </w:r>
            <w:r w:rsidRPr="00EB3D94">
              <w:rPr>
                <w:rFonts w:cs="Arial"/>
                <w:sz w:val="20"/>
                <w:lang w:val="es-ES"/>
              </w:rPr>
              <w:t>sustituir por un informe de la Misión Diplomática Permanente o de la Secretaría General de Comercio Exterior del Ministerio de Economía sobre la condición de estado signatario del Acuerdo sobre Contratación Pública de la Organización Mundial de Comercio.</w:t>
            </w:r>
          </w:p>
        </w:tc>
      </w:tr>
    </w:tbl>
    <w:p w14:paraId="5BAF8C98" w14:textId="77777777" w:rsidR="00AD732A" w:rsidRPr="00EB3D94" w:rsidRDefault="00AD732A" w:rsidP="00BC4866">
      <w:pPr>
        <w:jc w:val="both"/>
        <w:rPr>
          <w:rFonts w:cs="Arial"/>
          <w:b/>
          <w:lang w:val="es-ES"/>
        </w:rPr>
      </w:pPr>
    </w:p>
    <w:p w14:paraId="78B1964E" w14:textId="153C11BB" w:rsidR="00AD732A" w:rsidRPr="00EB3D94" w:rsidRDefault="00AD732A" w:rsidP="00BC4866">
      <w:pPr>
        <w:jc w:val="both"/>
        <w:rPr>
          <w:rFonts w:cs="Arial"/>
          <w:lang w:val="es-ES"/>
        </w:rPr>
      </w:pPr>
      <w:r w:rsidRPr="00EB3D94">
        <w:rPr>
          <w:rFonts w:cs="Arial"/>
          <w:b/>
          <w:lang w:val="es-ES"/>
        </w:rPr>
        <w:t>1</w:t>
      </w:r>
      <w:r w:rsidR="00CC6097" w:rsidRPr="00EB3D94">
        <w:rPr>
          <w:rFonts w:cs="Arial"/>
          <w:b/>
          <w:lang w:val="es-ES"/>
        </w:rPr>
        <w:t>3</w:t>
      </w:r>
      <w:r w:rsidR="00CB46CA" w:rsidRPr="00EB3D94">
        <w:rPr>
          <w:rFonts w:cs="Arial"/>
          <w:b/>
          <w:lang w:val="es-ES"/>
        </w:rPr>
        <w:t>.2</w:t>
      </w:r>
      <w:r w:rsidRPr="00EB3D94">
        <w:rPr>
          <w:rFonts w:cs="Arial"/>
          <w:lang w:val="es-ES"/>
        </w:rPr>
        <w:t xml:space="preserve"> Una vez aportada por la empresa licitadora que haya presentado la mejor oferta la documentación requerida, esta se calificará. Si se observa que en la documentación presentada </w:t>
      </w:r>
      <w:r w:rsidRPr="00EB3D94">
        <w:rPr>
          <w:rFonts w:cs="Arial"/>
          <w:lang w:val="es-ES"/>
        </w:rPr>
        <w:lastRenderedPageBreak/>
        <w:t xml:space="preserve">hay defectos o errores de carácter enmendable, se </w:t>
      </w:r>
      <w:r w:rsidR="00982820" w:rsidRPr="00EB3D94">
        <w:rPr>
          <w:rFonts w:cs="Arial"/>
          <w:lang w:val="es-ES"/>
        </w:rPr>
        <w:t xml:space="preserve">debe </w:t>
      </w:r>
      <w:r w:rsidRPr="00EB3D94">
        <w:rPr>
          <w:rFonts w:cs="Arial"/>
          <w:lang w:val="es-ES"/>
        </w:rPr>
        <w:t>comunicar a las empresas afectadas para que los corrijan o enmienden en el plazo máximo de 3 días hábiles.</w:t>
      </w:r>
    </w:p>
    <w:p w14:paraId="4FE02E8A" w14:textId="77777777" w:rsidR="00AD732A" w:rsidRPr="00EB3D94" w:rsidRDefault="00AD732A" w:rsidP="00BC4866">
      <w:pPr>
        <w:jc w:val="both"/>
        <w:rPr>
          <w:rFonts w:cs="Arial"/>
          <w:lang w:val="es-ES"/>
        </w:rPr>
      </w:pPr>
    </w:p>
    <w:p w14:paraId="666635E1" w14:textId="3D444244" w:rsidR="00AD732A" w:rsidRPr="00EB3D94" w:rsidRDefault="00AD732A" w:rsidP="00BC4866">
      <w:pPr>
        <w:jc w:val="both"/>
        <w:rPr>
          <w:rFonts w:cs="Arial"/>
          <w:lang w:val="es-ES"/>
        </w:rPr>
      </w:pPr>
      <w:r w:rsidRPr="00EB3D94">
        <w:rPr>
          <w:rFonts w:cs="Arial"/>
          <w:lang w:val="es-ES"/>
        </w:rPr>
        <w:t xml:space="preserve">Las solicitudes de enmiendas se llevarán a cabo a través de la funcionalidad que a este efecto tiene la herramienta de </w:t>
      </w:r>
      <w:r w:rsidR="00384EF7" w:rsidRPr="00EB3D94">
        <w:rPr>
          <w:rFonts w:cs="Arial"/>
          <w:lang w:val="es-ES"/>
        </w:rPr>
        <w:t xml:space="preserve">Sobre </w:t>
      </w:r>
      <w:r w:rsidRPr="00EB3D94">
        <w:rPr>
          <w:rFonts w:cs="Arial"/>
          <w:lang w:val="es-ES"/>
        </w:rPr>
        <w:t xml:space="preserve">Digital, mediante la cual se dirigirá un correo electrónico a la dirección o las direcciones señaladas por la empresa o empresas licitadoras en el formulario de inscripción, con el enlace para el cual accedan al espacio de la herramienta en qué </w:t>
      </w:r>
      <w:r w:rsidR="00A25938" w:rsidRPr="00EB3D94">
        <w:rPr>
          <w:rFonts w:cs="Arial"/>
          <w:lang w:val="es-ES"/>
        </w:rPr>
        <w:t xml:space="preserve">deben </w:t>
      </w:r>
      <w:r w:rsidRPr="00EB3D94">
        <w:rPr>
          <w:rFonts w:cs="Arial"/>
          <w:lang w:val="es-ES"/>
        </w:rPr>
        <w:t xml:space="preserve">aportar la documentación correspondiente. </w:t>
      </w:r>
    </w:p>
    <w:p w14:paraId="7A2DD918" w14:textId="77777777" w:rsidR="00AD732A" w:rsidRPr="00EB3D94" w:rsidRDefault="00AD732A" w:rsidP="00BC4866">
      <w:pPr>
        <w:jc w:val="both"/>
        <w:rPr>
          <w:rFonts w:cs="Arial"/>
          <w:lang w:val="es-ES"/>
        </w:rPr>
      </w:pPr>
    </w:p>
    <w:p w14:paraId="4BEE5E30" w14:textId="77777777" w:rsidR="00AD732A" w:rsidRPr="00EB3D94" w:rsidRDefault="00AD732A" w:rsidP="00BC4866">
      <w:pPr>
        <w:jc w:val="both"/>
        <w:rPr>
          <w:rFonts w:cs="Arial"/>
          <w:lang w:val="es-ES"/>
        </w:rPr>
      </w:pPr>
      <w:r w:rsidRPr="00EB3D94">
        <w:rPr>
          <w:rFonts w:cs="Arial"/>
          <w:lang w:val="es-ES"/>
        </w:rPr>
        <w:t xml:space="preserve">Estas peticiones de enmienda se comunicarán en la empresa mediante comunicación electrónica a través de </w:t>
      </w:r>
      <w:proofErr w:type="spellStart"/>
      <w:r w:rsidRPr="00EB3D94">
        <w:rPr>
          <w:rFonts w:cs="Arial"/>
          <w:lang w:val="es-ES"/>
        </w:rPr>
        <w:t>l'e</w:t>
      </w:r>
      <w:proofErr w:type="spellEnd"/>
      <w:r w:rsidRPr="00EB3D94">
        <w:rPr>
          <w:rFonts w:cs="Arial"/>
          <w:lang w:val="es-ES"/>
        </w:rPr>
        <w:t>-NOTUM, integrado con la Plataforma de Servicios de Co</w:t>
      </w:r>
      <w:r w:rsidR="00101836" w:rsidRPr="00EB3D94">
        <w:rPr>
          <w:rFonts w:cs="Arial"/>
          <w:lang w:val="es-ES"/>
        </w:rPr>
        <w:t>ntratación Pública</w:t>
      </w:r>
      <w:r w:rsidRPr="00EB3D94">
        <w:rPr>
          <w:rFonts w:cs="Arial"/>
          <w:lang w:val="es-ES"/>
        </w:rPr>
        <w:t>.</w:t>
      </w:r>
    </w:p>
    <w:p w14:paraId="12A023A5" w14:textId="77777777" w:rsidR="00AD732A" w:rsidRPr="00EB3D94" w:rsidRDefault="00AD732A" w:rsidP="00BC4866">
      <w:pPr>
        <w:tabs>
          <w:tab w:val="left" w:pos="0"/>
          <w:tab w:val="left" w:pos="680"/>
          <w:tab w:val="left" w:pos="1134"/>
          <w:tab w:val="left" w:pos="5040"/>
        </w:tabs>
        <w:jc w:val="both"/>
        <w:rPr>
          <w:rFonts w:cs="Arial"/>
          <w:lang w:val="es-ES"/>
        </w:rPr>
      </w:pPr>
    </w:p>
    <w:p w14:paraId="24841A01" w14:textId="1F90F435" w:rsidR="00AD732A" w:rsidRPr="00EB3D94" w:rsidRDefault="00AD732A" w:rsidP="00BC4866">
      <w:pPr>
        <w:jc w:val="both"/>
        <w:rPr>
          <w:rFonts w:cs="Arial"/>
          <w:lang w:val="es-ES"/>
        </w:rPr>
      </w:pPr>
      <w:r w:rsidRPr="00EB3D94">
        <w:rPr>
          <w:rFonts w:cs="Arial"/>
          <w:lang w:val="es-ES"/>
        </w:rPr>
        <w:t xml:space="preserve">En caso de que no </w:t>
      </w:r>
      <w:r w:rsidR="00393C2D" w:rsidRPr="00EB3D94">
        <w:rPr>
          <w:rFonts w:cs="Arial"/>
          <w:lang w:val="es-ES"/>
        </w:rPr>
        <w:t>se cumplimente</w:t>
      </w:r>
      <w:r w:rsidRPr="00EB3D94">
        <w:rPr>
          <w:rFonts w:cs="Arial"/>
          <w:lang w:val="es-ES"/>
        </w:rPr>
        <w:t xml:space="preserve"> adecuadamente el requerimiento de documentación en el plazo señalado, o bien en el plazo para enmendar que se dé, se entenderá que la empresa licitadora ha retirado su oferta y se procederá a requerir la misma documentación a la empresa licitadora siguiente, por</w:t>
      </w:r>
      <w:r w:rsidRPr="00EB3D94">
        <w:rPr>
          <w:rFonts w:cs="Arial"/>
          <w:vanish/>
          <w:lang w:val="es-ES"/>
        </w:rPr>
        <w:t>&lt;A[por|para]&gt;</w:t>
      </w:r>
      <w:r w:rsidRPr="00EB3D94">
        <w:rPr>
          <w:rFonts w:cs="Arial"/>
          <w:lang w:val="es-ES"/>
        </w:rPr>
        <w:t xml:space="preserve"> la orden en que hayan quedado clasificadas las ofertas. Este hecho compuerta la exigencia del importe del 3 por ciento del presupuesto base de licitación, IVA excluido, en concepto de penalidad, que se hará efectivo en primer lugar contra la garantía provisional que, en su caso, se hubiera constituido y, además, puede dar lugar a declarar a la empresa en prohibición contratar por la causa prevista en el artículo 71.2.</w:t>
      </w:r>
      <w:r w:rsidRPr="00EB3D94">
        <w:rPr>
          <w:rFonts w:cs="Arial"/>
          <w:i/>
          <w:lang w:val="es-ES"/>
        </w:rPr>
        <w:t>a</w:t>
      </w:r>
      <w:r w:rsidRPr="00EB3D94">
        <w:rPr>
          <w:rFonts w:cs="Arial"/>
          <w:lang w:val="es-ES"/>
        </w:rPr>
        <w:t xml:space="preserve"> de la LCSP.</w:t>
      </w:r>
    </w:p>
    <w:p w14:paraId="7AE66084" w14:textId="77777777" w:rsidR="00AD732A" w:rsidRPr="00EB3D94" w:rsidRDefault="00AD732A" w:rsidP="00BC4866">
      <w:pPr>
        <w:jc w:val="both"/>
        <w:rPr>
          <w:rFonts w:cs="Arial"/>
          <w:lang w:val="es-ES"/>
        </w:rPr>
      </w:pPr>
    </w:p>
    <w:p w14:paraId="7311A515" w14:textId="77777777" w:rsidR="00AD732A" w:rsidRPr="00EB3D94" w:rsidRDefault="00AD732A" w:rsidP="00BC4866">
      <w:pPr>
        <w:jc w:val="both"/>
        <w:rPr>
          <w:rFonts w:cs="Arial"/>
          <w:lang w:val="es-ES"/>
        </w:rPr>
      </w:pPr>
      <w:r w:rsidRPr="00EB3D94">
        <w:rPr>
          <w:rFonts w:cs="Arial"/>
          <w:lang w:val="es-ES"/>
        </w:rPr>
        <w:t>Asimismo, la eventual falsedad en aquello declarado por las empresas licitadoras en el DEUC o en otras declaraciones puede dar lugar a la causa de prohibición de contratar con el sector público prevista en el artículo 71.1.</w:t>
      </w:r>
      <w:r w:rsidRPr="00EB3D94">
        <w:rPr>
          <w:rFonts w:cs="Arial"/>
          <w:i/>
          <w:lang w:val="es-ES"/>
        </w:rPr>
        <w:t>e</w:t>
      </w:r>
      <w:r w:rsidRPr="00EB3D94">
        <w:rPr>
          <w:rFonts w:cs="Arial"/>
          <w:lang w:val="es-ES"/>
        </w:rPr>
        <w:t xml:space="preserve"> de la LCSP. </w:t>
      </w:r>
    </w:p>
    <w:p w14:paraId="06F6FDA9" w14:textId="77777777" w:rsidR="00AD732A" w:rsidRPr="00EB3D94" w:rsidRDefault="00AD732A" w:rsidP="00BC4866">
      <w:pPr>
        <w:pStyle w:val="Textindependent2"/>
        <w:spacing w:after="0" w:line="240" w:lineRule="auto"/>
        <w:jc w:val="both"/>
        <w:outlineLvl w:val="0"/>
        <w:rPr>
          <w:rFonts w:cs="Arial"/>
          <w:szCs w:val="22"/>
          <w:lang w:val="es-ES"/>
        </w:rPr>
      </w:pPr>
    </w:p>
    <w:p w14:paraId="4C6DE694" w14:textId="77777777" w:rsidR="009A4D9B" w:rsidRPr="00EB3D94" w:rsidRDefault="00CC6097" w:rsidP="00BC4866">
      <w:pPr>
        <w:pStyle w:val="CM25"/>
        <w:spacing w:line="276" w:lineRule="atLeast"/>
        <w:jc w:val="both"/>
        <w:rPr>
          <w:rFonts w:cs="Arial"/>
          <w:b/>
          <w:bCs/>
          <w:sz w:val="22"/>
          <w:szCs w:val="22"/>
          <w:lang w:val="es-ES"/>
        </w:rPr>
      </w:pPr>
      <w:r w:rsidRPr="00EB3D94">
        <w:rPr>
          <w:rFonts w:cs="Arial"/>
          <w:b/>
          <w:bCs/>
          <w:sz w:val="22"/>
          <w:szCs w:val="22"/>
          <w:lang w:val="es-ES"/>
        </w:rPr>
        <w:t>Decimo</w:t>
      </w:r>
      <w:r w:rsidR="00250F76" w:rsidRPr="00EB3D94">
        <w:rPr>
          <w:rFonts w:cs="Arial"/>
          <w:b/>
          <w:bCs/>
          <w:sz w:val="22"/>
          <w:szCs w:val="22"/>
          <w:lang w:val="es-ES"/>
        </w:rPr>
        <w:t>c</w:t>
      </w:r>
      <w:r w:rsidR="009A4D9B" w:rsidRPr="00EB3D94">
        <w:rPr>
          <w:rFonts w:cs="Arial"/>
          <w:b/>
          <w:bCs/>
          <w:sz w:val="22"/>
          <w:szCs w:val="22"/>
          <w:lang w:val="es-ES"/>
        </w:rPr>
        <w:t xml:space="preserve">uarta. </w:t>
      </w:r>
      <w:r w:rsidR="009A4D9B" w:rsidRPr="00EB3D94">
        <w:rPr>
          <w:rFonts w:cs="Arial"/>
          <w:b/>
          <w:bCs/>
          <w:sz w:val="22"/>
          <w:szCs w:val="22"/>
          <w:u w:val="single"/>
          <w:lang w:val="es-ES"/>
        </w:rPr>
        <w:t>Garantía definitiva</w:t>
      </w:r>
      <w:r w:rsidR="009A4D9B" w:rsidRPr="00EB3D94">
        <w:rPr>
          <w:rFonts w:cs="Arial"/>
          <w:b/>
          <w:bCs/>
          <w:sz w:val="22"/>
          <w:szCs w:val="22"/>
          <w:lang w:val="es-ES"/>
        </w:rPr>
        <w:t xml:space="preserve"> </w:t>
      </w:r>
    </w:p>
    <w:p w14:paraId="2F339FB9" w14:textId="77777777" w:rsidR="00A81F6F" w:rsidRPr="00EB3D94" w:rsidRDefault="00A81F6F" w:rsidP="00BC4866">
      <w:pPr>
        <w:pStyle w:val="Default"/>
        <w:jc w:val="both"/>
        <w:rPr>
          <w:color w:val="auto"/>
          <w:sz w:val="22"/>
          <w:szCs w:val="22"/>
          <w:lang w:val="es-ES"/>
        </w:rPr>
      </w:pPr>
      <w:r w:rsidRPr="00EB3D94">
        <w:rPr>
          <w:color w:val="auto"/>
          <w:sz w:val="22"/>
          <w:szCs w:val="22"/>
          <w:lang w:val="es-ES"/>
        </w:rPr>
        <w:t xml:space="preserve">Para este expediente, en aplicación del artículo </w:t>
      </w:r>
      <w:r w:rsidR="00250F76" w:rsidRPr="00EB3D94">
        <w:rPr>
          <w:color w:val="auto"/>
          <w:sz w:val="22"/>
          <w:szCs w:val="22"/>
          <w:lang w:val="es-ES"/>
        </w:rPr>
        <w:t>107.1 LCSP</w:t>
      </w:r>
      <w:r w:rsidR="00250F76" w:rsidRPr="00EB3D94">
        <w:rPr>
          <w:snapToGrid w:val="0"/>
          <w:color w:val="auto"/>
          <w:lang w:val="es-ES" w:eastAsia="es-ES"/>
        </w:rPr>
        <w:t xml:space="preserve"> </w:t>
      </w:r>
      <w:r w:rsidRPr="00EB3D94">
        <w:rPr>
          <w:color w:val="auto"/>
          <w:sz w:val="22"/>
          <w:szCs w:val="22"/>
          <w:lang w:val="es-ES"/>
        </w:rPr>
        <w:t>se dispensa a las entidades licitadoras de la obligación de aportar garantía definitiva dado que, al tratarse de entidades financieras, se considera garantía suficiente la supervisión a que están sometidas por la normativa vigente.</w:t>
      </w:r>
    </w:p>
    <w:p w14:paraId="6A833B85" w14:textId="77777777" w:rsidR="00C85509" w:rsidRPr="00EB3D94" w:rsidRDefault="00C85509" w:rsidP="00BC4866">
      <w:pPr>
        <w:pStyle w:val="Default"/>
        <w:rPr>
          <w:color w:val="auto"/>
          <w:lang w:val="es-ES"/>
        </w:rPr>
      </w:pPr>
    </w:p>
    <w:p w14:paraId="478F49D0" w14:textId="77777777" w:rsidR="00250F76" w:rsidRPr="00EB3D94" w:rsidRDefault="00CC6097" w:rsidP="00BC4866">
      <w:pPr>
        <w:pStyle w:val="Ttol2"/>
        <w:spacing w:before="0" w:after="0"/>
        <w:jc w:val="both"/>
        <w:rPr>
          <w:rFonts w:ascii="Arial" w:hAnsi="Arial" w:cs="Arial"/>
          <w:i w:val="0"/>
          <w:iCs w:val="0"/>
          <w:sz w:val="22"/>
          <w:szCs w:val="22"/>
          <w:u w:val="single"/>
          <w:lang w:val="es-ES"/>
        </w:rPr>
      </w:pPr>
      <w:r w:rsidRPr="00EB3D94">
        <w:rPr>
          <w:rFonts w:ascii="Arial" w:hAnsi="Arial" w:cs="Arial"/>
          <w:i w:val="0"/>
          <w:iCs w:val="0"/>
          <w:sz w:val="22"/>
          <w:szCs w:val="22"/>
          <w:lang w:val="es-ES"/>
        </w:rPr>
        <w:t>Quin</w:t>
      </w:r>
      <w:r w:rsidR="00250F76" w:rsidRPr="00EB3D94">
        <w:rPr>
          <w:rFonts w:ascii="Arial" w:hAnsi="Arial" w:cs="Arial"/>
          <w:i w:val="0"/>
          <w:iCs w:val="0"/>
          <w:sz w:val="22"/>
          <w:szCs w:val="22"/>
          <w:lang w:val="es-ES"/>
        </w:rPr>
        <w:t>cena.</w:t>
      </w:r>
      <w:r w:rsidR="00250F76" w:rsidRPr="00EB3D94">
        <w:rPr>
          <w:rFonts w:ascii="Arial" w:hAnsi="Arial" w:cs="Arial"/>
          <w:i w:val="0"/>
          <w:iCs w:val="0"/>
          <w:sz w:val="22"/>
          <w:szCs w:val="22"/>
          <w:u w:val="single"/>
          <w:lang w:val="es-ES"/>
        </w:rPr>
        <w:t xml:space="preserve"> Decisión de no adjudicar o suscribir el contrato y desistimiento </w:t>
      </w:r>
    </w:p>
    <w:p w14:paraId="5F0F8B00" w14:textId="77777777" w:rsidR="00250F76" w:rsidRPr="00EB3D94" w:rsidRDefault="00250F76" w:rsidP="00BC4866">
      <w:pPr>
        <w:pStyle w:val="Default"/>
        <w:rPr>
          <w:color w:val="auto"/>
          <w:lang w:val="es-ES"/>
        </w:rPr>
      </w:pPr>
    </w:p>
    <w:p w14:paraId="7254620D" w14:textId="77777777" w:rsidR="00250F76" w:rsidRPr="00EB3D94" w:rsidRDefault="00250F76" w:rsidP="00BC4866">
      <w:pPr>
        <w:autoSpaceDE w:val="0"/>
        <w:autoSpaceDN w:val="0"/>
        <w:adjustRightInd w:val="0"/>
        <w:jc w:val="both"/>
        <w:rPr>
          <w:rFonts w:cs="Arial"/>
          <w:lang w:val="es-ES"/>
        </w:rPr>
      </w:pPr>
      <w:r w:rsidRPr="00EB3D94">
        <w:rPr>
          <w:rFonts w:cs="Arial"/>
          <w:lang w:val="es-ES"/>
        </w:rPr>
        <w:t xml:space="preserve">El órgano de contratación podrá decidir no adjudicar o suscribir el contrato, por razones de interés público debidamente justificadas y con la correspondiente notificación en las empresas licitadoras, antes de la </w:t>
      </w:r>
      <w:proofErr w:type="gramStart"/>
      <w:r w:rsidRPr="00EB3D94">
        <w:rPr>
          <w:rFonts w:cs="Arial"/>
          <w:lang w:val="es-ES"/>
        </w:rPr>
        <w:t>formalización  del</w:t>
      </w:r>
      <w:proofErr w:type="gramEnd"/>
      <w:r w:rsidRPr="00EB3D94">
        <w:rPr>
          <w:rFonts w:cs="Arial"/>
          <w:lang w:val="es-ES"/>
        </w:rPr>
        <w:t xml:space="preserve"> contrato. </w:t>
      </w:r>
    </w:p>
    <w:p w14:paraId="2A4291DF" w14:textId="77777777" w:rsidR="00250F76" w:rsidRPr="00EB3D94" w:rsidRDefault="00250F76" w:rsidP="00BC4866">
      <w:pPr>
        <w:autoSpaceDE w:val="0"/>
        <w:autoSpaceDN w:val="0"/>
        <w:adjustRightInd w:val="0"/>
        <w:jc w:val="both"/>
        <w:rPr>
          <w:rFonts w:cs="Arial"/>
          <w:lang w:val="es-ES"/>
        </w:rPr>
      </w:pPr>
    </w:p>
    <w:p w14:paraId="56E2E94F" w14:textId="77777777" w:rsidR="00250F76" w:rsidRPr="00EB3D94" w:rsidRDefault="00250F76" w:rsidP="00BC4866">
      <w:pPr>
        <w:autoSpaceDE w:val="0"/>
        <w:autoSpaceDN w:val="0"/>
        <w:adjustRightInd w:val="0"/>
        <w:jc w:val="both"/>
        <w:rPr>
          <w:rFonts w:cs="Arial"/>
          <w:lang w:val="es-ES"/>
        </w:rPr>
      </w:pPr>
      <w:r w:rsidRPr="00EB3D94">
        <w:rPr>
          <w:rFonts w:cs="Arial"/>
          <w:lang w:val="es-ES"/>
        </w:rPr>
        <w:t xml:space="preserve">También podrá desistir del procedimiento, antes de la formalización del contrato, notificándolo a las empresas licitadoras, cuando aprecie una infracción no enmendable de las normas de preparación del contrato o de las reguladoras del procedimiento de adjudicación. </w:t>
      </w:r>
    </w:p>
    <w:p w14:paraId="5A1D589C" w14:textId="77777777" w:rsidR="00250F76" w:rsidRPr="00EB3D94" w:rsidRDefault="00250F76" w:rsidP="00BC4866">
      <w:pPr>
        <w:autoSpaceDE w:val="0"/>
        <w:autoSpaceDN w:val="0"/>
        <w:adjustRightInd w:val="0"/>
        <w:jc w:val="both"/>
        <w:rPr>
          <w:rFonts w:cs="Arial"/>
          <w:lang w:val="es-ES"/>
        </w:rPr>
      </w:pPr>
    </w:p>
    <w:p w14:paraId="32DD3B81" w14:textId="77777777" w:rsidR="00250F76" w:rsidRPr="00EB3D94" w:rsidRDefault="00250F76" w:rsidP="00BC4866">
      <w:pPr>
        <w:autoSpaceDE w:val="0"/>
        <w:autoSpaceDN w:val="0"/>
        <w:adjustRightInd w:val="0"/>
        <w:jc w:val="both"/>
        <w:rPr>
          <w:rFonts w:cs="Arial"/>
          <w:lang w:val="es-ES"/>
        </w:rPr>
      </w:pPr>
      <w:r w:rsidRPr="00EB3D94">
        <w:rPr>
          <w:rFonts w:cs="Arial"/>
          <w:lang w:val="es-ES"/>
        </w:rPr>
        <w:t>En ambos supuestos se compensará a las empresas licitadoras por los gastos en que hayan incurrido.</w:t>
      </w:r>
    </w:p>
    <w:p w14:paraId="6C408DBD" w14:textId="77777777" w:rsidR="00250F76" w:rsidRPr="00EB3D94" w:rsidRDefault="00250F76" w:rsidP="00BC4866">
      <w:pPr>
        <w:autoSpaceDE w:val="0"/>
        <w:autoSpaceDN w:val="0"/>
        <w:adjustRightInd w:val="0"/>
        <w:jc w:val="both"/>
        <w:rPr>
          <w:rFonts w:cs="Arial"/>
          <w:lang w:val="es-ES"/>
        </w:rPr>
      </w:pPr>
      <w:r w:rsidRPr="00EB3D94">
        <w:rPr>
          <w:rFonts w:cs="Arial"/>
          <w:lang w:val="es-ES"/>
        </w:rPr>
        <w:t xml:space="preserve"> </w:t>
      </w:r>
    </w:p>
    <w:p w14:paraId="038A8F9D" w14:textId="77777777" w:rsidR="00250F76" w:rsidRPr="00EB3D94" w:rsidRDefault="00250F76" w:rsidP="00BC4866">
      <w:pPr>
        <w:jc w:val="both"/>
        <w:rPr>
          <w:rFonts w:cs="Arial"/>
          <w:lang w:val="es-ES"/>
        </w:rPr>
      </w:pPr>
      <w:r w:rsidRPr="00EB3D94">
        <w:rPr>
          <w:rFonts w:cs="Arial"/>
          <w:lang w:val="es-ES"/>
        </w:rPr>
        <w:t>La decisión de no adjudicar o suscribir el contrato y el desistimiento del procedimiento de adjudicación se publicará en el perfil de contratante.</w:t>
      </w:r>
    </w:p>
    <w:p w14:paraId="75B42890" w14:textId="77777777" w:rsidR="00F317F6" w:rsidRPr="00EB3D94" w:rsidRDefault="00F317F6" w:rsidP="00BC4866">
      <w:pPr>
        <w:jc w:val="both"/>
        <w:rPr>
          <w:rFonts w:cs="Arial"/>
          <w:lang w:val="es-ES"/>
        </w:rPr>
      </w:pPr>
    </w:p>
    <w:p w14:paraId="1B8514CD" w14:textId="77777777" w:rsidR="00250F76" w:rsidRPr="00EB3D94" w:rsidRDefault="00CC6097" w:rsidP="00BC4866">
      <w:pPr>
        <w:pStyle w:val="Ttol2"/>
        <w:spacing w:before="0" w:after="0"/>
        <w:jc w:val="both"/>
        <w:rPr>
          <w:rFonts w:ascii="Arial" w:hAnsi="Arial" w:cs="Arial"/>
          <w:i w:val="0"/>
          <w:sz w:val="22"/>
          <w:szCs w:val="22"/>
          <w:u w:val="single"/>
          <w:lang w:val="es-ES"/>
        </w:rPr>
      </w:pPr>
      <w:bookmarkStart w:id="1" w:name="_Toc512237527"/>
      <w:r w:rsidRPr="00EB3D94">
        <w:rPr>
          <w:rFonts w:ascii="Arial" w:hAnsi="Arial" w:cs="Arial"/>
          <w:i w:val="0"/>
          <w:sz w:val="22"/>
          <w:szCs w:val="22"/>
          <w:lang w:val="es-ES"/>
        </w:rPr>
        <w:t>Decimo</w:t>
      </w:r>
      <w:r w:rsidR="00250F76" w:rsidRPr="00EB3D94">
        <w:rPr>
          <w:rFonts w:ascii="Arial" w:hAnsi="Arial" w:cs="Arial"/>
          <w:i w:val="0"/>
          <w:sz w:val="22"/>
          <w:szCs w:val="22"/>
          <w:lang w:val="es-ES"/>
        </w:rPr>
        <w:t xml:space="preserve">sexta. </w:t>
      </w:r>
      <w:r w:rsidR="00250F76" w:rsidRPr="00EB3D94">
        <w:rPr>
          <w:rFonts w:ascii="Arial" w:hAnsi="Arial" w:cs="Arial"/>
          <w:i w:val="0"/>
          <w:sz w:val="22"/>
          <w:szCs w:val="22"/>
          <w:u w:val="single"/>
          <w:lang w:val="es-ES"/>
        </w:rPr>
        <w:t>Adjudicación del contrato</w:t>
      </w:r>
      <w:bookmarkEnd w:id="1"/>
      <w:r w:rsidR="00250F76" w:rsidRPr="00EB3D94">
        <w:rPr>
          <w:rFonts w:ascii="Arial" w:hAnsi="Arial" w:cs="Arial"/>
          <w:i w:val="0"/>
          <w:sz w:val="22"/>
          <w:szCs w:val="22"/>
          <w:u w:val="single"/>
          <w:lang w:val="es-ES"/>
        </w:rPr>
        <w:t xml:space="preserve"> </w:t>
      </w:r>
    </w:p>
    <w:p w14:paraId="5B7BB2F2" w14:textId="77777777" w:rsidR="00250F76" w:rsidRPr="00EB3D94" w:rsidRDefault="00250F76" w:rsidP="00BC4866">
      <w:pPr>
        <w:jc w:val="both"/>
        <w:rPr>
          <w:rFonts w:cs="Arial"/>
          <w:b/>
          <w:lang w:val="es-ES"/>
        </w:rPr>
      </w:pPr>
    </w:p>
    <w:p w14:paraId="338CC9C7" w14:textId="77777777" w:rsidR="00250F76" w:rsidRPr="00EB3D94" w:rsidRDefault="00CC6097" w:rsidP="00BC4866">
      <w:pPr>
        <w:jc w:val="both"/>
        <w:rPr>
          <w:rFonts w:cs="Arial"/>
          <w:lang w:val="es-ES"/>
        </w:rPr>
      </w:pPr>
      <w:r w:rsidRPr="00EB3D94">
        <w:rPr>
          <w:rFonts w:cs="Arial"/>
          <w:b/>
          <w:lang w:val="es-ES"/>
        </w:rPr>
        <w:t>16.</w:t>
      </w:r>
      <w:r w:rsidR="00250F76" w:rsidRPr="00EB3D94">
        <w:rPr>
          <w:rFonts w:cs="Arial"/>
          <w:b/>
          <w:lang w:val="es-ES"/>
        </w:rPr>
        <w:t xml:space="preserve">1 </w:t>
      </w:r>
      <w:r w:rsidR="00250F76" w:rsidRPr="00EB3D94">
        <w:rPr>
          <w:rFonts w:cs="Arial"/>
          <w:lang w:val="es-ES"/>
        </w:rPr>
        <w:t xml:space="preserve">Una vez presentada la documentación a que hace referencia la cláusula decimotercera, </w:t>
      </w:r>
      <w:r w:rsidRPr="00EB3D94">
        <w:rPr>
          <w:rFonts w:cs="Arial"/>
          <w:lang w:val="es-ES"/>
        </w:rPr>
        <w:t>el ó</w:t>
      </w:r>
      <w:r w:rsidR="00250F76" w:rsidRPr="00EB3D94">
        <w:rPr>
          <w:rFonts w:cs="Arial"/>
          <w:lang w:val="es-ES"/>
        </w:rPr>
        <w:t xml:space="preserve">rgano de contratación acordará la adjudicación del contrato en la empresa o las empresas </w:t>
      </w:r>
      <w:r w:rsidR="00250F76" w:rsidRPr="00EB3D94">
        <w:rPr>
          <w:rFonts w:cs="Arial"/>
          <w:lang w:val="es-ES"/>
        </w:rPr>
        <w:lastRenderedPageBreak/>
        <w:t>propuestas como adjudic</w:t>
      </w:r>
      <w:r w:rsidR="00A95367" w:rsidRPr="00EB3D94">
        <w:rPr>
          <w:rFonts w:cs="Arial"/>
          <w:lang w:val="es-ES"/>
        </w:rPr>
        <w:t xml:space="preserve">atarias, dentro del plazo </w:t>
      </w:r>
      <w:r w:rsidR="00A95367" w:rsidRPr="00EB3D94">
        <w:rPr>
          <w:rFonts w:cs="Arial"/>
          <w:u w:val="single"/>
          <w:lang w:val="es-ES"/>
        </w:rPr>
        <w:t>de tres</w:t>
      </w:r>
      <w:r w:rsidR="00250F76" w:rsidRPr="00EB3D94">
        <w:rPr>
          <w:rFonts w:cs="Arial"/>
          <w:u w:val="single"/>
          <w:lang w:val="es-ES"/>
        </w:rPr>
        <w:t xml:space="preserve"> días hábiles</w:t>
      </w:r>
      <w:r w:rsidR="00250F76" w:rsidRPr="00EB3D94">
        <w:rPr>
          <w:rFonts w:cs="Arial"/>
          <w:lang w:val="es-ES"/>
        </w:rPr>
        <w:t xml:space="preserve"> siguientes en la recepción de dicha documentación.</w:t>
      </w:r>
    </w:p>
    <w:p w14:paraId="3B25A54B" w14:textId="77777777" w:rsidR="00250F76" w:rsidRPr="00EB3D94" w:rsidRDefault="00250F76" w:rsidP="00BC4866">
      <w:pPr>
        <w:jc w:val="both"/>
        <w:rPr>
          <w:rFonts w:cs="Arial"/>
          <w:lang w:val="es-ES"/>
        </w:rPr>
      </w:pPr>
    </w:p>
    <w:p w14:paraId="2E430B75" w14:textId="45CA2DA5" w:rsidR="00250F76" w:rsidRPr="00EB3D94" w:rsidRDefault="00250F76" w:rsidP="00BC4866">
      <w:pPr>
        <w:jc w:val="both"/>
        <w:rPr>
          <w:rFonts w:cs="Arial"/>
          <w:lang w:val="es-ES"/>
        </w:rPr>
      </w:pPr>
      <w:r w:rsidRPr="00EB3D94">
        <w:rPr>
          <w:rFonts w:cs="Arial"/>
          <w:lang w:val="es-ES"/>
        </w:rPr>
        <w:t xml:space="preserve">La licitación no se declarará desierta si hay alguna proposición que sea admisible de acuerdo con los criterios que figuran en </w:t>
      </w:r>
      <w:r w:rsidR="00393C2D" w:rsidRPr="00EB3D94">
        <w:rPr>
          <w:rFonts w:cs="Arial"/>
          <w:lang w:val="es-ES"/>
        </w:rPr>
        <w:t>este pliego</w:t>
      </w:r>
      <w:r w:rsidRPr="00EB3D94">
        <w:rPr>
          <w:rFonts w:cs="Arial"/>
          <w:vanish/>
          <w:lang w:val="es-ES"/>
        </w:rPr>
        <w:t>&lt;A[pliegue|pliego]&gt;</w:t>
      </w:r>
      <w:r w:rsidRPr="00EB3D94">
        <w:rPr>
          <w:rFonts w:cs="Arial"/>
          <w:lang w:val="es-ES"/>
        </w:rPr>
        <w:t>. La declaración, en su caso, que este procedimiento ha quedado desierto se publicará en el perfil de contratante.</w:t>
      </w:r>
    </w:p>
    <w:p w14:paraId="5D1B5FD8" w14:textId="77777777" w:rsidR="00250F76" w:rsidRPr="00EB3D94" w:rsidRDefault="00250F76" w:rsidP="00BC4866">
      <w:pPr>
        <w:jc w:val="both"/>
        <w:rPr>
          <w:rFonts w:cs="Arial"/>
          <w:b/>
          <w:snapToGrid w:val="0"/>
          <w:lang w:val="es-ES"/>
        </w:rPr>
      </w:pPr>
    </w:p>
    <w:p w14:paraId="7E38C139" w14:textId="7845DC11" w:rsidR="00250F76" w:rsidRPr="00EB3D94" w:rsidRDefault="00CC6097" w:rsidP="00BC4866">
      <w:pPr>
        <w:jc w:val="both"/>
        <w:rPr>
          <w:rFonts w:cs="Arial"/>
          <w:b/>
          <w:snapToGrid w:val="0"/>
          <w:lang w:val="es-ES"/>
        </w:rPr>
      </w:pPr>
      <w:r w:rsidRPr="00EB3D94">
        <w:rPr>
          <w:rFonts w:cs="Arial"/>
          <w:b/>
          <w:snapToGrid w:val="0"/>
          <w:lang w:val="es-ES"/>
        </w:rPr>
        <w:t>16</w:t>
      </w:r>
      <w:r w:rsidR="00A95367" w:rsidRPr="00EB3D94">
        <w:rPr>
          <w:rFonts w:cs="Arial"/>
          <w:b/>
          <w:snapToGrid w:val="0"/>
          <w:lang w:val="es-ES"/>
        </w:rPr>
        <w:t>.2</w:t>
      </w:r>
      <w:r w:rsidR="00250F76" w:rsidRPr="00EB3D94">
        <w:rPr>
          <w:rFonts w:cs="Arial"/>
          <w:b/>
          <w:snapToGrid w:val="0"/>
          <w:lang w:val="es-ES"/>
        </w:rPr>
        <w:t xml:space="preserve"> </w:t>
      </w:r>
      <w:r w:rsidR="00250F76" w:rsidRPr="00EB3D94">
        <w:rPr>
          <w:rFonts w:cs="Arial"/>
          <w:snapToGrid w:val="0"/>
          <w:lang w:val="es-ES"/>
        </w:rPr>
        <w:t xml:space="preserve">La resolución de adjudicación del contrato se notificará en las empresas licitadoras mediante notificación electrónica a través de </w:t>
      </w:r>
      <w:proofErr w:type="spellStart"/>
      <w:r w:rsidR="00250F76" w:rsidRPr="00EB3D94">
        <w:rPr>
          <w:rFonts w:cs="Arial"/>
          <w:snapToGrid w:val="0"/>
          <w:lang w:val="es-ES"/>
        </w:rPr>
        <w:t>l'e</w:t>
      </w:r>
      <w:proofErr w:type="spellEnd"/>
      <w:r w:rsidR="00250F76" w:rsidRPr="00EB3D94">
        <w:rPr>
          <w:rFonts w:cs="Arial"/>
          <w:snapToGrid w:val="0"/>
          <w:lang w:val="es-ES"/>
        </w:rPr>
        <w:t xml:space="preserve">-NOTUM, y se publicará en el perfil de contratante del órgano de contratación dentro del plazo de 15 días, indicando el plazo en que se </w:t>
      </w:r>
      <w:r w:rsidR="00E23614" w:rsidRPr="00EB3D94">
        <w:rPr>
          <w:rFonts w:cs="Arial"/>
          <w:snapToGrid w:val="0"/>
          <w:lang w:val="es-ES"/>
        </w:rPr>
        <w:t>deberá</w:t>
      </w:r>
      <w:r w:rsidR="00250F76" w:rsidRPr="00EB3D94">
        <w:rPr>
          <w:rFonts w:cs="Arial"/>
          <w:snapToGrid w:val="0"/>
          <w:lang w:val="es-ES"/>
        </w:rPr>
        <w:t xml:space="preserve"> proceder a la formalización del contrato.</w:t>
      </w:r>
    </w:p>
    <w:p w14:paraId="6259AD27" w14:textId="77777777" w:rsidR="00250F76" w:rsidRPr="00EB3D94" w:rsidRDefault="00250F76" w:rsidP="00BC4866">
      <w:pPr>
        <w:jc w:val="both"/>
        <w:rPr>
          <w:rFonts w:cs="Arial"/>
          <w:i/>
          <w:snapToGrid w:val="0"/>
          <w:lang w:val="es-ES"/>
        </w:rPr>
      </w:pPr>
    </w:p>
    <w:p w14:paraId="25549E57" w14:textId="77777777" w:rsidR="00250F76" w:rsidRPr="00EB3D94" w:rsidRDefault="00250F76" w:rsidP="00BC4866">
      <w:pPr>
        <w:jc w:val="both"/>
        <w:rPr>
          <w:rFonts w:cs="Arial"/>
          <w:snapToGrid w:val="0"/>
          <w:lang w:val="es-ES"/>
        </w:rPr>
      </w:pPr>
      <w:r w:rsidRPr="00EB3D94">
        <w:rPr>
          <w:rFonts w:cs="Arial"/>
          <w:snapToGrid w:val="0"/>
          <w:lang w:val="es-ES"/>
        </w:rPr>
        <w:t xml:space="preserve">A este efecto, se enviará, a la dirección de correo electrónico –y, </w:t>
      </w:r>
      <w:proofErr w:type="gramStart"/>
      <w:r w:rsidRPr="00EB3D94">
        <w:rPr>
          <w:rFonts w:cs="Arial"/>
          <w:snapToGrid w:val="0"/>
          <w:lang w:val="es-ES"/>
        </w:rPr>
        <w:t>en caso que</w:t>
      </w:r>
      <w:proofErr w:type="gramEnd"/>
      <w:r w:rsidRPr="00EB3D94">
        <w:rPr>
          <w:rFonts w:cs="Arial"/>
          <w:snapToGrid w:val="0"/>
          <w:lang w:val="es-ES"/>
        </w:rPr>
        <w:t xml:space="preserve"> se haya informado, en el teléfono móvil– que las empresas licitadoras hayan designado al presentar sus proposiciones, un aviso de la puesta</w:t>
      </w:r>
      <w:r w:rsidRPr="00EB3D94">
        <w:rPr>
          <w:rFonts w:cs="Arial"/>
          <w:snapToGrid w:val="0"/>
          <w:vanish/>
          <w:lang w:val="es-ES"/>
        </w:rPr>
        <w:t>&lt;A[puesta|posada]&gt;</w:t>
      </w:r>
      <w:r w:rsidRPr="00EB3D94">
        <w:rPr>
          <w:rFonts w:cs="Arial"/>
          <w:snapToGrid w:val="0"/>
          <w:lang w:val="es-ES"/>
        </w:rPr>
        <w:t xml:space="preserve"> a disposición de la notificación. Asimismo, el correo electrónico contendrá el enlace para acceder. </w:t>
      </w:r>
    </w:p>
    <w:p w14:paraId="3A4B3C08" w14:textId="77777777" w:rsidR="00250F76" w:rsidRPr="00EB3D94" w:rsidRDefault="00250F76" w:rsidP="00BC4866">
      <w:pPr>
        <w:jc w:val="both"/>
        <w:rPr>
          <w:rFonts w:cs="Arial"/>
          <w:snapToGrid w:val="0"/>
          <w:lang w:val="es-ES"/>
        </w:rPr>
      </w:pPr>
    </w:p>
    <w:p w14:paraId="734AE33C" w14:textId="77777777" w:rsidR="00250F76" w:rsidRPr="00EB3D94" w:rsidRDefault="00CC6097" w:rsidP="00BC4866">
      <w:pPr>
        <w:pStyle w:val="Ttol2"/>
        <w:spacing w:before="0" w:after="0"/>
        <w:jc w:val="both"/>
        <w:rPr>
          <w:rFonts w:ascii="Arial" w:hAnsi="Arial" w:cs="Arial"/>
          <w:i w:val="0"/>
          <w:sz w:val="22"/>
          <w:szCs w:val="22"/>
          <w:lang w:val="es-ES"/>
        </w:rPr>
      </w:pPr>
      <w:bookmarkStart w:id="2" w:name="_Toc512237528"/>
      <w:r w:rsidRPr="00EB3D94">
        <w:rPr>
          <w:rFonts w:ascii="Arial" w:hAnsi="Arial" w:cs="Arial"/>
          <w:i w:val="0"/>
          <w:sz w:val="22"/>
          <w:szCs w:val="22"/>
          <w:lang w:val="es-ES"/>
        </w:rPr>
        <w:t>Decimos</w:t>
      </w:r>
      <w:r w:rsidR="00250F76" w:rsidRPr="00EB3D94">
        <w:rPr>
          <w:rFonts w:ascii="Arial" w:hAnsi="Arial" w:cs="Arial"/>
          <w:i w:val="0"/>
          <w:sz w:val="22"/>
          <w:szCs w:val="22"/>
          <w:lang w:val="es-ES"/>
        </w:rPr>
        <w:t xml:space="preserve">éptima. </w:t>
      </w:r>
      <w:r w:rsidR="00250F76" w:rsidRPr="00EB3D94">
        <w:rPr>
          <w:rFonts w:ascii="Arial" w:hAnsi="Arial" w:cs="Arial"/>
          <w:i w:val="0"/>
          <w:sz w:val="22"/>
          <w:szCs w:val="22"/>
          <w:u w:val="single"/>
          <w:lang w:val="es-ES"/>
        </w:rPr>
        <w:t>Formalización y perfección del contrato</w:t>
      </w:r>
      <w:bookmarkEnd w:id="2"/>
    </w:p>
    <w:p w14:paraId="1AFC56F5" w14:textId="77777777" w:rsidR="00250F76" w:rsidRPr="00EB3D94" w:rsidRDefault="00250F76" w:rsidP="00BC4866">
      <w:pPr>
        <w:jc w:val="both"/>
        <w:rPr>
          <w:rFonts w:cs="Arial"/>
          <w:b/>
          <w:lang w:val="es-ES"/>
        </w:rPr>
      </w:pPr>
    </w:p>
    <w:p w14:paraId="5DA0A6AE" w14:textId="51706EB7" w:rsidR="00250F76" w:rsidRPr="00EB3D94" w:rsidRDefault="00CC6097" w:rsidP="00BC4866">
      <w:pPr>
        <w:jc w:val="both"/>
        <w:rPr>
          <w:rFonts w:cs="Arial"/>
          <w:lang w:val="es-ES"/>
        </w:rPr>
      </w:pPr>
      <w:r w:rsidRPr="00EB3D94">
        <w:rPr>
          <w:rFonts w:cs="Arial"/>
          <w:b/>
          <w:lang w:val="es-ES"/>
        </w:rPr>
        <w:t>17</w:t>
      </w:r>
      <w:r w:rsidR="00250F76" w:rsidRPr="00EB3D94">
        <w:rPr>
          <w:rFonts w:cs="Arial"/>
          <w:b/>
          <w:lang w:val="es-ES"/>
        </w:rPr>
        <w:t xml:space="preserve">.1 </w:t>
      </w:r>
      <w:r w:rsidR="00250F76" w:rsidRPr="00EB3D94">
        <w:rPr>
          <w:rFonts w:cs="Arial"/>
          <w:lang w:val="es-ES"/>
        </w:rPr>
        <w:t xml:space="preserve">El contrato se formalizará en documento administrativo, mediante firma </w:t>
      </w:r>
      <w:r w:rsidR="00393C2D" w:rsidRPr="00EB3D94">
        <w:rPr>
          <w:rFonts w:cs="Arial"/>
          <w:lang w:val="es-ES"/>
        </w:rPr>
        <w:t>electrónica avanzada</w:t>
      </w:r>
      <w:r w:rsidR="00250F76" w:rsidRPr="00EB3D94">
        <w:rPr>
          <w:rFonts w:cs="Arial"/>
          <w:lang w:val="es-ES"/>
        </w:rPr>
        <w:t xml:space="preserve"> basada en un certificad</w:t>
      </w:r>
      <w:r w:rsidR="00393C2D" w:rsidRPr="00EB3D94">
        <w:rPr>
          <w:rFonts w:cs="Arial"/>
          <w:lang w:val="es-ES"/>
        </w:rPr>
        <w:t xml:space="preserve">o cualificado </w:t>
      </w:r>
      <w:r w:rsidR="00250F76" w:rsidRPr="00EB3D94">
        <w:rPr>
          <w:rFonts w:cs="Arial"/>
          <w:lang w:val="es-ES"/>
        </w:rPr>
        <w:t xml:space="preserve">o reconocido de firma electrónica. </w:t>
      </w:r>
    </w:p>
    <w:p w14:paraId="77274B75" w14:textId="77777777" w:rsidR="00250F76" w:rsidRPr="00EB3D94" w:rsidRDefault="00250F76" w:rsidP="00BC4866">
      <w:pPr>
        <w:jc w:val="both"/>
        <w:rPr>
          <w:rFonts w:cs="Arial"/>
          <w:lang w:val="es-ES"/>
        </w:rPr>
      </w:pPr>
    </w:p>
    <w:p w14:paraId="3986B713" w14:textId="77777777" w:rsidR="00250F76" w:rsidRPr="00EB3D94" w:rsidRDefault="00250F76" w:rsidP="00BC4866">
      <w:pPr>
        <w:jc w:val="both"/>
        <w:rPr>
          <w:rFonts w:cs="Arial"/>
          <w:lang w:val="es-ES"/>
        </w:rPr>
      </w:pPr>
      <w:r w:rsidRPr="00EB3D94">
        <w:rPr>
          <w:rFonts w:cs="Arial"/>
          <w:lang w:val="es-ES"/>
        </w:rPr>
        <w:t>De acuerdo con la Disposición adicional primera del Decreto Ley 3/2016, de 31 de mayo, es suficiente el uso de esta firma electrónica en los términos previstos en el Reglamento 910/2014/UE, del Parlamento Europeo y del Consejo, de 23 de julio de 2014, relativo a la identificación electrónica y los servicios de confianza para las transacciones electrónicas en el mercado interior y por los cuales se deroga la Directiva 1999/93/CE.</w:t>
      </w:r>
    </w:p>
    <w:p w14:paraId="002A1937" w14:textId="77777777" w:rsidR="00250F76" w:rsidRPr="00EB3D94" w:rsidRDefault="00250F76" w:rsidP="00BC4866">
      <w:pPr>
        <w:jc w:val="both"/>
        <w:rPr>
          <w:rFonts w:cs="Arial"/>
          <w:i/>
          <w:lang w:val="es-ES"/>
        </w:rPr>
      </w:pPr>
    </w:p>
    <w:p w14:paraId="6A160721" w14:textId="77777777" w:rsidR="00250F76" w:rsidRPr="00EB3D94" w:rsidRDefault="00250F76" w:rsidP="00BC4866">
      <w:pPr>
        <w:jc w:val="both"/>
        <w:rPr>
          <w:rFonts w:cs="Arial"/>
          <w:lang w:val="es-ES"/>
        </w:rPr>
      </w:pPr>
      <w:r w:rsidRPr="00EB3D94">
        <w:rPr>
          <w:rFonts w:cs="Arial"/>
          <w:lang w:val="es-ES"/>
        </w:rPr>
        <w:t>La empresa o las empresas adjudicatarias podrán solicitar que el contrato se eleve a escritura pública, siendo a su cargo los gastos correspondientes.</w:t>
      </w:r>
    </w:p>
    <w:p w14:paraId="6A1C6703" w14:textId="77777777" w:rsidR="005213C6" w:rsidRPr="00EB3D94" w:rsidRDefault="005213C6" w:rsidP="00BC4866">
      <w:pPr>
        <w:jc w:val="both"/>
        <w:rPr>
          <w:rFonts w:cs="Arial"/>
          <w:lang w:val="es-ES"/>
        </w:rPr>
      </w:pPr>
    </w:p>
    <w:p w14:paraId="5EA8C723" w14:textId="77777777" w:rsidR="00250F76" w:rsidRPr="00EB3D94" w:rsidRDefault="00CC6097" w:rsidP="00BC4866">
      <w:pPr>
        <w:jc w:val="both"/>
        <w:rPr>
          <w:rFonts w:cs="Arial"/>
          <w:i/>
          <w:lang w:val="es-ES"/>
        </w:rPr>
      </w:pPr>
      <w:r w:rsidRPr="00EB3D94">
        <w:rPr>
          <w:rFonts w:cs="Arial"/>
          <w:b/>
          <w:lang w:val="es-ES"/>
        </w:rPr>
        <w:t>17</w:t>
      </w:r>
      <w:r w:rsidR="005213C6" w:rsidRPr="00EB3D94">
        <w:rPr>
          <w:rFonts w:cs="Arial"/>
          <w:b/>
          <w:lang w:val="es-ES"/>
        </w:rPr>
        <w:t>.2</w:t>
      </w:r>
      <w:r w:rsidR="005213C6" w:rsidRPr="00EB3D94">
        <w:rPr>
          <w:rFonts w:cs="Arial"/>
          <w:u w:val="single"/>
          <w:lang w:val="es-ES"/>
        </w:rPr>
        <w:t xml:space="preserve"> </w:t>
      </w:r>
      <w:r w:rsidR="00250F76" w:rsidRPr="00EB3D94">
        <w:rPr>
          <w:rFonts w:cs="Arial"/>
          <w:u w:val="single"/>
          <w:lang w:val="es-ES"/>
        </w:rPr>
        <w:t>Dado que este contrato es susceptible de recurso especial en materia de contratación, de acuerdo con lo que establece el artículo 44 de la LCSP</w:t>
      </w:r>
      <w:r w:rsidR="00250F76" w:rsidRPr="00EB3D94">
        <w:rPr>
          <w:rFonts w:cs="Arial"/>
          <w:i/>
          <w:u w:val="single"/>
          <w:lang w:val="es-ES"/>
        </w:rPr>
        <w:t>:</w:t>
      </w:r>
    </w:p>
    <w:p w14:paraId="0BEC7CE2" w14:textId="77777777" w:rsidR="00250F76" w:rsidRPr="00EB3D94" w:rsidRDefault="00250F76" w:rsidP="00BC4866">
      <w:pPr>
        <w:jc w:val="both"/>
        <w:rPr>
          <w:rFonts w:cs="Arial"/>
          <w:lang w:val="es-ES"/>
        </w:rPr>
      </w:pPr>
    </w:p>
    <w:p w14:paraId="0A7FA48D" w14:textId="77777777" w:rsidR="00250F76" w:rsidRPr="00EB3D94" w:rsidRDefault="00250F76" w:rsidP="00BC4866">
      <w:pPr>
        <w:jc w:val="both"/>
        <w:rPr>
          <w:rFonts w:cs="Arial"/>
          <w:lang w:val="es-ES"/>
        </w:rPr>
      </w:pPr>
      <w:r w:rsidRPr="00EB3D94">
        <w:rPr>
          <w:rFonts w:cs="Arial"/>
          <w:lang w:val="es-ES"/>
        </w:rPr>
        <w:t>La formalización del contrato se efectuará una vez transcurrida el plazo mínimo de quince días hábiles desde que se remita a las empresas a licitadoras la notificación de la adjudicación a que se refiere la cláusula anterior.</w:t>
      </w:r>
    </w:p>
    <w:p w14:paraId="5DD85C69" w14:textId="77777777" w:rsidR="00250F76" w:rsidRPr="00EB3D94" w:rsidRDefault="00250F76" w:rsidP="00BC4866">
      <w:pPr>
        <w:jc w:val="both"/>
        <w:rPr>
          <w:rFonts w:cs="Arial"/>
          <w:lang w:val="es-ES"/>
        </w:rPr>
      </w:pPr>
    </w:p>
    <w:p w14:paraId="505E01E8" w14:textId="6B8787CB" w:rsidR="00250F76" w:rsidRPr="00EB3D94" w:rsidRDefault="00250F76" w:rsidP="00BC4866">
      <w:pPr>
        <w:jc w:val="both"/>
        <w:rPr>
          <w:rFonts w:cs="Arial"/>
          <w:lang w:val="es-ES"/>
        </w:rPr>
      </w:pPr>
      <w:r w:rsidRPr="00EB3D94">
        <w:rPr>
          <w:rFonts w:cs="Arial"/>
          <w:lang w:val="es-ES"/>
        </w:rPr>
        <w:t xml:space="preserve">Los servicios dependientes del órgano de contratación requerirán a la empresa o las empresas adjudicatarias para las cuales formalicen el contrato en un plazo no superior a cinco días a contar del siguiente en aquel en qué haya recibido el requerimiento, una vez transcurrido el plazo previsto en el párrafo anterior sin que se haya interpuesto recurso especial en materia de contratación </w:t>
      </w:r>
      <w:r w:rsidR="00393C2D" w:rsidRPr="00EB3D94">
        <w:rPr>
          <w:rFonts w:cs="Arial"/>
          <w:lang w:val="es-ES"/>
        </w:rPr>
        <w:t>que lleve a</w:t>
      </w:r>
      <w:r w:rsidRPr="00EB3D94">
        <w:rPr>
          <w:rFonts w:cs="Arial"/>
          <w:lang w:val="es-ES"/>
        </w:rPr>
        <w:t>parejada la suspensión de la formalización o que el órgano competente para la resolución del recurso haya levantado la suspensión.</w:t>
      </w:r>
    </w:p>
    <w:p w14:paraId="417C1259" w14:textId="77777777" w:rsidR="00250F76" w:rsidRPr="00EB3D94" w:rsidRDefault="00250F76" w:rsidP="00BC4866">
      <w:pPr>
        <w:jc w:val="both"/>
        <w:rPr>
          <w:rFonts w:cs="Arial"/>
          <w:lang w:val="es-ES"/>
        </w:rPr>
      </w:pPr>
    </w:p>
    <w:p w14:paraId="4FD8BDD8" w14:textId="77777777" w:rsidR="00250F76" w:rsidRPr="00EB3D94" w:rsidRDefault="00250F76" w:rsidP="00BC4866">
      <w:pPr>
        <w:jc w:val="both"/>
        <w:rPr>
          <w:rFonts w:cs="Arial"/>
          <w:lang w:val="es-ES"/>
        </w:rPr>
      </w:pPr>
      <w:r w:rsidRPr="00EB3D94">
        <w:rPr>
          <w:rFonts w:cs="Arial"/>
          <w:lang w:val="es-ES"/>
        </w:rPr>
        <w:t xml:space="preserve">Si el contrato no se formaliza en el plazo indicado en el apartado anterior por causas imputables a la empresa adjudicataria, se le exigirá el importe del 3 por ciento del presupuesto base de licitación, IVA excluido, en concepto de penalidad, que se hará efectivo en primer lugar contra la garantía definitiva, si se ha constituido. Además, este hecho puede dar lugar a declarar a la empresa en prohibición contratar, de acuerdo con el artículo 71.2 </w:t>
      </w:r>
      <w:r w:rsidRPr="00EB3D94">
        <w:rPr>
          <w:rFonts w:cs="Arial"/>
          <w:i/>
          <w:lang w:val="es-ES"/>
        </w:rPr>
        <w:t xml:space="preserve">b </w:t>
      </w:r>
      <w:r w:rsidRPr="00EB3D94">
        <w:rPr>
          <w:rFonts w:cs="Arial"/>
          <w:lang w:val="es-ES"/>
        </w:rPr>
        <w:t>de la LCSP.</w:t>
      </w:r>
    </w:p>
    <w:p w14:paraId="48F7D552" w14:textId="77777777" w:rsidR="00250F76" w:rsidRPr="00EB3D94" w:rsidRDefault="00250F76" w:rsidP="00BC4866">
      <w:pPr>
        <w:jc w:val="both"/>
        <w:rPr>
          <w:rFonts w:cs="Arial"/>
          <w:i/>
          <w:lang w:val="es-ES"/>
        </w:rPr>
      </w:pPr>
    </w:p>
    <w:p w14:paraId="66BF7A10" w14:textId="068007DF" w:rsidR="00250F76" w:rsidRPr="00EB3D94" w:rsidRDefault="00250F76" w:rsidP="00BC4866">
      <w:pPr>
        <w:jc w:val="both"/>
        <w:rPr>
          <w:rFonts w:cs="Arial"/>
          <w:lang w:val="es-ES"/>
        </w:rPr>
      </w:pPr>
      <w:r w:rsidRPr="00EB3D94">
        <w:rPr>
          <w:rFonts w:cs="Arial"/>
          <w:lang w:val="es-ES"/>
        </w:rPr>
        <w:lastRenderedPageBreak/>
        <w:t xml:space="preserve">Si el contrato no se formaliza en el plazo indicado por causas imputables a la Administración, se </w:t>
      </w:r>
      <w:r w:rsidR="00E23614" w:rsidRPr="00EB3D94">
        <w:rPr>
          <w:rFonts w:cs="Arial"/>
          <w:lang w:val="es-ES"/>
        </w:rPr>
        <w:t>deberá</w:t>
      </w:r>
      <w:r w:rsidRPr="00EB3D94">
        <w:rPr>
          <w:rFonts w:cs="Arial"/>
          <w:lang w:val="es-ES"/>
        </w:rPr>
        <w:t xml:space="preserve"> indemnizar en la empresa adjudicataria por los daños y perjuicios que la demora le pueda ocasionar. </w:t>
      </w:r>
    </w:p>
    <w:p w14:paraId="5ABA9865" w14:textId="77777777" w:rsidR="00250F76" w:rsidRPr="00EB3D94" w:rsidRDefault="00250F76" w:rsidP="00BC4866">
      <w:pPr>
        <w:jc w:val="both"/>
        <w:rPr>
          <w:rFonts w:cs="Arial"/>
          <w:lang w:val="es-ES"/>
        </w:rPr>
      </w:pPr>
    </w:p>
    <w:p w14:paraId="437539B3" w14:textId="77777777" w:rsidR="00250F76" w:rsidRPr="00EB3D94" w:rsidRDefault="00250F76" w:rsidP="00BC4866">
      <w:pPr>
        <w:jc w:val="both"/>
        <w:rPr>
          <w:rFonts w:cs="Arial"/>
          <w:lang w:val="es-ES"/>
        </w:rPr>
      </w:pPr>
      <w:r w:rsidRPr="00EB3D94">
        <w:rPr>
          <w:rFonts w:cs="Arial"/>
          <w:lang w:val="es-ES"/>
        </w:rPr>
        <w:t xml:space="preserve">En el supuesto de que el contrato no se pueda formalizar con la empresa adjudicataria, se adjudicará a la empresa siguiente que haya presentado la mejor oferta de acuerdo con la orden en que hayan quedado clasificadas las ofertas, con la presentación previa de la documentación a que se refiere la </w:t>
      </w:r>
      <w:r w:rsidR="00B25F0F" w:rsidRPr="00EB3D94">
        <w:rPr>
          <w:rFonts w:cs="Arial"/>
          <w:lang w:val="es-ES"/>
        </w:rPr>
        <w:t>cláusula decimotercera, siendo</w:t>
      </w:r>
      <w:r w:rsidRPr="00EB3D94">
        <w:rPr>
          <w:rFonts w:cs="Arial"/>
          <w:lang w:val="es-ES"/>
        </w:rPr>
        <w:t xml:space="preserve"> aplicables los plazos previstos en los apartados anteriores.</w:t>
      </w:r>
    </w:p>
    <w:p w14:paraId="03336E29" w14:textId="77777777" w:rsidR="00250F76" w:rsidRPr="00EB3D94" w:rsidRDefault="00250F76" w:rsidP="00BC4866">
      <w:pPr>
        <w:jc w:val="both"/>
        <w:rPr>
          <w:rFonts w:cs="Arial"/>
          <w:b/>
          <w:lang w:val="es-ES"/>
        </w:rPr>
      </w:pPr>
    </w:p>
    <w:p w14:paraId="6715BE1C" w14:textId="5AA393D0" w:rsidR="00250F76" w:rsidRPr="00EB3D94" w:rsidRDefault="00CC6097" w:rsidP="00BC4866">
      <w:pPr>
        <w:jc w:val="both"/>
        <w:rPr>
          <w:rFonts w:cs="Arial"/>
          <w:lang w:val="es-ES"/>
        </w:rPr>
      </w:pPr>
      <w:r w:rsidRPr="00EB3D94">
        <w:rPr>
          <w:rFonts w:cs="Arial"/>
          <w:b/>
          <w:lang w:val="es-ES"/>
        </w:rPr>
        <w:t>17</w:t>
      </w:r>
      <w:r w:rsidR="005213C6" w:rsidRPr="00EB3D94">
        <w:rPr>
          <w:rFonts w:cs="Arial"/>
          <w:b/>
          <w:lang w:val="es-ES"/>
        </w:rPr>
        <w:t>.3</w:t>
      </w:r>
      <w:r w:rsidR="00250F76" w:rsidRPr="00EB3D94">
        <w:rPr>
          <w:rFonts w:cs="Arial"/>
          <w:b/>
          <w:lang w:val="es-ES"/>
        </w:rPr>
        <w:t xml:space="preserve"> </w:t>
      </w:r>
      <w:r w:rsidR="00250F76" w:rsidRPr="00EB3D94">
        <w:rPr>
          <w:rFonts w:cs="Arial"/>
          <w:lang w:val="es-ES"/>
        </w:rPr>
        <w:t xml:space="preserve">Las empresas que hayan concurrido con el compromiso de constituirse en UTE </w:t>
      </w:r>
      <w:r w:rsidR="00A25938" w:rsidRPr="00EB3D94">
        <w:rPr>
          <w:rFonts w:cs="Arial"/>
          <w:lang w:val="es-ES"/>
        </w:rPr>
        <w:t xml:space="preserve">deberán </w:t>
      </w:r>
      <w:r w:rsidR="00250F76" w:rsidRPr="00EB3D94">
        <w:rPr>
          <w:rFonts w:cs="Arial"/>
          <w:lang w:val="es-ES"/>
        </w:rPr>
        <w:t>presentar, una vez se haya efectuado la adjudicación del contrato a su favor, la escritura pública de constitución de la unión temporal (UTE) en la cual conste el nombramiento de la persona representante o de la persona apoderada única de la unión con poderes suficientes para ejercer los derechos y cumplir las obligaciones que se deriven del contrato hasta su extinción.</w:t>
      </w:r>
    </w:p>
    <w:p w14:paraId="482B2040" w14:textId="77777777" w:rsidR="00250F76" w:rsidRPr="00EB3D94" w:rsidRDefault="00250F76" w:rsidP="00BC4866">
      <w:pPr>
        <w:jc w:val="both"/>
        <w:rPr>
          <w:rFonts w:cs="Arial"/>
          <w:lang w:val="es-ES"/>
        </w:rPr>
      </w:pPr>
    </w:p>
    <w:p w14:paraId="39810D32" w14:textId="77777777" w:rsidR="00250F76" w:rsidRPr="00EB3D94" w:rsidRDefault="00250F76" w:rsidP="00BC4866">
      <w:pPr>
        <w:jc w:val="both"/>
        <w:rPr>
          <w:rFonts w:cs="Arial"/>
          <w:lang w:val="es-ES"/>
        </w:rPr>
      </w:pPr>
      <w:r w:rsidRPr="00EB3D94">
        <w:rPr>
          <w:rFonts w:cs="Arial"/>
          <w:b/>
          <w:lang w:val="es-ES"/>
        </w:rPr>
        <w:t>1</w:t>
      </w:r>
      <w:r w:rsidR="00CC6097" w:rsidRPr="00EB3D94">
        <w:rPr>
          <w:rFonts w:cs="Arial"/>
          <w:b/>
          <w:lang w:val="es-ES"/>
        </w:rPr>
        <w:t>7</w:t>
      </w:r>
      <w:r w:rsidR="005213C6" w:rsidRPr="00EB3D94">
        <w:rPr>
          <w:rFonts w:cs="Arial"/>
          <w:b/>
          <w:lang w:val="es-ES"/>
        </w:rPr>
        <w:t>.4</w:t>
      </w:r>
      <w:r w:rsidRPr="00EB3D94">
        <w:rPr>
          <w:rFonts w:cs="Arial"/>
          <w:lang w:val="es-ES"/>
        </w:rPr>
        <w:t xml:space="preserve"> El contenido del contrato será el que establecen los artículos 35 de la LCSP y 71 del RGLCAP y no incluirá ninguna cláusula que implique alteración de los términos de la adjudicación.</w:t>
      </w:r>
    </w:p>
    <w:p w14:paraId="26E3F7C1" w14:textId="77777777" w:rsidR="00250F76" w:rsidRPr="00EB3D94" w:rsidRDefault="00250F76" w:rsidP="00BC4866">
      <w:pPr>
        <w:jc w:val="both"/>
        <w:rPr>
          <w:rFonts w:cs="Arial"/>
          <w:b/>
          <w:lang w:val="es-ES"/>
        </w:rPr>
      </w:pPr>
    </w:p>
    <w:p w14:paraId="12A4709F" w14:textId="77777777" w:rsidR="00250F76" w:rsidRPr="00EB3D94" w:rsidRDefault="00CC6097" w:rsidP="00BC4866">
      <w:pPr>
        <w:jc w:val="both"/>
        <w:rPr>
          <w:rFonts w:cs="Arial"/>
          <w:lang w:val="es-ES"/>
        </w:rPr>
      </w:pPr>
      <w:r w:rsidRPr="00EB3D94">
        <w:rPr>
          <w:rFonts w:cs="Arial"/>
          <w:b/>
          <w:lang w:val="es-ES"/>
        </w:rPr>
        <w:t>17</w:t>
      </w:r>
      <w:r w:rsidR="005213C6" w:rsidRPr="00EB3D94">
        <w:rPr>
          <w:rFonts w:cs="Arial"/>
          <w:b/>
          <w:lang w:val="es-ES"/>
        </w:rPr>
        <w:t>.5</w:t>
      </w:r>
      <w:r w:rsidR="00250F76" w:rsidRPr="00EB3D94">
        <w:rPr>
          <w:rFonts w:cs="Arial"/>
          <w:b/>
          <w:lang w:val="es-ES"/>
        </w:rPr>
        <w:t xml:space="preserve"> </w:t>
      </w:r>
      <w:r w:rsidR="00250F76" w:rsidRPr="00EB3D94">
        <w:rPr>
          <w:rFonts w:cs="Arial"/>
          <w:lang w:val="es-ES"/>
        </w:rPr>
        <w:t xml:space="preserve">El contrato se perfeccionará con su formalización y esta será </w:t>
      </w:r>
      <w:proofErr w:type="gramStart"/>
      <w:r w:rsidR="00250F76" w:rsidRPr="00EB3D94">
        <w:rPr>
          <w:rFonts w:cs="Arial"/>
          <w:lang w:val="es-ES"/>
        </w:rPr>
        <w:t>requisito imprescindible</w:t>
      </w:r>
      <w:proofErr w:type="gramEnd"/>
      <w:r w:rsidR="00250F76" w:rsidRPr="00EB3D94">
        <w:rPr>
          <w:rFonts w:cs="Arial"/>
          <w:lang w:val="es-ES"/>
        </w:rPr>
        <w:t xml:space="preserve"> para poder iniciar la ejecución.</w:t>
      </w:r>
    </w:p>
    <w:p w14:paraId="49813E81" w14:textId="77777777" w:rsidR="00250F76" w:rsidRPr="00EB3D94" w:rsidRDefault="00250F76" w:rsidP="00BC4866">
      <w:pPr>
        <w:jc w:val="both"/>
        <w:rPr>
          <w:rFonts w:cs="Arial"/>
          <w:b/>
          <w:snapToGrid w:val="0"/>
          <w:lang w:val="es-ES"/>
        </w:rPr>
      </w:pPr>
    </w:p>
    <w:p w14:paraId="7E47C449" w14:textId="77777777" w:rsidR="00250F76" w:rsidRPr="00EB3D94" w:rsidRDefault="00CC6097" w:rsidP="00BC4866">
      <w:pPr>
        <w:jc w:val="both"/>
        <w:rPr>
          <w:rFonts w:cs="Arial"/>
          <w:snapToGrid w:val="0"/>
          <w:lang w:val="es-ES"/>
        </w:rPr>
      </w:pPr>
      <w:r w:rsidRPr="00EB3D94">
        <w:rPr>
          <w:rFonts w:cs="Arial"/>
          <w:b/>
          <w:snapToGrid w:val="0"/>
          <w:lang w:val="es-ES"/>
        </w:rPr>
        <w:t>17</w:t>
      </w:r>
      <w:r w:rsidR="005213C6" w:rsidRPr="00EB3D94">
        <w:rPr>
          <w:rFonts w:cs="Arial"/>
          <w:b/>
          <w:snapToGrid w:val="0"/>
          <w:lang w:val="es-ES"/>
        </w:rPr>
        <w:t>.6</w:t>
      </w:r>
      <w:r w:rsidR="00250F76" w:rsidRPr="00EB3D94">
        <w:rPr>
          <w:rFonts w:cs="Arial"/>
          <w:b/>
          <w:snapToGrid w:val="0"/>
          <w:lang w:val="es-ES"/>
        </w:rPr>
        <w:t xml:space="preserve"> </w:t>
      </w:r>
      <w:r w:rsidR="00250F76" w:rsidRPr="00EB3D94">
        <w:rPr>
          <w:rFonts w:cs="Arial"/>
          <w:snapToGrid w:val="0"/>
          <w:lang w:val="es-ES"/>
        </w:rPr>
        <w:t>La formalización de este contrato, junto con el contrato,</w:t>
      </w:r>
      <w:r w:rsidR="00663225" w:rsidRPr="00EB3D94">
        <w:rPr>
          <w:rFonts w:cs="Arial"/>
          <w:snapToGrid w:val="0"/>
          <w:lang w:val="es-ES"/>
        </w:rPr>
        <w:t xml:space="preserve"> </w:t>
      </w:r>
      <w:r w:rsidR="00250F76" w:rsidRPr="00EB3D94">
        <w:rPr>
          <w:rFonts w:cs="Arial"/>
          <w:snapToGrid w:val="0"/>
          <w:lang w:val="es-ES"/>
        </w:rPr>
        <w:t>se publicará en un plazo no superior a quince días después de su perfeccionamiento en el perfil de contratante.</w:t>
      </w:r>
    </w:p>
    <w:p w14:paraId="2242142A" w14:textId="77777777" w:rsidR="00250F76" w:rsidRPr="00EB3D94" w:rsidRDefault="00250F76" w:rsidP="00BC4866">
      <w:pPr>
        <w:tabs>
          <w:tab w:val="left" w:pos="0"/>
          <w:tab w:val="left" w:pos="680"/>
          <w:tab w:val="left" w:pos="1134"/>
          <w:tab w:val="left" w:pos="5040"/>
        </w:tabs>
        <w:jc w:val="both"/>
        <w:rPr>
          <w:rFonts w:cs="Arial"/>
          <w:lang w:val="es-ES"/>
        </w:rPr>
      </w:pPr>
    </w:p>
    <w:p w14:paraId="5C0C5B9C" w14:textId="77777777" w:rsidR="00250F76" w:rsidRPr="00EB3D94" w:rsidRDefault="00250F76" w:rsidP="00BC4866">
      <w:pPr>
        <w:tabs>
          <w:tab w:val="left" w:pos="0"/>
          <w:tab w:val="left" w:pos="680"/>
          <w:tab w:val="left" w:pos="1134"/>
          <w:tab w:val="left" w:pos="5040"/>
        </w:tabs>
        <w:jc w:val="both"/>
        <w:rPr>
          <w:rFonts w:cs="Arial"/>
          <w:lang w:val="es-ES"/>
        </w:rPr>
      </w:pPr>
      <w:r w:rsidRPr="00EB3D94">
        <w:rPr>
          <w:rFonts w:cs="Arial"/>
          <w:lang w:val="es-ES"/>
        </w:rPr>
        <w:t>Si el contrato está sujeto a regulación armonizada, el anuncio de formalización se publicará, además, en el Diario Oficial de la Unión Europea.</w:t>
      </w:r>
    </w:p>
    <w:p w14:paraId="61234D08" w14:textId="77777777" w:rsidR="00250F76" w:rsidRPr="00EB3D94" w:rsidRDefault="00250F76" w:rsidP="00BC4866">
      <w:pPr>
        <w:tabs>
          <w:tab w:val="left" w:pos="0"/>
          <w:tab w:val="left" w:pos="680"/>
          <w:tab w:val="left" w:pos="1134"/>
          <w:tab w:val="left" w:pos="5040"/>
        </w:tabs>
        <w:jc w:val="both"/>
        <w:rPr>
          <w:rFonts w:cs="Arial"/>
          <w:i/>
          <w:lang w:val="es-ES"/>
        </w:rPr>
      </w:pPr>
    </w:p>
    <w:p w14:paraId="224F122F" w14:textId="77777777" w:rsidR="00250F76" w:rsidRPr="00EB3D94" w:rsidRDefault="00CC6097" w:rsidP="00BC4866">
      <w:pPr>
        <w:autoSpaceDE w:val="0"/>
        <w:autoSpaceDN w:val="0"/>
        <w:adjustRightInd w:val="0"/>
        <w:jc w:val="both"/>
        <w:rPr>
          <w:rFonts w:cs="Arial"/>
          <w:lang w:val="es-ES"/>
        </w:rPr>
      </w:pPr>
      <w:r w:rsidRPr="00EB3D94">
        <w:rPr>
          <w:rFonts w:cs="Arial"/>
          <w:b/>
          <w:lang w:val="es-ES"/>
        </w:rPr>
        <w:t>17</w:t>
      </w:r>
      <w:r w:rsidR="005213C6" w:rsidRPr="00EB3D94">
        <w:rPr>
          <w:rFonts w:cs="Arial"/>
          <w:b/>
          <w:lang w:val="es-ES"/>
        </w:rPr>
        <w:t>.7</w:t>
      </w:r>
      <w:r w:rsidR="00250F76" w:rsidRPr="00EB3D94">
        <w:rPr>
          <w:rFonts w:cs="Arial"/>
          <w:b/>
          <w:lang w:val="es-ES"/>
        </w:rPr>
        <w:t xml:space="preserve"> </w:t>
      </w:r>
      <w:r w:rsidR="00250F76" w:rsidRPr="00EB3D94">
        <w:rPr>
          <w:rFonts w:cs="Arial"/>
          <w:lang w:val="es-ES"/>
        </w:rPr>
        <w:t>Una vez formalizado el contrato, se comunicará al Registro Público de Contratos de la Generalitat de Catalunya, para su inscripción, los datos básicos, entre los cuales figurarán la identidad de la empresa adjudicataria, el importe de adjudicación del contrato, junto con el desglose correspondiente del IVA; y posteriormente, si ocurre, las modificaciones, las prórrogas, las variaciones de plazos o de precios, el importe final y la extinción del contrato.</w:t>
      </w:r>
    </w:p>
    <w:p w14:paraId="4E796C97" w14:textId="77777777" w:rsidR="00250F76" w:rsidRPr="00EB3D94" w:rsidRDefault="00250F76" w:rsidP="00BC4866">
      <w:pPr>
        <w:autoSpaceDE w:val="0"/>
        <w:autoSpaceDN w:val="0"/>
        <w:adjustRightInd w:val="0"/>
        <w:jc w:val="both"/>
        <w:rPr>
          <w:rFonts w:cs="Arial"/>
          <w:lang w:val="es-ES"/>
        </w:rPr>
      </w:pPr>
    </w:p>
    <w:p w14:paraId="2347BCB1" w14:textId="77777777" w:rsidR="00250F76" w:rsidRPr="00EB3D94" w:rsidRDefault="00250F76" w:rsidP="00BC4866">
      <w:pPr>
        <w:autoSpaceDE w:val="0"/>
        <w:autoSpaceDN w:val="0"/>
        <w:adjustRightInd w:val="0"/>
        <w:jc w:val="both"/>
        <w:rPr>
          <w:rFonts w:cs="Arial"/>
          <w:lang w:val="es-ES"/>
        </w:rPr>
      </w:pPr>
      <w:r w:rsidRPr="00EB3D94">
        <w:rPr>
          <w:rFonts w:cs="Arial"/>
          <w:lang w:val="es-ES"/>
        </w:rPr>
        <w:t xml:space="preserve">Los datos contractuales comunicados al registro público de contratos serán de acceso público, con las limitaciones que imponen las normas sobre protección de datos, siempre que no tengan carácter de confidenciales. </w:t>
      </w:r>
    </w:p>
    <w:p w14:paraId="121E91FE" w14:textId="77777777" w:rsidR="00A95367" w:rsidRPr="00EB3D94" w:rsidRDefault="00A95367" w:rsidP="00BC4866">
      <w:pPr>
        <w:rPr>
          <w:lang w:val="es-ES"/>
        </w:rPr>
      </w:pPr>
    </w:p>
    <w:p w14:paraId="39D37FE3" w14:textId="77777777" w:rsidR="00250F76" w:rsidRPr="00EB3D94" w:rsidRDefault="00250F76" w:rsidP="00BC4866">
      <w:pPr>
        <w:pStyle w:val="Ttol1"/>
        <w:rPr>
          <w:rFonts w:cs="Arial"/>
          <w:sz w:val="22"/>
          <w:szCs w:val="22"/>
          <w:lang w:val="es-ES"/>
        </w:rPr>
      </w:pPr>
      <w:bookmarkStart w:id="3" w:name="_Toc512237529"/>
      <w:r w:rsidRPr="00EB3D94">
        <w:rPr>
          <w:rFonts w:cs="Arial"/>
          <w:sz w:val="22"/>
          <w:szCs w:val="22"/>
          <w:lang w:val="es-ES"/>
        </w:rPr>
        <w:t>III. DISPOSICIONES RELATIVAS A LA EJECUCIÓN DEL CONTRATO</w:t>
      </w:r>
      <w:bookmarkEnd w:id="3"/>
      <w:r w:rsidRPr="00EB3D94">
        <w:rPr>
          <w:rFonts w:cs="Arial"/>
          <w:sz w:val="22"/>
          <w:szCs w:val="22"/>
          <w:lang w:val="es-ES"/>
        </w:rPr>
        <w:t xml:space="preserve"> </w:t>
      </w:r>
    </w:p>
    <w:p w14:paraId="01DDED4D" w14:textId="77777777" w:rsidR="00250F76" w:rsidRPr="00EB3D94" w:rsidRDefault="00250F76" w:rsidP="00BC4866">
      <w:pPr>
        <w:jc w:val="both"/>
        <w:rPr>
          <w:rFonts w:cs="Arial"/>
          <w:b/>
          <w:lang w:val="es-ES"/>
        </w:rPr>
      </w:pPr>
    </w:p>
    <w:p w14:paraId="39E5618A" w14:textId="77777777" w:rsidR="00250F76" w:rsidRPr="00EB3D94" w:rsidRDefault="00CC6097" w:rsidP="00BC4866">
      <w:pPr>
        <w:pStyle w:val="Ttol2"/>
        <w:spacing w:before="0" w:after="0"/>
        <w:jc w:val="both"/>
        <w:rPr>
          <w:rFonts w:ascii="Arial" w:hAnsi="Arial" w:cs="Arial"/>
          <w:i w:val="0"/>
          <w:sz w:val="22"/>
          <w:szCs w:val="22"/>
          <w:lang w:val="es-ES"/>
        </w:rPr>
      </w:pPr>
      <w:bookmarkStart w:id="4" w:name="_Toc512237530"/>
      <w:r w:rsidRPr="00EB3D94">
        <w:rPr>
          <w:rFonts w:ascii="Arial" w:hAnsi="Arial" w:cs="Arial"/>
          <w:i w:val="0"/>
          <w:sz w:val="22"/>
          <w:szCs w:val="22"/>
          <w:lang w:val="es-ES"/>
        </w:rPr>
        <w:t>Decimoc</w:t>
      </w:r>
      <w:r w:rsidR="00250F76" w:rsidRPr="00EB3D94">
        <w:rPr>
          <w:rFonts w:ascii="Arial" w:hAnsi="Arial" w:cs="Arial"/>
          <w:i w:val="0"/>
          <w:sz w:val="22"/>
          <w:szCs w:val="22"/>
          <w:lang w:val="es-ES"/>
        </w:rPr>
        <w:t xml:space="preserve">tava. </w:t>
      </w:r>
      <w:r w:rsidR="00250F76" w:rsidRPr="00EB3D94">
        <w:rPr>
          <w:rFonts w:ascii="Arial" w:hAnsi="Arial" w:cs="Arial"/>
          <w:i w:val="0"/>
          <w:sz w:val="22"/>
          <w:szCs w:val="22"/>
          <w:u w:val="single"/>
          <w:lang w:val="es-ES"/>
        </w:rPr>
        <w:t>Condiciones especiales de ejecución</w:t>
      </w:r>
      <w:bookmarkEnd w:id="4"/>
    </w:p>
    <w:p w14:paraId="2FDBB850" w14:textId="77777777" w:rsidR="00250F76" w:rsidRPr="00EB3D94" w:rsidRDefault="00250F76" w:rsidP="00BC4866">
      <w:pPr>
        <w:pStyle w:val="Default"/>
        <w:rPr>
          <w:color w:val="auto"/>
          <w:lang w:val="es-ES"/>
        </w:rPr>
      </w:pPr>
    </w:p>
    <w:p w14:paraId="1B3AA2FE" w14:textId="77777777" w:rsidR="00584F6E" w:rsidRPr="00EB3D94" w:rsidRDefault="00584F6E" w:rsidP="00BC4866">
      <w:pPr>
        <w:jc w:val="both"/>
        <w:rPr>
          <w:rFonts w:cs="Arial"/>
          <w:lang w:val="es-ES"/>
        </w:rPr>
      </w:pPr>
      <w:r w:rsidRPr="00EB3D94">
        <w:rPr>
          <w:rFonts w:cs="Arial"/>
          <w:lang w:val="es-ES"/>
        </w:rPr>
        <w:t>En aplicación del establecido en el artículo 202.2 de la LCSP las empresas tienen las siguientes condiciones especiales de ejecución:</w:t>
      </w:r>
    </w:p>
    <w:p w14:paraId="338B9A27" w14:textId="77777777" w:rsidR="00584F6E" w:rsidRPr="00EB3D94" w:rsidRDefault="00584F6E" w:rsidP="00BC4866">
      <w:pPr>
        <w:jc w:val="both"/>
        <w:rPr>
          <w:rFonts w:cs="Arial"/>
          <w:lang w:val="es-ES"/>
        </w:rPr>
      </w:pPr>
    </w:p>
    <w:p w14:paraId="0DA5A6A2" w14:textId="77777777" w:rsidR="00584F6E" w:rsidRPr="00EB3D94" w:rsidRDefault="00584F6E" w:rsidP="00BC4866">
      <w:pPr>
        <w:pStyle w:val="Pargrafdellista"/>
        <w:numPr>
          <w:ilvl w:val="0"/>
          <w:numId w:val="30"/>
        </w:numPr>
        <w:contextualSpacing/>
        <w:jc w:val="both"/>
        <w:rPr>
          <w:rFonts w:cs="Arial"/>
          <w:szCs w:val="22"/>
          <w:lang w:val="es-ES"/>
        </w:rPr>
      </w:pPr>
      <w:r w:rsidRPr="00EB3D94">
        <w:rPr>
          <w:rFonts w:cs="Arial"/>
          <w:szCs w:val="22"/>
          <w:lang w:val="es-ES"/>
        </w:rPr>
        <w:t>Cumplir las disposiciones vigentes en materia de integración social de personas con discapacidad, y en materia fiscal y medioambiental.</w:t>
      </w:r>
    </w:p>
    <w:p w14:paraId="26F64DE0" w14:textId="77777777" w:rsidR="00584F6E" w:rsidRPr="00EB3D94" w:rsidRDefault="00584F6E" w:rsidP="00BC4866">
      <w:pPr>
        <w:pStyle w:val="Pargrafdellista"/>
        <w:ind w:left="360"/>
        <w:jc w:val="both"/>
        <w:rPr>
          <w:rFonts w:cs="Arial"/>
          <w:szCs w:val="22"/>
          <w:lang w:val="es-ES"/>
        </w:rPr>
      </w:pPr>
    </w:p>
    <w:p w14:paraId="5216469E" w14:textId="60757849" w:rsidR="00584F6E" w:rsidRPr="00EB3D94" w:rsidRDefault="00584F6E" w:rsidP="00BC4866">
      <w:pPr>
        <w:pStyle w:val="Pargrafdellista"/>
        <w:numPr>
          <w:ilvl w:val="0"/>
          <w:numId w:val="30"/>
        </w:numPr>
        <w:contextualSpacing/>
        <w:jc w:val="both"/>
        <w:rPr>
          <w:rFonts w:cs="Arial"/>
          <w:szCs w:val="22"/>
          <w:lang w:val="es-ES"/>
        </w:rPr>
      </w:pPr>
      <w:r w:rsidRPr="00EB3D94">
        <w:rPr>
          <w:rFonts w:cs="Arial"/>
          <w:szCs w:val="22"/>
          <w:lang w:val="es-ES"/>
        </w:rPr>
        <w:t xml:space="preserve">Aplicar, al ejecutar las prestaciones propias del servicio, las medidas destinadas a promover la igualdad entre hombres y mujeres en el </w:t>
      </w:r>
      <w:r w:rsidR="00393C2D" w:rsidRPr="00EB3D94">
        <w:rPr>
          <w:rFonts w:cs="Arial"/>
          <w:szCs w:val="22"/>
          <w:lang w:val="es-ES"/>
        </w:rPr>
        <w:t>acceso al empleo</w:t>
      </w:r>
      <w:r w:rsidRPr="00EB3D94">
        <w:rPr>
          <w:rFonts w:cs="Arial"/>
          <w:vanish/>
          <w:szCs w:val="22"/>
          <w:lang w:val="es-ES"/>
        </w:rPr>
        <w:t>&lt;A[empleo|ocupación]&gt;</w:t>
      </w:r>
      <w:r w:rsidRPr="00EB3D94">
        <w:rPr>
          <w:rFonts w:cs="Arial"/>
          <w:szCs w:val="22"/>
          <w:lang w:val="es-ES"/>
        </w:rPr>
        <w:t xml:space="preserve">, en la clasificación profesional, en el desarrollo de la carrera profesional y en la estructura retributiva. </w:t>
      </w:r>
      <w:r w:rsidRPr="00EB3D94">
        <w:rPr>
          <w:rFonts w:cs="Arial"/>
          <w:szCs w:val="22"/>
          <w:lang w:val="es-ES"/>
        </w:rPr>
        <w:lastRenderedPageBreak/>
        <w:t xml:space="preserve">Sin </w:t>
      </w:r>
      <w:proofErr w:type="gramStart"/>
      <w:r w:rsidRPr="00EB3D94">
        <w:rPr>
          <w:rFonts w:cs="Arial"/>
          <w:szCs w:val="22"/>
          <w:lang w:val="es-ES"/>
        </w:rPr>
        <w:t>embargo</w:t>
      </w:r>
      <w:proofErr w:type="gramEnd"/>
      <w:r w:rsidRPr="00EB3D94">
        <w:rPr>
          <w:rFonts w:cs="Arial"/>
          <w:szCs w:val="22"/>
          <w:lang w:val="es-ES"/>
        </w:rPr>
        <w:t xml:space="preserve"> se </w:t>
      </w:r>
      <w:r w:rsidR="00982820" w:rsidRPr="00EB3D94">
        <w:rPr>
          <w:rFonts w:cs="Arial"/>
          <w:szCs w:val="22"/>
          <w:lang w:val="es-ES"/>
        </w:rPr>
        <w:t xml:space="preserve">debe </w:t>
      </w:r>
      <w:r w:rsidRPr="00EB3D94">
        <w:rPr>
          <w:rFonts w:cs="Arial"/>
          <w:szCs w:val="22"/>
          <w:lang w:val="es-ES"/>
        </w:rPr>
        <w:t xml:space="preserve">garantizar que las mujeres no son la parte de la plantilla con más índice de contratación temporal. </w:t>
      </w:r>
    </w:p>
    <w:p w14:paraId="3B9FF6BD" w14:textId="77777777" w:rsidR="00584F6E" w:rsidRPr="00EB3D94" w:rsidRDefault="00584F6E" w:rsidP="00BC4866">
      <w:pPr>
        <w:pStyle w:val="Pargrafdellista"/>
        <w:rPr>
          <w:rFonts w:cs="Arial"/>
          <w:szCs w:val="22"/>
          <w:lang w:val="es-ES"/>
        </w:rPr>
      </w:pPr>
    </w:p>
    <w:p w14:paraId="02C97440" w14:textId="77777777" w:rsidR="00584F6E" w:rsidRPr="00EB3D94" w:rsidRDefault="00584F6E" w:rsidP="00BC4866">
      <w:pPr>
        <w:pStyle w:val="Pargrafdellista"/>
        <w:numPr>
          <w:ilvl w:val="0"/>
          <w:numId w:val="30"/>
        </w:numPr>
        <w:contextualSpacing/>
        <w:jc w:val="both"/>
        <w:rPr>
          <w:rFonts w:cs="Arial"/>
          <w:szCs w:val="22"/>
          <w:lang w:val="es-ES"/>
        </w:rPr>
      </w:pPr>
      <w:r w:rsidRPr="00EB3D94">
        <w:rPr>
          <w:rFonts w:cs="Arial"/>
          <w:szCs w:val="22"/>
          <w:lang w:val="es-ES"/>
        </w:rPr>
        <w:t>Evitar la utilización de lenguaje sexista en ninguna documentación escrita ni visual relacionada con el contrato.</w:t>
      </w:r>
    </w:p>
    <w:p w14:paraId="057D6896" w14:textId="77777777" w:rsidR="00584F6E" w:rsidRPr="00EB3D94" w:rsidRDefault="00584F6E" w:rsidP="00BC4866">
      <w:pPr>
        <w:pStyle w:val="Pargrafdellista"/>
        <w:rPr>
          <w:rFonts w:cs="Arial"/>
          <w:szCs w:val="22"/>
          <w:lang w:val="es-ES"/>
        </w:rPr>
      </w:pPr>
    </w:p>
    <w:p w14:paraId="3721F1DA" w14:textId="3A747D41" w:rsidR="00584F6E" w:rsidRPr="00EB3D94" w:rsidRDefault="00584F6E" w:rsidP="00BC4866">
      <w:pPr>
        <w:pStyle w:val="Pargrafdellista"/>
        <w:numPr>
          <w:ilvl w:val="0"/>
          <w:numId w:val="30"/>
        </w:numPr>
        <w:contextualSpacing/>
        <w:jc w:val="both"/>
        <w:rPr>
          <w:rFonts w:cs="Arial"/>
          <w:szCs w:val="22"/>
          <w:lang w:val="es-ES"/>
        </w:rPr>
      </w:pPr>
      <w:r w:rsidRPr="00EB3D94">
        <w:rPr>
          <w:rFonts w:cs="Arial"/>
          <w:szCs w:val="22"/>
          <w:lang w:val="es-ES"/>
        </w:rPr>
        <w:t xml:space="preserve">En la elaboración y presentación del objeto del contrato </w:t>
      </w:r>
      <w:r w:rsidR="00982820" w:rsidRPr="00EB3D94">
        <w:rPr>
          <w:rFonts w:cs="Arial"/>
          <w:szCs w:val="22"/>
          <w:lang w:val="es-ES"/>
        </w:rPr>
        <w:t xml:space="preserve">debe </w:t>
      </w:r>
      <w:r w:rsidRPr="00EB3D94">
        <w:rPr>
          <w:rFonts w:cs="Arial"/>
          <w:szCs w:val="22"/>
          <w:lang w:val="es-ES"/>
        </w:rPr>
        <w:t>Incorporar la perspectiva de género y evitar los elementos de discriminación sexista del uso de lenguaje y de la imagen.</w:t>
      </w:r>
    </w:p>
    <w:p w14:paraId="2C47FAE0" w14:textId="77777777" w:rsidR="00584F6E" w:rsidRPr="00EB3D94" w:rsidRDefault="00584F6E" w:rsidP="00BC4866">
      <w:pPr>
        <w:pStyle w:val="Pargrafdellista"/>
        <w:rPr>
          <w:rFonts w:cs="Arial"/>
          <w:szCs w:val="22"/>
          <w:lang w:val="es-ES"/>
        </w:rPr>
      </w:pPr>
    </w:p>
    <w:p w14:paraId="607020E4" w14:textId="77777777" w:rsidR="00584F6E" w:rsidRPr="00EB3D94" w:rsidRDefault="00584F6E" w:rsidP="00BC4866">
      <w:pPr>
        <w:pStyle w:val="Pargrafdellista"/>
        <w:numPr>
          <w:ilvl w:val="0"/>
          <w:numId w:val="30"/>
        </w:numPr>
        <w:contextualSpacing/>
        <w:jc w:val="both"/>
        <w:rPr>
          <w:rFonts w:cs="Arial"/>
          <w:szCs w:val="22"/>
          <w:lang w:val="es-ES"/>
        </w:rPr>
      </w:pPr>
      <w:r w:rsidRPr="00EB3D94">
        <w:rPr>
          <w:rFonts w:cs="Arial"/>
          <w:szCs w:val="22"/>
          <w:lang w:val="es-ES"/>
        </w:rPr>
        <w:t xml:space="preserve">Aportar medidas para prevenir, controlar y erradicar el acoso sexual, así como el acoso </w:t>
      </w:r>
      <w:proofErr w:type="gramStart"/>
      <w:r w:rsidRPr="00EB3D94">
        <w:rPr>
          <w:rFonts w:cs="Arial"/>
          <w:szCs w:val="22"/>
          <w:lang w:val="es-ES"/>
        </w:rPr>
        <w:t>en razón de</w:t>
      </w:r>
      <w:proofErr w:type="gramEnd"/>
      <w:r w:rsidRPr="00EB3D94">
        <w:rPr>
          <w:rFonts w:cs="Arial"/>
          <w:szCs w:val="22"/>
          <w:lang w:val="es-ES"/>
        </w:rPr>
        <w:t xml:space="preserve"> sexo.</w:t>
      </w:r>
    </w:p>
    <w:p w14:paraId="48AAA98A" w14:textId="77777777" w:rsidR="00584F6E" w:rsidRPr="00EB3D94" w:rsidRDefault="00584F6E" w:rsidP="00BC4866">
      <w:pPr>
        <w:pStyle w:val="Pargrafdellista"/>
        <w:rPr>
          <w:rFonts w:cs="Arial"/>
          <w:szCs w:val="22"/>
          <w:lang w:val="es-ES"/>
        </w:rPr>
      </w:pPr>
    </w:p>
    <w:p w14:paraId="5636DD63" w14:textId="705CAFD6" w:rsidR="00584F6E" w:rsidRPr="00EB3D94" w:rsidRDefault="00584F6E" w:rsidP="00BC4866">
      <w:pPr>
        <w:pStyle w:val="Pargrafdellista"/>
        <w:numPr>
          <w:ilvl w:val="0"/>
          <w:numId w:val="30"/>
        </w:numPr>
        <w:contextualSpacing/>
        <w:jc w:val="both"/>
        <w:rPr>
          <w:rFonts w:cs="Arial"/>
          <w:szCs w:val="22"/>
          <w:lang w:val="es-ES"/>
        </w:rPr>
      </w:pPr>
      <w:r w:rsidRPr="00EB3D94">
        <w:rPr>
          <w:rFonts w:cs="Arial"/>
          <w:szCs w:val="22"/>
          <w:lang w:val="es-ES"/>
        </w:rPr>
        <w:t xml:space="preserve">Los medios de comunicación, el diseño de los elementos instrumentales y la implantación de los trámites procedimentales utilizados por la empresa contratista en la ejecución del contrato, </w:t>
      </w:r>
      <w:r w:rsidR="00A25938" w:rsidRPr="00EB3D94">
        <w:rPr>
          <w:rFonts w:cs="Arial"/>
          <w:szCs w:val="22"/>
          <w:lang w:val="es-ES"/>
        </w:rPr>
        <w:t xml:space="preserve">deben </w:t>
      </w:r>
      <w:r w:rsidRPr="00EB3D94">
        <w:rPr>
          <w:rFonts w:cs="Arial"/>
          <w:szCs w:val="22"/>
          <w:lang w:val="es-ES"/>
        </w:rPr>
        <w:t>realizarse teniendo en cuenta criterios de accesibilidad universal y de diseño para todos, tal como son definidos estos términos en la Ley 51/2003, de 2 de diciembre, de igualdad de oportunidades, no discriminación y accesibilidad universal de las personas con discapacidad.</w:t>
      </w:r>
    </w:p>
    <w:p w14:paraId="11D7F908" w14:textId="77777777" w:rsidR="00584F6E" w:rsidRPr="00EB3D94" w:rsidRDefault="00584F6E" w:rsidP="00BC4866">
      <w:pPr>
        <w:pStyle w:val="Pargrafdellista"/>
        <w:rPr>
          <w:rFonts w:cs="Arial"/>
          <w:szCs w:val="22"/>
          <w:lang w:val="es-ES"/>
        </w:rPr>
      </w:pPr>
    </w:p>
    <w:p w14:paraId="2579681F" w14:textId="77777777" w:rsidR="00584F6E" w:rsidRPr="00EB3D94" w:rsidRDefault="00584F6E" w:rsidP="00BC4866">
      <w:pPr>
        <w:pStyle w:val="Pargrafdellista"/>
        <w:numPr>
          <w:ilvl w:val="0"/>
          <w:numId w:val="30"/>
        </w:numPr>
        <w:contextualSpacing/>
        <w:jc w:val="both"/>
        <w:rPr>
          <w:rFonts w:cs="Arial"/>
          <w:szCs w:val="22"/>
          <w:lang w:val="es-ES"/>
        </w:rPr>
      </w:pPr>
      <w:r w:rsidRPr="00EB3D94">
        <w:rPr>
          <w:rFonts w:cs="Arial"/>
          <w:szCs w:val="22"/>
          <w:lang w:val="es-ES"/>
        </w:rPr>
        <w:t>Establecer medidas que favorezcan la conciliación de la vida personal y/o familiar de las personas trabajadoras adscritas a la ejecución del contrato.</w:t>
      </w:r>
    </w:p>
    <w:p w14:paraId="3D9C3A4A" w14:textId="77777777" w:rsidR="00584F6E" w:rsidRPr="00EB3D94" w:rsidRDefault="00584F6E" w:rsidP="00BC4866">
      <w:pPr>
        <w:pStyle w:val="Pargrafdellista"/>
        <w:rPr>
          <w:rFonts w:cs="Arial"/>
          <w:szCs w:val="22"/>
          <w:lang w:val="es-ES"/>
        </w:rPr>
      </w:pPr>
    </w:p>
    <w:p w14:paraId="2D74F83C" w14:textId="77453F3F" w:rsidR="00584F6E" w:rsidRPr="00EB3D94" w:rsidRDefault="00584F6E" w:rsidP="00BC4866">
      <w:pPr>
        <w:jc w:val="both"/>
        <w:rPr>
          <w:rFonts w:cs="Arial"/>
          <w:lang w:val="es-ES"/>
        </w:rPr>
      </w:pPr>
      <w:r w:rsidRPr="00EB3D94">
        <w:rPr>
          <w:rFonts w:cs="Arial"/>
          <w:lang w:val="es-ES"/>
        </w:rPr>
        <w:t xml:space="preserve">La empresa contratista </w:t>
      </w:r>
      <w:r w:rsidR="00982820" w:rsidRPr="00EB3D94">
        <w:rPr>
          <w:rFonts w:cs="Arial"/>
          <w:lang w:val="es-ES"/>
        </w:rPr>
        <w:t xml:space="preserve">debe </w:t>
      </w:r>
      <w:r w:rsidRPr="00EB3D94">
        <w:rPr>
          <w:rFonts w:cs="Arial"/>
          <w:lang w:val="es-ES"/>
        </w:rPr>
        <w:t xml:space="preserve">adecuar su actividad a los principios éticos y a las reglas de conducta siguientes: </w:t>
      </w:r>
    </w:p>
    <w:p w14:paraId="7B63D6FB" w14:textId="77777777" w:rsidR="00584F6E" w:rsidRPr="00EB3D94" w:rsidRDefault="00584F6E" w:rsidP="00BC4866">
      <w:pPr>
        <w:jc w:val="both"/>
        <w:rPr>
          <w:rFonts w:cs="Arial"/>
          <w:lang w:val="es-ES"/>
        </w:rPr>
      </w:pPr>
    </w:p>
    <w:p w14:paraId="403B5C6F" w14:textId="6298A374" w:rsidR="00584F6E" w:rsidRPr="00EB3D94" w:rsidRDefault="00A25938" w:rsidP="00BC4866">
      <w:pPr>
        <w:numPr>
          <w:ilvl w:val="0"/>
          <w:numId w:val="23"/>
        </w:numPr>
        <w:jc w:val="both"/>
        <w:rPr>
          <w:rFonts w:cs="Arial"/>
          <w:lang w:val="es-ES"/>
        </w:rPr>
      </w:pPr>
      <w:r w:rsidRPr="00EB3D94">
        <w:rPr>
          <w:rFonts w:cs="Arial"/>
          <w:lang w:val="es-ES"/>
        </w:rPr>
        <w:t xml:space="preserve">Deben </w:t>
      </w:r>
      <w:r w:rsidR="00584F6E" w:rsidRPr="00EB3D94">
        <w:rPr>
          <w:rFonts w:cs="Arial"/>
          <w:lang w:val="es-ES"/>
        </w:rPr>
        <w:t>adoptar una conducta éticamente ejemplar, abstenerse de realizar, fomentar, proponer o promover cualquier tipo de práctica corrupta y poner en conocimiento de los órganos competentes cualquier manifestación de estas prácticas que, a su parecer, esté presente o pueda afectar al procedimiento o la relación contractual. Particularmente se abstendrán de realizar cualquier acción que pueda vulnerar los principios de igualdad de oportunidades y de libre concurrencia.</w:t>
      </w:r>
    </w:p>
    <w:p w14:paraId="4055F4E7" w14:textId="77777777" w:rsidR="00584F6E" w:rsidRPr="00EB3D94" w:rsidRDefault="00584F6E" w:rsidP="00BC4866">
      <w:pPr>
        <w:ind w:left="720"/>
        <w:jc w:val="both"/>
        <w:rPr>
          <w:rFonts w:cs="Arial"/>
          <w:lang w:val="es-ES"/>
        </w:rPr>
      </w:pPr>
    </w:p>
    <w:p w14:paraId="3CA10EF2" w14:textId="77777777" w:rsidR="00584F6E" w:rsidRPr="00EB3D94" w:rsidRDefault="00584F6E" w:rsidP="00BC4866">
      <w:pPr>
        <w:numPr>
          <w:ilvl w:val="0"/>
          <w:numId w:val="23"/>
        </w:numPr>
        <w:jc w:val="both"/>
        <w:rPr>
          <w:rFonts w:cs="Arial"/>
          <w:lang w:val="es-ES"/>
        </w:rPr>
      </w:pPr>
      <w:r w:rsidRPr="00EB3D94">
        <w:rPr>
          <w:rFonts w:cs="Arial"/>
          <w:lang w:val="es-ES"/>
        </w:rPr>
        <w:t>Con carácter general, los licitadores y contratistas, en el ejercicio de su actividad, asumen las obligaciones siguientes:</w:t>
      </w:r>
    </w:p>
    <w:p w14:paraId="09C72944" w14:textId="77777777" w:rsidR="00584F6E" w:rsidRPr="00EB3D94" w:rsidRDefault="00584F6E" w:rsidP="00BC4866">
      <w:pPr>
        <w:pStyle w:val="Pargrafdellista"/>
        <w:rPr>
          <w:rFonts w:cs="Arial"/>
          <w:szCs w:val="22"/>
          <w:lang w:val="es-ES"/>
        </w:rPr>
      </w:pPr>
    </w:p>
    <w:p w14:paraId="3886D6E4" w14:textId="77777777" w:rsidR="00584F6E" w:rsidRPr="00EB3D94" w:rsidRDefault="00584F6E" w:rsidP="00BC4866">
      <w:pPr>
        <w:numPr>
          <w:ilvl w:val="0"/>
          <w:numId w:val="24"/>
        </w:numPr>
        <w:jc w:val="both"/>
        <w:rPr>
          <w:rFonts w:cs="Arial"/>
          <w:lang w:val="es-ES"/>
        </w:rPr>
      </w:pPr>
      <w:r w:rsidRPr="00EB3D94">
        <w:rPr>
          <w:rFonts w:cs="Arial"/>
          <w:lang w:val="es-ES"/>
        </w:rPr>
        <w:t>Observar los principios, las normas y los cánones éticos propios de las actividades, los oficios y/o las profesiones correspondientes a las prestaciones objeto de los contratos.</w:t>
      </w:r>
    </w:p>
    <w:p w14:paraId="27EEC3B8" w14:textId="77777777" w:rsidR="00584F6E" w:rsidRPr="00EB3D94" w:rsidRDefault="00584F6E" w:rsidP="00BC4866">
      <w:pPr>
        <w:numPr>
          <w:ilvl w:val="0"/>
          <w:numId w:val="24"/>
        </w:numPr>
        <w:jc w:val="both"/>
        <w:rPr>
          <w:rFonts w:cs="Arial"/>
          <w:lang w:val="es-ES"/>
        </w:rPr>
      </w:pPr>
      <w:r w:rsidRPr="00EB3D94">
        <w:rPr>
          <w:rFonts w:cs="Arial"/>
          <w:lang w:val="es-ES"/>
        </w:rPr>
        <w:t>No realizar acciones que pongan en riesgo el interés público en el ámbito del contrato o de las prestaciones a realizar.</w:t>
      </w:r>
    </w:p>
    <w:p w14:paraId="0DD729FC" w14:textId="77777777" w:rsidR="00584F6E" w:rsidRPr="00EB3D94" w:rsidRDefault="00584F6E" w:rsidP="00BC4866">
      <w:pPr>
        <w:numPr>
          <w:ilvl w:val="0"/>
          <w:numId w:val="24"/>
        </w:numPr>
        <w:jc w:val="both"/>
        <w:rPr>
          <w:rFonts w:cs="Arial"/>
          <w:lang w:val="es-ES"/>
        </w:rPr>
      </w:pPr>
      <w:r w:rsidRPr="00EB3D94">
        <w:rPr>
          <w:rFonts w:cs="Arial"/>
          <w:lang w:val="es-ES"/>
        </w:rPr>
        <w:t>Denunciar las situaciones irregulares que se puedan presentar en los procesos de contratación pública o durante la ejecución de los contratos.</w:t>
      </w:r>
    </w:p>
    <w:p w14:paraId="12726E9C" w14:textId="77777777" w:rsidR="00584F6E" w:rsidRPr="00EB3D94" w:rsidRDefault="00584F6E" w:rsidP="00BC4866">
      <w:pPr>
        <w:pStyle w:val="Pargrafdellista"/>
        <w:numPr>
          <w:ilvl w:val="0"/>
          <w:numId w:val="24"/>
        </w:numPr>
        <w:contextualSpacing/>
        <w:jc w:val="both"/>
        <w:rPr>
          <w:rFonts w:cs="Arial"/>
          <w:szCs w:val="22"/>
          <w:lang w:val="es-ES"/>
        </w:rPr>
      </w:pPr>
      <w:r w:rsidRPr="00EB3D94">
        <w:rPr>
          <w:rFonts w:cs="Arial"/>
          <w:szCs w:val="22"/>
          <w:lang w:val="es-ES"/>
        </w:rPr>
        <w:t xml:space="preserve">Abstenerse de realizar conductas que tengan por objeto o puedan producir el efecto de impedir, restringir o falsear la competencia como por ejemplo los comportamientos colusorios o de competencia fraudulenta (ofertas de resguardo, eliminación de ofertas, asignación de mercados, rotación de ofertas, etc.). </w:t>
      </w:r>
    </w:p>
    <w:p w14:paraId="4B0A03C7" w14:textId="77777777" w:rsidR="00584F6E" w:rsidRPr="00EB3D94" w:rsidRDefault="00584F6E" w:rsidP="00BC4866">
      <w:pPr>
        <w:pStyle w:val="Pargrafdellista"/>
        <w:numPr>
          <w:ilvl w:val="0"/>
          <w:numId w:val="24"/>
        </w:numPr>
        <w:contextualSpacing/>
        <w:jc w:val="both"/>
        <w:rPr>
          <w:rFonts w:cs="Arial"/>
          <w:szCs w:val="22"/>
          <w:lang w:val="es-ES"/>
        </w:rPr>
      </w:pPr>
      <w:r w:rsidRPr="00EB3D94">
        <w:rPr>
          <w:rFonts w:cs="Arial"/>
          <w:szCs w:val="22"/>
          <w:lang w:val="es-ES"/>
        </w:rPr>
        <w:t xml:space="preserve">Respetar los acuerdos y las normas de confidencialidad. </w:t>
      </w:r>
    </w:p>
    <w:p w14:paraId="5A3FD078" w14:textId="77777777" w:rsidR="004519FE" w:rsidRPr="00EB3D94" w:rsidRDefault="00584F6E" w:rsidP="00BC4866">
      <w:pPr>
        <w:pStyle w:val="Pargrafdellista"/>
        <w:numPr>
          <w:ilvl w:val="0"/>
          <w:numId w:val="24"/>
        </w:numPr>
        <w:contextualSpacing/>
        <w:jc w:val="both"/>
        <w:rPr>
          <w:rFonts w:cs="Arial"/>
          <w:szCs w:val="22"/>
          <w:lang w:val="es-ES"/>
        </w:rPr>
      </w:pPr>
      <w:r w:rsidRPr="00EB3D94">
        <w:rPr>
          <w:rFonts w:cs="Arial"/>
          <w:szCs w:val="22"/>
          <w:lang w:val="es-ES"/>
        </w:rPr>
        <w:t>Colaborar con  el órgano de contratación en las actuaciones que este realice para el seguimiento  y/o la evaluación del cumplimiento</w:t>
      </w:r>
      <w:r w:rsidRPr="00EB3D94">
        <w:rPr>
          <w:rFonts w:cs="Arial"/>
          <w:vanish/>
          <w:szCs w:val="22"/>
          <w:lang w:val="es-ES"/>
        </w:rPr>
        <w:t>&lt;A[cumplimiento|cumplido]&gt;</w:t>
      </w:r>
      <w:r w:rsidRPr="00EB3D94">
        <w:rPr>
          <w:rFonts w:cs="Arial"/>
          <w:szCs w:val="22"/>
          <w:lang w:val="es-ES"/>
        </w:rPr>
        <w:t xml:space="preserve"> del contrato, particularmente facilitando la información que le sea solicitada para estas finalidades y que la legislación de transparencia y los contratos del sector público imponen a los adjudicatarios en relación con la Administración o administraciones de referencia, sin perjuicio del cumplimiento</w:t>
      </w:r>
      <w:r w:rsidRPr="00EB3D94">
        <w:rPr>
          <w:rFonts w:cs="Arial"/>
          <w:vanish/>
          <w:szCs w:val="22"/>
          <w:lang w:val="es-ES"/>
        </w:rPr>
        <w:t>&lt;A[cumplimiento|cumplido]&gt;</w:t>
      </w:r>
      <w:r w:rsidRPr="00EB3D94">
        <w:rPr>
          <w:rFonts w:cs="Arial"/>
          <w:szCs w:val="22"/>
          <w:lang w:val="es-ES"/>
        </w:rPr>
        <w:t xml:space="preserve"> de las obligaciones de transparencia que les correspondan de forma directa por previsión legal.</w:t>
      </w:r>
    </w:p>
    <w:p w14:paraId="5D2D6A00" w14:textId="77777777" w:rsidR="004519FE" w:rsidRPr="00EB3D94" w:rsidRDefault="004519FE" w:rsidP="00BC4866">
      <w:pPr>
        <w:jc w:val="both"/>
        <w:rPr>
          <w:rFonts w:cs="Arial"/>
          <w:lang w:val="es-ES"/>
        </w:rPr>
      </w:pPr>
    </w:p>
    <w:p w14:paraId="32487D1C" w14:textId="77777777" w:rsidR="00584F6E" w:rsidRPr="00EB3D94" w:rsidRDefault="00584F6E" w:rsidP="00BC4866">
      <w:pPr>
        <w:numPr>
          <w:ilvl w:val="0"/>
          <w:numId w:val="23"/>
        </w:numPr>
        <w:jc w:val="both"/>
        <w:rPr>
          <w:rFonts w:cs="Arial"/>
          <w:lang w:val="es-ES"/>
        </w:rPr>
      </w:pPr>
      <w:r w:rsidRPr="00EB3D94">
        <w:rPr>
          <w:rFonts w:cs="Arial"/>
          <w:lang w:val="es-ES"/>
        </w:rPr>
        <w:t>En particular los licitadores y los contratistas asumen las obligaciones siguientes:</w:t>
      </w:r>
    </w:p>
    <w:p w14:paraId="21F45F5C" w14:textId="77777777" w:rsidR="00584F6E" w:rsidRPr="00EB3D94" w:rsidRDefault="00584F6E" w:rsidP="00BC4866">
      <w:pPr>
        <w:ind w:left="720"/>
        <w:jc w:val="both"/>
        <w:rPr>
          <w:rFonts w:cs="Arial"/>
          <w:lang w:val="es-ES"/>
        </w:rPr>
      </w:pPr>
    </w:p>
    <w:p w14:paraId="36FB0B23" w14:textId="77777777" w:rsidR="00584F6E" w:rsidRPr="00EB3D94" w:rsidRDefault="00584F6E" w:rsidP="00BC4866">
      <w:pPr>
        <w:numPr>
          <w:ilvl w:val="0"/>
          <w:numId w:val="25"/>
        </w:numPr>
        <w:jc w:val="both"/>
        <w:rPr>
          <w:rFonts w:cs="Arial"/>
          <w:lang w:val="es-ES"/>
        </w:rPr>
      </w:pPr>
      <w:r w:rsidRPr="00EB3D94">
        <w:rPr>
          <w:rFonts w:cs="Arial"/>
          <w:lang w:val="es-ES"/>
        </w:rPr>
        <w:t>Comunicar inmediatamente en el órgano de contratación las posibles situaciones de conflicto de intereses. Constituyen en todo caso situaciones de conflicto de intereses las contenidas en el artículo 24 de la Directiva 2014/24/UE.</w:t>
      </w:r>
    </w:p>
    <w:p w14:paraId="57E718D4" w14:textId="77777777" w:rsidR="00584F6E" w:rsidRPr="00EB3D94" w:rsidRDefault="00584F6E" w:rsidP="00BC4866">
      <w:pPr>
        <w:numPr>
          <w:ilvl w:val="0"/>
          <w:numId w:val="25"/>
        </w:numPr>
        <w:jc w:val="both"/>
        <w:rPr>
          <w:rFonts w:cs="Arial"/>
          <w:lang w:val="es-ES"/>
        </w:rPr>
      </w:pPr>
      <w:r w:rsidRPr="00EB3D94">
        <w:rPr>
          <w:rFonts w:cs="Arial"/>
          <w:lang w:val="es-ES"/>
        </w:rPr>
        <w:t>No solicitar, directa o indirectamente, que un cargo o empleado público influya en la adjudicación del contrato.</w:t>
      </w:r>
    </w:p>
    <w:p w14:paraId="57B0520F" w14:textId="77777777" w:rsidR="00584F6E" w:rsidRPr="00EB3D94" w:rsidRDefault="00584F6E" w:rsidP="00BC4866">
      <w:pPr>
        <w:numPr>
          <w:ilvl w:val="0"/>
          <w:numId w:val="25"/>
        </w:numPr>
        <w:jc w:val="both"/>
        <w:rPr>
          <w:rFonts w:cs="Arial"/>
          <w:lang w:val="es-ES"/>
        </w:rPr>
      </w:pPr>
      <w:r w:rsidRPr="00EB3D94">
        <w:rPr>
          <w:rFonts w:cs="Arial"/>
          <w:lang w:val="es-ES"/>
        </w:rPr>
        <w:t>No ofrecer ni facilitar a cargos o empleados públicos ventajas para ellos mismos o para terceras personas con la voluntad de incidir en un procedimiento contractual.</w:t>
      </w:r>
    </w:p>
    <w:p w14:paraId="2248E982" w14:textId="77777777" w:rsidR="00584F6E" w:rsidRPr="00EB3D94" w:rsidRDefault="00584F6E" w:rsidP="00BC4866">
      <w:pPr>
        <w:numPr>
          <w:ilvl w:val="0"/>
          <w:numId w:val="25"/>
        </w:numPr>
        <w:jc w:val="both"/>
        <w:rPr>
          <w:rFonts w:cs="Arial"/>
          <w:lang w:val="es-ES"/>
        </w:rPr>
      </w:pPr>
      <w:r w:rsidRPr="00EB3D94">
        <w:rPr>
          <w:rFonts w:cs="Arial"/>
          <w:lang w:val="es-ES"/>
        </w:rPr>
        <w:t>No utilizar información confidencial, conocida mediante el contrato y/o durante la licitación, para obtener, directa o indirectamente, una ventaja o beneficio.</w:t>
      </w:r>
    </w:p>
    <w:p w14:paraId="6232F4D2" w14:textId="77777777" w:rsidR="00584F6E" w:rsidRPr="00EB3D94" w:rsidRDefault="00584F6E" w:rsidP="00BC4866">
      <w:pPr>
        <w:numPr>
          <w:ilvl w:val="0"/>
          <w:numId w:val="25"/>
        </w:numPr>
        <w:jc w:val="both"/>
        <w:rPr>
          <w:rFonts w:cs="Arial"/>
          <w:lang w:val="es-ES"/>
        </w:rPr>
      </w:pPr>
      <w:r w:rsidRPr="00EB3D94">
        <w:rPr>
          <w:rFonts w:cs="Arial"/>
          <w:lang w:val="es-ES"/>
        </w:rPr>
        <w:t>Denunciar los actos de los cuales tenga conocimiento y que puedan comportar una infracción de las obligaciones contenidas en esta cláusula.</w:t>
      </w:r>
    </w:p>
    <w:p w14:paraId="57E6F8E6" w14:textId="77777777" w:rsidR="00584F6E" w:rsidRPr="00EB3D94" w:rsidRDefault="00584F6E" w:rsidP="00BC4866">
      <w:pPr>
        <w:ind w:left="1080"/>
        <w:jc w:val="both"/>
        <w:rPr>
          <w:rFonts w:cs="Arial"/>
          <w:lang w:val="es-ES"/>
        </w:rPr>
      </w:pPr>
    </w:p>
    <w:p w14:paraId="52E77CE0" w14:textId="456D7878" w:rsidR="00584F6E" w:rsidRPr="00EB3D94" w:rsidRDefault="00584F6E" w:rsidP="00BC4866">
      <w:pPr>
        <w:jc w:val="both"/>
        <w:rPr>
          <w:rFonts w:cs="Arial"/>
          <w:lang w:val="es-ES"/>
        </w:rPr>
      </w:pPr>
      <w:proofErr w:type="gramStart"/>
      <w:r w:rsidRPr="00EB3D94">
        <w:rPr>
          <w:rFonts w:cs="Arial"/>
          <w:lang w:val="es-ES"/>
        </w:rPr>
        <w:t>Finalmente</w:t>
      </w:r>
      <w:proofErr w:type="gramEnd"/>
      <w:r w:rsidRPr="00EB3D94">
        <w:rPr>
          <w:rFonts w:cs="Arial"/>
          <w:lang w:val="es-ES"/>
        </w:rPr>
        <w:t xml:space="preserve"> las empresas, en base al objeto del contrato y aparte de las obligaciones establecidas en </w:t>
      </w:r>
      <w:r w:rsidR="004732D6" w:rsidRPr="00EB3D94">
        <w:rPr>
          <w:rFonts w:cs="Arial"/>
          <w:lang w:val="es-ES"/>
        </w:rPr>
        <w:t>el pliego</w:t>
      </w:r>
      <w:r w:rsidRPr="00EB3D94">
        <w:rPr>
          <w:rFonts w:cs="Arial"/>
          <w:lang w:val="es-ES"/>
        </w:rPr>
        <w:t xml:space="preserve"> de prescripciones técnicas, tienen las siguientes obligaciones:</w:t>
      </w:r>
    </w:p>
    <w:p w14:paraId="15AE77BE" w14:textId="77777777" w:rsidR="00584F6E" w:rsidRPr="00EB3D94" w:rsidRDefault="00584F6E" w:rsidP="00BC4866">
      <w:pPr>
        <w:ind w:left="1080"/>
        <w:jc w:val="both"/>
        <w:rPr>
          <w:rFonts w:cs="Arial"/>
          <w:lang w:val="es-ES"/>
        </w:rPr>
      </w:pPr>
    </w:p>
    <w:p w14:paraId="613469BF" w14:textId="77777777" w:rsidR="00584F6E" w:rsidRPr="00EB3D94" w:rsidRDefault="00584F6E" w:rsidP="00BC4866">
      <w:pPr>
        <w:jc w:val="both"/>
        <w:rPr>
          <w:u w:val="single"/>
          <w:lang w:val="es-ES"/>
        </w:rPr>
      </w:pPr>
      <w:r w:rsidRPr="00EB3D94">
        <w:rPr>
          <w:u w:val="single"/>
          <w:lang w:val="es-ES"/>
        </w:rPr>
        <w:t>Confidencialidad</w:t>
      </w:r>
    </w:p>
    <w:p w14:paraId="32C9A74B" w14:textId="77777777" w:rsidR="00584F6E" w:rsidRPr="00EB3D94" w:rsidRDefault="00584F6E" w:rsidP="00BC4866">
      <w:pPr>
        <w:ind w:left="360"/>
        <w:contextualSpacing/>
        <w:jc w:val="both"/>
        <w:rPr>
          <w:lang w:val="es-ES"/>
        </w:rPr>
      </w:pPr>
    </w:p>
    <w:p w14:paraId="7D23B917" w14:textId="5C38AE00" w:rsidR="00584F6E" w:rsidRPr="00EB3D94" w:rsidRDefault="00584F6E" w:rsidP="00BC4866">
      <w:pPr>
        <w:jc w:val="both"/>
        <w:rPr>
          <w:lang w:val="es-ES"/>
        </w:rPr>
      </w:pPr>
      <w:r w:rsidRPr="00EB3D94">
        <w:rPr>
          <w:lang w:val="es-ES"/>
        </w:rPr>
        <w:t xml:space="preserve">La empresa contratista y sus trabajadores, al igual que los trabajadores que participen en la ejecución del contrato se comprometen a observar total confidencialidad sobre los hechos, informaciones, conocimientos, antecedentes, documentos, datos y otros elementos que estén relacionados con el objeto del contrato, de los cuales tengan conocimiento en razón de la ejecución de este o bien para que hayan sido facilitados en cualquier tipo </w:t>
      </w:r>
      <w:r w:rsidR="004732D6" w:rsidRPr="00EB3D94">
        <w:rPr>
          <w:lang w:val="es-ES"/>
        </w:rPr>
        <w:t>de soporte</w:t>
      </w:r>
      <w:r w:rsidRPr="00EB3D94">
        <w:rPr>
          <w:lang w:val="es-ES"/>
        </w:rPr>
        <w:t xml:space="preserve"> por la Administración contratante, y a no divulgarlos ni hacer otro uso diferente que el relacionado con el objeto del contrato, sin perjuicio de aquellos que sean públicos o notorios.</w:t>
      </w:r>
    </w:p>
    <w:p w14:paraId="5E80A72E" w14:textId="77777777" w:rsidR="0010763D" w:rsidRPr="00EB3D94" w:rsidRDefault="0010763D" w:rsidP="00BC4866">
      <w:pPr>
        <w:jc w:val="both"/>
        <w:rPr>
          <w:lang w:val="es-ES"/>
        </w:rPr>
      </w:pPr>
    </w:p>
    <w:p w14:paraId="089A8B6C" w14:textId="77777777" w:rsidR="00584F6E" w:rsidRPr="00EB3D94" w:rsidRDefault="00584F6E" w:rsidP="00BC4866">
      <w:pPr>
        <w:jc w:val="both"/>
        <w:rPr>
          <w:u w:val="single"/>
          <w:lang w:val="es-ES"/>
        </w:rPr>
      </w:pPr>
      <w:r w:rsidRPr="00EB3D94">
        <w:rPr>
          <w:u w:val="single"/>
          <w:lang w:val="es-ES"/>
        </w:rPr>
        <w:t>Obligaciones relativas a la lengua</w:t>
      </w:r>
    </w:p>
    <w:p w14:paraId="2BE35D71" w14:textId="77777777" w:rsidR="00584F6E" w:rsidRPr="00EB3D94" w:rsidRDefault="00584F6E" w:rsidP="00BC4866">
      <w:pPr>
        <w:jc w:val="both"/>
        <w:rPr>
          <w:lang w:val="es-ES"/>
        </w:rPr>
      </w:pPr>
    </w:p>
    <w:p w14:paraId="4C847C29" w14:textId="5A8FF678" w:rsidR="00584F6E" w:rsidRPr="00EB3D94" w:rsidRDefault="00584F6E" w:rsidP="00BC4866">
      <w:pPr>
        <w:jc w:val="both"/>
        <w:rPr>
          <w:rFonts w:cs="Arial"/>
          <w:lang w:val="es-ES"/>
        </w:rPr>
      </w:pPr>
      <w:r w:rsidRPr="00EB3D94">
        <w:rPr>
          <w:rFonts w:cs="Arial"/>
          <w:lang w:val="es-ES"/>
        </w:rPr>
        <w:t xml:space="preserve">La empresa contratista asume la obligación de destinar a la ejecución del contrato los medios y el personal que resulten adecuados para asegurar que se podrán realizar las prestaciones objeto del servicio en catalán. A este efecto, </w:t>
      </w:r>
      <w:r w:rsidR="004732D6" w:rsidRPr="00EB3D94">
        <w:rPr>
          <w:rFonts w:cs="Arial"/>
          <w:lang w:val="es-ES"/>
        </w:rPr>
        <w:t>l</w:t>
      </w:r>
      <w:r w:rsidRPr="00EB3D94">
        <w:rPr>
          <w:rFonts w:cs="Arial"/>
          <w:lang w:val="es-ES"/>
        </w:rPr>
        <w:t xml:space="preserve">a empresa adjudicataria </w:t>
      </w:r>
      <w:r w:rsidR="00E23614" w:rsidRPr="00EB3D94">
        <w:rPr>
          <w:rFonts w:cs="Arial"/>
          <w:lang w:val="es-ES"/>
        </w:rPr>
        <w:t>deberá</w:t>
      </w:r>
      <w:r w:rsidRPr="00EB3D94">
        <w:rPr>
          <w:rFonts w:cs="Arial"/>
          <w:lang w:val="es-ES"/>
        </w:rPr>
        <w:t xml:space="preserve"> adoptar las medidas de formación de su personal necesarias para garantizar que el personal que, si procede, pueda relacionarse con el público, tenga un conocimiento suficiente de la lengua catalana para desarrollar las tareas de atención, información y comunicación de manera fluida y adecuada. </w:t>
      </w:r>
    </w:p>
    <w:p w14:paraId="119C0F02" w14:textId="77777777" w:rsidR="00584F6E" w:rsidRPr="00EB3D94" w:rsidRDefault="00584F6E" w:rsidP="00BC4866">
      <w:pPr>
        <w:jc w:val="both"/>
        <w:rPr>
          <w:rFonts w:cs="Arial"/>
          <w:i/>
          <w:lang w:val="es-ES"/>
        </w:rPr>
      </w:pPr>
    </w:p>
    <w:p w14:paraId="2AF87899" w14:textId="2932F7F4" w:rsidR="00584F6E" w:rsidRPr="00EB3D94" w:rsidRDefault="00584F6E" w:rsidP="00BC4866">
      <w:pPr>
        <w:jc w:val="both"/>
        <w:rPr>
          <w:rFonts w:cs="Arial"/>
          <w:lang w:val="es-ES"/>
        </w:rPr>
      </w:pPr>
      <w:r w:rsidRPr="00EB3D94">
        <w:rPr>
          <w:rFonts w:cs="Arial"/>
          <w:lang w:val="es-ES"/>
        </w:rPr>
        <w:t xml:space="preserve">En todo caso, la empresa contratista y, si procede, las empresas subcontratistas, quedan sujetas en la ejecución del contrato a las obligaciones derivadas de la Ley 1/1998, de 7 de enero, de política lingüística y de las disposiciones en que la desarrollan. En el ámbito territorial de la Vall </w:t>
      </w:r>
      <w:proofErr w:type="spellStart"/>
      <w:r w:rsidRPr="00EB3D94">
        <w:rPr>
          <w:rFonts w:cs="Arial"/>
          <w:lang w:val="es-ES"/>
        </w:rPr>
        <w:t>d'Aran</w:t>
      </w:r>
      <w:proofErr w:type="spellEnd"/>
      <w:r w:rsidRPr="00EB3D94">
        <w:rPr>
          <w:rFonts w:cs="Arial"/>
          <w:lang w:val="es-ES"/>
        </w:rPr>
        <w:t xml:space="preserve">, las empresas contratistas y, si procede, las empresas subcontratistas, </w:t>
      </w:r>
      <w:r w:rsidR="00A25938" w:rsidRPr="00EB3D94">
        <w:rPr>
          <w:rFonts w:cs="Arial"/>
          <w:lang w:val="es-ES"/>
        </w:rPr>
        <w:t xml:space="preserve">deben </w:t>
      </w:r>
      <w:r w:rsidRPr="00EB3D94">
        <w:rPr>
          <w:rFonts w:cs="Arial"/>
          <w:lang w:val="es-ES"/>
        </w:rPr>
        <w:t xml:space="preserve">utilizar al aranés de acuerdo con la Ley </w:t>
      </w:r>
      <w:r w:rsidRPr="00EB3D94">
        <w:rPr>
          <w:rFonts w:cs="Arial"/>
          <w:bCs/>
          <w:lang w:val="es-ES"/>
        </w:rPr>
        <w:t>35/2010</w:t>
      </w:r>
      <w:r w:rsidRPr="00EB3D94">
        <w:rPr>
          <w:rFonts w:cs="Arial"/>
          <w:lang w:val="es-ES"/>
        </w:rPr>
        <w:t xml:space="preserve">, de 1 de octubre, del occitano, aranés en el Arán, y con la normativa propia del </w:t>
      </w:r>
      <w:proofErr w:type="spellStart"/>
      <w:r w:rsidRPr="00EB3D94">
        <w:rPr>
          <w:rFonts w:cs="Arial"/>
          <w:lang w:val="es-ES"/>
        </w:rPr>
        <w:t>Conselh</w:t>
      </w:r>
      <w:proofErr w:type="spellEnd"/>
      <w:r w:rsidRPr="00EB3D94">
        <w:rPr>
          <w:rFonts w:cs="Arial"/>
          <w:lang w:val="es-ES"/>
        </w:rPr>
        <w:t xml:space="preserve"> </w:t>
      </w:r>
      <w:proofErr w:type="spellStart"/>
      <w:r w:rsidRPr="00EB3D94">
        <w:rPr>
          <w:rFonts w:cs="Arial"/>
          <w:lang w:val="es-ES"/>
        </w:rPr>
        <w:t>Generau</w:t>
      </w:r>
      <w:proofErr w:type="spellEnd"/>
      <w:r w:rsidRPr="00EB3D94">
        <w:rPr>
          <w:rFonts w:cs="Arial"/>
          <w:lang w:val="es-ES"/>
        </w:rPr>
        <w:t xml:space="preserve"> de Arán que la desarrolle.</w:t>
      </w:r>
    </w:p>
    <w:p w14:paraId="19375A41" w14:textId="77777777" w:rsidR="00BC7268" w:rsidRPr="00EB3D94" w:rsidRDefault="00BC7268" w:rsidP="00BC4866">
      <w:pPr>
        <w:pStyle w:val="CM25"/>
        <w:tabs>
          <w:tab w:val="left" w:pos="2214"/>
        </w:tabs>
        <w:spacing w:after="0"/>
        <w:jc w:val="both"/>
        <w:rPr>
          <w:sz w:val="22"/>
          <w:szCs w:val="20"/>
          <w:u w:val="single"/>
          <w:lang w:val="es-ES" w:eastAsia="es-ES"/>
        </w:rPr>
      </w:pPr>
    </w:p>
    <w:p w14:paraId="7B8E2CD4" w14:textId="77777777" w:rsidR="00D05B47" w:rsidRPr="00EB3D94" w:rsidRDefault="0034535C" w:rsidP="00BC4866">
      <w:pPr>
        <w:pStyle w:val="CM25"/>
        <w:tabs>
          <w:tab w:val="left" w:pos="2214"/>
        </w:tabs>
        <w:spacing w:after="0"/>
        <w:jc w:val="both"/>
        <w:rPr>
          <w:sz w:val="22"/>
          <w:szCs w:val="20"/>
          <w:lang w:val="es-ES" w:eastAsia="es-ES"/>
        </w:rPr>
      </w:pPr>
      <w:r w:rsidRPr="00EB3D94">
        <w:rPr>
          <w:sz w:val="22"/>
          <w:szCs w:val="20"/>
          <w:u w:val="single"/>
          <w:lang w:val="es-ES" w:eastAsia="es-ES"/>
        </w:rPr>
        <w:t>Instalaciones</w:t>
      </w:r>
      <w:r w:rsidR="00D05B47" w:rsidRPr="00EB3D94">
        <w:rPr>
          <w:sz w:val="22"/>
          <w:szCs w:val="20"/>
          <w:u w:val="single"/>
          <w:lang w:val="es-ES" w:eastAsia="es-ES"/>
        </w:rPr>
        <w:t xml:space="preserve"> para la realización del servicio</w:t>
      </w:r>
    </w:p>
    <w:p w14:paraId="185AAA38" w14:textId="77777777" w:rsidR="00D05B47" w:rsidRPr="00EB3D94" w:rsidRDefault="00D05B47" w:rsidP="00BC4866">
      <w:pPr>
        <w:pStyle w:val="Default"/>
        <w:rPr>
          <w:color w:val="auto"/>
          <w:lang w:val="es-ES" w:eastAsia="es-ES"/>
        </w:rPr>
      </w:pPr>
    </w:p>
    <w:p w14:paraId="6940DAB7" w14:textId="77777777" w:rsidR="00D05B47" w:rsidRPr="00EB3D94" w:rsidRDefault="00D05B47" w:rsidP="00BC4866">
      <w:pPr>
        <w:pStyle w:val="Default"/>
        <w:jc w:val="both"/>
        <w:rPr>
          <w:color w:val="auto"/>
          <w:sz w:val="22"/>
          <w:szCs w:val="20"/>
          <w:lang w:val="es-ES" w:eastAsia="es-ES"/>
        </w:rPr>
      </w:pPr>
      <w:r w:rsidRPr="00EB3D94">
        <w:rPr>
          <w:color w:val="auto"/>
          <w:sz w:val="22"/>
          <w:szCs w:val="20"/>
          <w:lang w:val="es-ES" w:eastAsia="es-ES"/>
        </w:rPr>
        <w:t>La realización del servicio tendrá lugar tanto en las sedes de las oficinas de las Entidades Financieras en que se abran las cuentas bancarias como en las sedes de las tesorerías de la Tesorería Corporativa y de las Entidades Públicas.</w:t>
      </w:r>
    </w:p>
    <w:p w14:paraId="78139D68" w14:textId="77777777" w:rsidR="002C24E6" w:rsidRPr="00EB3D94" w:rsidRDefault="002C24E6" w:rsidP="00BC4866">
      <w:pPr>
        <w:pStyle w:val="Default"/>
        <w:rPr>
          <w:color w:val="auto"/>
          <w:sz w:val="22"/>
          <w:szCs w:val="20"/>
          <w:lang w:val="es-ES" w:eastAsia="es-ES"/>
        </w:rPr>
      </w:pPr>
    </w:p>
    <w:p w14:paraId="238A9372" w14:textId="77777777" w:rsidR="00604D8D" w:rsidRPr="00EB3D94" w:rsidRDefault="00604D8D" w:rsidP="00BC4866">
      <w:pPr>
        <w:pStyle w:val="CM25"/>
        <w:tabs>
          <w:tab w:val="left" w:pos="2214"/>
        </w:tabs>
        <w:spacing w:after="0"/>
        <w:jc w:val="both"/>
        <w:rPr>
          <w:sz w:val="22"/>
          <w:szCs w:val="20"/>
          <w:u w:val="single"/>
          <w:lang w:val="es-ES" w:eastAsia="es-ES"/>
        </w:rPr>
      </w:pPr>
      <w:r w:rsidRPr="00EB3D94">
        <w:rPr>
          <w:sz w:val="22"/>
          <w:szCs w:val="20"/>
          <w:u w:val="single"/>
          <w:lang w:val="es-ES" w:eastAsia="es-ES"/>
        </w:rPr>
        <w:t xml:space="preserve">Otras obligaciones </w:t>
      </w:r>
    </w:p>
    <w:p w14:paraId="16474F36" w14:textId="77777777" w:rsidR="00BC7268" w:rsidRPr="00EB3D94" w:rsidRDefault="00BC7268" w:rsidP="00BC4866">
      <w:pPr>
        <w:pStyle w:val="CM25"/>
        <w:spacing w:after="0"/>
        <w:jc w:val="both"/>
        <w:rPr>
          <w:sz w:val="22"/>
          <w:szCs w:val="20"/>
          <w:lang w:val="es-ES" w:eastAsia="es-ES"/>
        </w:rPr>
      </w:pPr>
    </w:p>
    <w:p w14:paraId="48B69971" w14:textId="77777777" w:rsidR="00604D8D" w:rsidRPr="00EB3D94" w:rsidRDefault="00BC7268" w:rsidP="00BC4866">
      <w:pPr>
        <w:pStyle w:val="CM25"/>
        <w:spacing w:after="0"/>
        <w:jc w:val="both"/>
        <w:rPr>
          <w:rFonts w:cs="Arial"/>
          <w:iCs/>
          <w:sz w:val="22"/>
          <w:szCs w:val="22"/>
          <w:lang w:val="es-ES"/>
        </w:rPr>
      </w:pPr>
      <w:r w:rsidRPr="00EB3D94">
        <w:rPr>
          <w:sz w:val="22"/>
          <w:szCs w:val="20"/>
          <w:lang w:val="es-ES" w:eastAsia="es-ES"/>
        </w:rPr>
        <w:lastRenderedPageBreak/>
        <w:t xml:space="preserve">Las </w:t>
      </w:r>
      <w:r w:rsidR="00604D8D" w:rsidRPr="00EB3D94">
        <w:rPr>
          <w:sz w:val="22"/>
          <w:szCs w:val="20"/>
          <w:lang w:val="es-ES" w:eastAsia="es-ES"/>
        </w:rPr>
        <w:t xml:space="preserve">entidades financieras que resulten adjudicatarias de este expediente tienen las siguientes obligaciones </w:t>
      </w:r>
      <w:r w:rsidR="00604D8D" w:rsidRPr="00EB3D94">
        <w:rPr>
          <w:rFonts w:cs="Arial"/>
          <w:iCs/>
          <w:sz w:val="22"/>
          <w:szCs w:val="22"/>
          <w:lang w:val="es-ES"/>
        </w:rPr>
        <w:t>contractuales esenciales:</w:t>
      </w:r>
    </w:p>
    <w:p w14:paraId="20296130" w14:textId="77777777" w:rsidR="00BC7268" w:rsidRPr="00EB3D94" w:rsidRDefault="00BC7268" w:rsidP="00BC4866">
      <w:pPr>
        <w:pStyle w:val="Default"/>
        <w:rPr>
          <w:color w:val="auto"/>
          <w:lang w:val="es-ES"/>
        </w:rPr>
      </w:pPr>
    </w:p>
    <w:p w14:paraId="6E823FCF" w14:textId="74FCED92" w:rsidR="00D21B90" w:rsidRPr="00EB3D94" w:rsidRDefault="00D21B90" w:rsidP="00BC4866">
      <w:pPr>
        <w:pStyle w:val="Pargrafdellista"/>
        <w:widowControl w:val="0"/>
        <w:numPr>
          <w:ilvl w:val="1"/>
          <w:numId w:val="56"/>
        </w:numPr>
        <w:tabs>
          <w:tab w:val="left" w:pos="426"/>
        </w:tabs>
        <w:autoSpaceDE w:val="0"/>
        <w:autoSpaceDN w:val="0"/>
        <w:spacing w:line="249" w:lineRule="auto"/>
        <w:ind w:left="360"/>
        <w:jc w:val="both"/>
        <w:rPr>
          <w:lang w:val="es-ES"/>
        </w:rPr>
      </w:pPr>
      <w:r w:rsidRPr="00EB3D94">
        <w:rPr>
          <w:lang w:val="es-ES"/>
        </w:rPr>
        <w:t>No aplicarán ninguna penalización en el caso que alguna de las Entidades Públicas incluidas</w:t>
      </w:r>
      <w:r w:rsidRPr="00EB3D94">
        <w:rPr>
          <w:spacing w:val="-59"/>
          <w:lang w:val="es-ES"/>
        </w:rPr>
        <w:t xml:space="preserve"> </w:t>
      </w:r>
      <w:r w:rsidR="000B1924" w:rsidRPr="00EB3D94">
        <w:rPr>
          <w:spacing w:val="-59"/>
          <w:lang w:val="es-ES"/>
        </w:rPr>
        <w:t xml:space="preserve"> </w:t>
      </w:r>
      <w:r w:rsidR="000B1924" w:rsidRPr="00EB3D94">
        <w:rPr>
          <w:lang w:val="es-ES"/>
        </w:rPr>
        <w:t xml:space="preserve"> e</w:t>
      </w:r>
      <w:r w:rsidRPr="00EB3D94">
        <w:rPr>
          <w:lang w:val="es-ES"/>
        </w:rPr>
        <w:t>n</w:t>
      </w:r>
      <w:r w:rsidRPr="00EB3D94">
        <w:rPr>
          <w:spacing w:val="1"/>
          <w:lang w:val="es-ES"/>
        </w:rPr>
        <w:t xml:space="preserve"> </w:t>
      </w:r>
      <w:r w:rsidRPr="00EB3D94">
        <w:rPr>
          <w:lang w:val="es-ES"/>
        </w:rPr>
        <w:t>el</w:t>
      </w:r>
      <w:r w:rsidRPr="00EB3D94">
        <w:rPr>
          <w:spacing w:val="1"/>
          <w:lang w:val="es-ES"/>
        </w:rPr>
        <w:t xml:space="preserve"> </w:t>
      </w:r>
      <w:r w:rsidRPr="00EB3D94">
        <w:rPr>
          <w:lang w:val="es-ES"/>
        </w:rPr>
        <w:t>sistema</w:t>
      </w:r>
      <w:r w:rsidRPr="00EB3D94">
        <w:rPr>
          <w:spacing w:val="1"/>
          <w:lang w:val="es-ES"/>
        </w:rPr>
        <w:t xml:space="preserve"> </w:t>
      </w:r>
      <w:r w:rsidRPr="00EB3D94">
        <w:rPr>
          <w:lang w:val="es-ES"/>
        </w:rPr>
        <w:t>de</w:t>
      </w:r>
      <w:r w:rsidRPr="00EB3D94">
        <w:rPr>
          <w:spacing w:val="1"/>
          <w:lang w:val="es-ES"/>
        </w:rPr>
        <w:t xml:space="preserve"> </w:t>
      </w:r>
      <w:r w:rsidRPr="00EB3D94">
        <w:rPr>
          <w:lang w:val="es-ES"/>
        </w:rPr>
        <w:t>cash-</w:t>
      </w:r>
      <w:proofErr w:type="spellStart"/>
      <w:r w:rsidRPr="00EB3D94">
        <w:rPr>
          <w:lang w:val="es-ES"/>
        </w:rPr>
        <w:t>pooling</w:t>
      </w:r>
      <w:proofErr w:type="spellEnd"/>
      <w:r w:rsidRPr="00EB3D94">
        <w:rPr>
          <w:spacing w:val="1"/>
          <w:lang w:val="es-ES"/>
        </w:rPr>
        <w:t xml:space="preserve"> </w:t>
      </w:r>
      <w:r w:rsidRPr="00EB3D94">
        <w:rPr>
          <w:lang w:val="es-ES"/>
        </w:rPr>
        <w:t>objeto</w:t>
      </w:r>
      <w:r w:rsidRPr="00EB3D94">
        <w:rPr>
          <w:spacing w:val="1"/>
          <w:lang w:val="es-ES"/>
        </w:rPr>
        <w:t xml:space="preserve"> </w:t>
      </w:r>
      <w:r w:rsidRPr="00EB3D94">
        <w:rPr>
          <w:lang w:val="es-ES"/>
        </w:rPr>
        <w:t>del</w:t>
      </w:r>
      <w:r w:rsidRPr="00EB3D94">
        <w:rPr>
          <w:spacing w:val="1"/>
          <w:lang w:val="es-ES"/>
        </w:rPr>
        <w:t xml:space="preserve"> </w:t>
      </w:r>
      <w:r w:rsidRPr="00EB3D94">
        <w:rPr>
          <w:lang w:val="es-ES"/>
        </w:rPr>
        <w:t>presente</w:t>
      </w:r>
      <w:r w:rsidRPr="00EB3D94">
        <w:rPr>
          <w:spacing w:val="1"/>
          <w:lang w:val="es-ES"/>
        </w:rPr>
        <w:t xml:space="preserve"> </w:t>
      </w:r>
      <w:r w:rsidRPr="00EB3D94">
        <w:rPr>
          <w:lang w:val="es-ES"/>
        </w:rPr>
        <w:t>expediente</w:t>
      </w:r>
      <w:r w:rsidRPr="00EB3D94">
        <w:rPr>
          <w:spacing w:val="1"/>
          <w:lang w:val="es-ES"/>
        </w:rPr>
        <w:t xml:space="preserve"> </w:t>
      </w:r>
      <w:r w:rsidRPr="00EB3D94">
        <w:rPr>
          <w:lang w:val="es-ES"/>
        </w:rPr>
        <w:t>o</w:t>
      </w:r>
      <w:r w:rsidRPr="00EB3D94">
        <w:rPr>
          <w:spacing w:val="1"/>
          <w:lang w:val="es-ES"/>
        </w:rPr>
        <w:t xml:space="preserve"> </w:t>
      </w:r>
      <w:r w:rsidRPr="00EB3D94">
        <w:rPr>
          <w:lang w:val="es-ES"/>
        </w:rPr>
        <w:t>que</w:t>
      </w:r>
      <w:r w:rsidRPr="00EB3D94">
        <w:rPr>
          <w:spacing w:val="1"/>
          <w:lang w:val="es-ES"/>
        </w:rPr>
        <w:t xml:space="preserve"> </w:t>
      </w:r>
      <w:r w:rsidRPr="00EB3D94">
        <w:rPr>
          <w:lang w:val="es-ES"/>
        </w:rPr>
        <w:t>se incluyan</w:t>
      </w:r>
      <w:r w:rsidRPr="00EB3D94">
        <w:rPr>
          <w:spacing w:val="1"/>
          <w:lang w:val="es-ES"/>
        </w:rPr>
        <w:t xml:space="preserve"> </w:t>
      </w:r>
      <w:r w:rsidRPr="00EB3D94">
        <w:rPr>
          <w:lang w:val="es-ES"/>
        </w:rPr>
        <w:t>posteriormente</w:t>
      </w:r>
      <w:r w:rsidRPr="00EB3D94">
        <w:rPr>
          <w:spacing w:val="-9"/>
          <w:lang w:val="es-ES"/>
        </w:rPr>
        <w:t xml:space="preserve"> </w:t>
      </w:r>
      <w:r w:rsidRPr="00EB3D94">
        <w:rPr>
          <w:lang w:val="es-ES"/>
        </w:rPr>
        <w:t>en</w:t>
      </w:r>
      <w:r w:rsidRPr="00EB3D94">
        <w:rPr>
          <w:spacing w:val="-13"/>
          <w:lang w:val="es-ES"/>
        </w:rPr>
        <w:t xml:space="preserve"> </w:t>
      </w:r>
      <w:r w:rsidRPr="00EB3D94">
        <w:rPr>
          <w:lang w:val="es-ES"/>
        </w:rPr>
        <w:t>este</w:t>
      </w:r>
      <w:r w:rsidRPr="00EB3D94">
        <w:rPr>
          <w:spacing w:val="-12"/>
          <w:lang w:val="es-ES"/>
        </w:rPr>
        <w:t xml:space="preserve"> </w:t>
      </w:r>
      <w:r w:rsidRPr="00EB3D94">
        <w:rPr>
          <w:lang w:val="es-ES"/>
        </w:rPr>
        <w:t>sistema,</w:t>
      </w:r>
      <w:r w:rsidRPr="00EB3D94">
        <w:rPr>
          <w:spacing w:val="-11"/>
          <w:lang w:val="es-ES"/>
        </w:rPr>
        <w:t xml:space="preserve"> </w:t>
      </w:r>
      <w:r w:rsidRPr="00EB3D94">
        <w:rPr>
          <w:lang w:val="es-ES"/>
        </w:rPr>
        <w:t>cancele</w:t>
      </w:r>
      <w:r w:rsidRPr="00EB3D94">
        <w:rPr>
          <w:spacing w:val="-10"/>
          <w:lang w:val="es-ES"/>
        </w:rPr>
        <w:t xml:space="preserve"> </w:t>
      </w:r>
      <w:r w:rsidRPr="00EB3D94">
        <w:rPr>
          <w:lang w:val="es-ES"/>
        </w:rPr>
        <w:t>algún</w:t>
      </w:r>
      <w:r w:rsidRPr="00EB3D94">
        <w:rPr>
          <w:spacing w:val="-13"/>
          <w:lang w:val="es-ES"/>
        </w:rPr>
        <w:t xml:space="preserve"> </w:t>
      </w:r>
      <w:r w:rsidRPr="00EB3D94">
        <w:rPr>
          <w:lang w:val="es-ES"/>
        </w:rPr>
        <w:t>contrato</w:t>
      </w:r>
      <w:r w:rsidRPr="00EB3D94">
        <w:rPr>
          <w:spacing w:val="-12"/>
          <w:lang w:val="es-ES"/>
        </w:rPr>
        <w:t xml:space="preserve"> </w:t>
      </w:r>
      <w:r w:rsidRPr="00EB3D94">
        <w:rPr>
          <w:lang w:val="es-ES"/>
        </w:rPr>
        <w:t>con</w:t>
      </w:r>
      <w:r w:rsidRPr="00EB3D94">
        <w:rPr>
          <w:spacing w:val="-11"/>
          <w:lang w:val="es-ES"/>
        </w:rPr>
        <w:t xml:space="preserve"> </w:t>
      </w:r>
      <w:r w:rsidRPr="00EB3D94">
        <w:rPr>
          <w:lang w:val="es-ES"/>
        </w:rPr>
        <w:t>la Entidad</w:t>
      </w:r>
      <w:r w:rsidRPr="00EB3D94">
        <w:rPr>
          <w:spacing w:val="-11"/>
          <w:lang w:val="es-ES"/>
        </w:rPr>
        <w:t xml:space="preserve"> </w:t>
      </w:r>
      <w:r w:rsidRPr="00EB3D94">
        <w:rPr>
          <w:lang w:val="es-ES"/>
        </w:rPr>
        <w:t>Financiera</w:t>
      </w:r>
      <w:r w:rsidRPr="00EB3D94">
        <w:rPr>
          <w:spacing w:val="-13"/>
          <w:lang w:val="es-ES"/>
        </w:rPr>
        <w:t xml:space="preserve"> </w:t>
      </w:r>
      <w:r w:rsidRPr="00EB3D94">
        <w:rPr>
          <w:lang w:val="es-ES"/>
        </w:rPr>
        <w:t>que</w:t>
      </w:r>
      <w:r w:rsidRPr="00EB3D94">
        <w:rPr>
          <w:spacing w:val="-59"/>
          <w:lang w:val="es-ES"/>
        </w:rPr>
        <w:t xml:space="preserve"> </w:t>
      </w:r>
      <w:r w:rsidRPr="00EB3D94">
        <w:rPr>
          <w:lang w:val="es-ES"/>
        </w:rPr>
        <w:t>sea</w:t>
      </w:r>
      <w:r w:rsidRPr="00EB3D94">
        <w:rPr>
          <w:spacing w:val="-12"/>
          <w:lang w:val="es-ES"/>
        </w:rPr>
        <w:t xml:space="preserve"> </w:t>
      </w:r>
      <w:r w:rsidRPr="00EB3D94">
        <w:rPr>
          <w:lang w:val="es-ES"/>
        </w:rPr>
        <w:t>anterior</w:t>
      </w:r>
      <w:r w:rsidRPr="00EB3D94">
        <w:rPr>
          <w:spacing w:val="-12"/>
          <w:lang w:val="es-ES"/>
        </w:rPr>
        <w:t xml:space="preserve"> </w:t>
      </w:r>
      <w:r w:rsidRPr="00EB3D94">
        <w:rPr>
          <w:lang w:val="es-ES"/>
        </w:rPr>
        <w:t>a</w:t>
      </w:r>
      <w:r w:rsidRPr="00EB3D94">
        <w:rPr>
          <w:spacing w:val="-13"/>
          <w:lang w:val="es-ES"/>
        </w:rPr>
        <w:t xml:space="preserve"> </w:t>
      </w:r>
      <w:r w:rsidRPr="00EB3D94">
        <w:rPr>
          <w:lang w:val="es-ES"/>
        </w:rPr>
        <w:t>este</w:t>
      </w:r>
      <w:r w:rsidRPr="00EB3D94">
        <w:rPr>
          <w:spacing w:val="-14"/>
          <w:lang w:val="es-ES"/>
        </w:rPr>
        <w:t xml:space="preserve"> </w:t>
      </w:r>
      <w:r w:rsidRPr="00EB3D94">
        <w:rPr>
          <w:lang w:val="es-ES"/>
        </w:rPr>
        <w:t>expediente</w:t>
      </w:r>
      <w:r w:rsidRPr="00EB3D94">
        <w:rPr>
          <w:spacing w:val="-10"/>
          <w:lang w:val="es-ES"/>
        </w:rPr>
        <w:t xml:space="preserve"> </w:t>
      </w:r>
      <w:r w:rsidRPr="00EB3D94">
        <w:rPr>
          <w:lang w:val="es-ES"/>
        </w:rPr>
        <w:t>de</w:t>
      </w:r>
      <w:r w:rsidRPr="00EB3D94">
        <w:rPr>
          <w:spacing w:val="-13"/>
          <w:lang w:val="es-ES"/>
        </w:rPr>
        <w:t xml:space="preserve"> </w:t>
      </w:r>
      <w:r w:rsidRPr="00EB3D94">
        <w:rPr>
          <w:lang w:val="es-ES"/>
        </w:rPr>
        <w:t>contratación</w:t>
      </w:r>
      <w:r w:rsidRPr="00EB3D94">
        <w:rPr>
          <w:spacing w:val="-13"/>
          <w:lang w:val="es-ES"/>
        </w:rPr>
        <w:t xml:space="preserve"> </w:t>
      </w:r>
      <w:r w:rsidRPr="00EB3D94">
        <w:rPr>
          <w:lang w:val="es-ES"/>
        </w:rPr>
        <w:t>pero</w:t>
      </w:r>
      <w:r w:rsidRPr="00EB3D94">
        <w:rPr>
          <w:spacing w:val="-14"/>
          <w:lang w:val="es-ES"/>
        </w:rPr>
        <w:t xml:space="preserve"> </w:t>
      </w:r>
      <w:r w:rsidRPr="00EB3D94">
        <w:rPr>
          <w:lang w:val="es-ES"/>
        </w:rPr>
        <w:t>que</w:t>
      </w:r>
      <w:r w:rsidRPr="00EB3D94">
        <w:rPr>
          <w:spacing w:val="-14"/>
          <w:lang w:val="es-ES"/>
        </w:rPr>
        <w:t xml:space="preserve"> </w:t>
      </w:r>
      <w:r w:rsidRPr="00EB3D94">
        <w:rPr>
          <w:lang w:val="es-ES"/>
        </w:rPr>
        <w:t>contenga</w:t>
      </w:r>
      <w:r w:rsidRPr="00EB3D94">
        <w:rPr>
          <w:spacing w:val="-14"/>
          <w:lang w:val="es-ES"/>
        </w:rPr>
        <w:t xml:space="preserve"> </w:t>
      </w:r>
      <w:r w:rsidRPr="00EB3D94">
        <w:rPr>
          <w:lang w:val="es-ES"/>
        </w:rPr>
        <w:t>algún</w:t>
      </w:r>
      <w:r w:rsidRPr="00EB3D94">
        <w:rPr>
          <w:spacing w:val="-15"/>
          <w:lang w:val="es-ES"/>
        </w:rPr>
        <w:t xml:space="preserve"> </w:t>
      </w:r>
      <w:r w:rsidRPr="00EB3D94">
        <w:rPr>
          <w:lang w:val="es-ES"/>
        </w:rPr>
        <w:t>servicio</w:t>
      </w:r>
      <w:r w:rsidRPr="00EB3D94">
        <w:rPr>
          <w:spacing w:val="-11"/>
          <w:lang w:val="es-ES"/>
        </w:rPr>
        <w:t xml:space="preserve"> </w:t>
      </w:r>
      <w:r w:rsidRPr="00EB3D94">
        <w:rPr>
          <w:lang w:val="es-ES"/>
        </w:rPr>
        <w:t>incluido</w:t>
      </w:r>
      <w:r w:rsidRPr="00EB3D94">
        <w:rPr>
          <w:spacing w:val="-59"/>
          <w:lang w:val="es-ES"/>
        </w:rPr>
        <w:t xml:space="preserve"> </w:t>
      </w:r>
      <w:r w:rsidRPr="00EB3D94">
        <w:rPr>
          <w:lang w:val="es-ES"/>
        </w:rPr>
        <w:t>dentro</w:t>
      </w:r>
      <w:r w:rsidRPr="00EB3D94">
        <w:rPr>
          <w:spacing w:val="-1"/>
          <w:lang w:val="es-ES"/>
        </w:rPr>
        <w:t xml:space="preserve"> </w:t>
      </w:r>
      <w:r w:rsidRPr="00EB3D94">
        <w:rPr>
          <w:lang w:val="es-ES"/>
        </w:rPr>
        <w:t>del ámbito</w:t>
      </w:r>
      <w:r w:rsidRPr="00EB3D94">
        <w:rPr>
          <w:spacing w:val="-2"/>
          <w:lang w:val="es-ES"/>
        </w:rPr>
        <w:t xml:space="preserve"> </w:t>
      </w:r>
      <w:r w:rsidRPr="00EB3D94">
        <w:rPr>
          <w:lang w:val="es-ES"/>
        </w:rPr>
        <w:t>de prestaciones de este</w:t>
      </w:r>
      <w:r w:rsidRPr="00EB3D94">
        <w:rPr>
          <w:spacing w:val="2"/>
          <w:lang w:val="es-ES"/>
        </w:rPr>
        <w:t xml:space="preserve"> </w:t>
      </w:r>
      <w:r w:rsidRPr="00EB3D94">
        <w:rPr>
          <w:lang w:val="es-ES"/>
        </w:rPr>
        <w:t>expediente.</w:t>
      </w:r>
    </w:p>
    <w:p w14:paraId="15D6CC15" w14:textId="77777777" w:rsidR="00D21B90" w:rsidRPr="00EB3D94" w:rsidRDefault="00D21B90" w:rsidP="00BC4866">
      <w:pPr>
        <w:pStyle w:val="Textindependent"/>
        <w:tabs>
          <w:tab w:val="left" w:pos="426"/>
        </w:tabs>
        <w:spacing w:before="10"/>
        <w:ind w:left="360" w:hanging="360"/>
        <w:rPr>
          <w:sz w:val="18"/>
          <w:lang w:val="es-ES"/>
        </w:rPr>
      </w:pPr>
    </w:p>
    <w:p w14:paraId="6C5FFA0C" w14:textId="2C2A94C6" w:rsidR="00D21B90" w:rsidRPr="00EB3D94" w:rsidRDefault="00D21B90" w:rsidP="00BC4866">
      <w:pPr>
        <w:pStyle w:val="Pargrafdellista"/>
        <w:widowControl w:val="0"/>
        <w:numPr>
          <w:ilvl w:val="1"/>
          <w:numId w:val="56"/>
        </w:numPr>
        <w:tabs>
          <w:tab w:val="left" w:pos="426"/>
        </w:tabs>
        <w:autoSpaceDE w:val="0"/>
        <w:autoSpaceDN w:val="0"/>
        <w:spacing w:line="249" w:lineRule="auto"/>
        <w:ind w:left="360"/>
        <w:jc w:val="both"/>
        <w:rPr>
          <w:lang w:val="es-ES"/>
        </w:rPr>
      </w:pPr>
      <w:r w:rsidRPr="00EB3D94">
        <w:rPr>
          <w:lang w:val="es-ES"/>
        </w:rPr>
        <w:t>Con</w:t>
      </w:r>
      <w:r w:rsidRPr="00EB3D94">
        <w:rPr>
          <w:spacing w:val="1"/>
          <w:lang w:val="es-ES"/>
        </w:rPr>
        <w:t xml:space="preserve"> </w:t>
      </w:r>
      <w:r w:rsidRPr="00EB3D94">
        <w:rPr>
          <w:lang w:val="es-ES"/>
        </w:rPr>
        <w:t>el objetivo</w:t>
      </w:r>
      <w:r w:rsidRPr="00EB3D94">
        <w:rPr>
          <w:spacing w:val="1"/>
          <w:lang w:val="es-ES"/>
        </w:rPr>
        <w:t xml:space="preserve"> </w:t>
      </w:r>
      <w:r w:rsidRPr="00EB3D94">
        <w:rPr>
          <w:lang w:val="es-ES"/>
        </w:rPr>
        <w:t>de</w:t>
      </w:r>
      <w:r w:rsidRPr="00EB3D94">
        <w:rPr>
          <w:spacing w:val="1"/>
          <w:lang w:val="es-ES"/>
        </w:rPr>
        <w:t xml:space="preserve"> </w:t>
      </w:r>
      <w:r w:rsidRPr="00EB3D94">
        <w:rPr>
          <w:lang w:val="es-ES"/>
        </w:rPr>
        <w:t>garantizar</w:t>
      </w:r>
      <w:r w:rsidRPr="00EB3D94">
        <w:rPr>
          <w:spacing w:val="1"/>
          <w:lang w:val="es-ES"/>
        </w:rPr>
        <w:t xml:space="preserve"> </w:t>
      </w:r>
      <w:r w:rsidRPr="00EB3D94">
        <w:rPr>
          <w:lang w:val="es-ES"/>
        </w:rPr>
        <w:t>la</w:t>
      </w:r>
      <w:r w:rsidRPr="00EB3D94">
        <w:rPr>
          <w:spacing w:val="1"/>
          <w:lang w:val="es-ES"/>
        </w:rPr>
        <w:t xml:space="preserve"> </w:t>
      </w:r>
      <w:r w:rsidRPr="00EB3D94">
        <w:rPr>
          <w:lang w:val="es-ES"/>
        </w:rPr>
        <w:t>continuidad</w:t>
      </w:r>
      <w:r w:rsidRPr="00EB3D94">
        <w:rPr>
          <w:spacing w:val="1"/>
          <w:lang w:val="es-ES"/>
        </w:rPr>
        <w:t xml:space="preserve"> </w:t>
      </w:r>
      <w:r w:rsidRPr="00EB3D94">
        <w:rPr>
          <w:lang w:val="es-ES"/>
        </w:rPr>
        <w:t>del</w:t>
      </w:r>
      <w:r w:rsidRPr="00EB3D94">
        <w:rPr>
          <w:spacing w:val="1"/>
          <w:lang w:val="es-ES"/>
        </w:rPr>
        <w:t xml:space="preserve"> </w:t>
      </w:r>
      <w:r w:rsidRPr="00EB3D94">
        <w:rPr>
          <w:lang w:val="es-ES"/>
        </w:rPr>
        <w:t>servicio</w:t>
      </w:r>
      <w:r w:rsidRPr="00EB3D94">
        <w:rPr>
          <w:spacing w:val="1"/>
          <w:lang w:val="es-ES"/>
        </w:rPr>
        <w:t xml:space="preserve"> </w:t>
      </w:r>
      <w:r w:rsidRPr="00EB3D94">
        <w:rPr>
          <w:lang w:val="es-ES"/>
        </w:rPr>
        <w:t>con</w:t>
      </w:r>
      <w:r w:rsidRPr="00EB3D94">
        <w:rPr>
          <w:spacing w:val="1"/>
          <w:lang w:val="es-ES"/>
        </w:rPr>
        <w:t xml:space="preserve"> </w:t>
      </w:r>
      <w:r w:rsidRPr="00EB3D94">
        <w:rPr>
          <w:lang w:val="es-ES"/>
        </w:rPr>
        <w:t>las</w:t>
      </w:r>
      <w:r w:rsidRPr="00EB3D94">
        <w:rPr>
          <w:spacing w:val="1"/>
          <w:lang w:val="es-ES"/>
        </w:rPr>
        <w:t xml:space="preserve"> </w:t>
      </w:r>
      <w:r w:rsidRPr="00EB3D94">
        <w:rPr>
          <w:lang w:val="es-ES"/>
        </w:rPr>
        <w:t>entidades</w:t>
      </w:r>
      <w:r w:rsidRPr="00EB3D94">
        <w:rPr>
          <w:spacing w:val="1"/>
          <w:lang w:val="es-ES"/>
        </w:rPr>
        <w:t xml:space="preserve"> </w:t>
      </w:r>
      <w:r w:rsidRPr="00EB3D94">
        <w:rPr>
          <w:lang w:val="es-ES"/>
        </w:rPr>
        <w:t>financieras</w:t>
      </w:r>
      <w:r w:rsidRPr="00EB3D94">
        <w:rPr>
          <w:spacing w:val="1"/>
          <w:lang w:val="es-ES"/>
        </w:rPr>
        <w:t xml:space="preserve"> </w:t>
      </w:r>
      <w:r w:rsidRPr="00EB3D94">
        <w:rPr>
          <w:lang w:val="es-ES"/>
        </w:rPr>
        <w:t>adjudicatarias a la finalización del contrato, se establece un periodo transitorio de 3</w:t>
      </w:r>
      <w:r w:rsidRPr="00EB3D94">
        <w:rPr>
          <w:spacing w:val="1"/>
          <w:lang w:val="es-ES"/>
        </w:rPr>
        <w:t xml:space="preserve"> </w:t>
      </w:r>
      <w:r w:rsidRPr="00EB3D94">
        <w:rPr>
          <w:lang w:val="es-ES"/>
        </w:rPr>
        <w:t xml:space="preserve">meses, durante el cual se </w:t>
      </w:r>
      <w:r w:rsidR="00E23614" w:rsidRPr="00EB3D94">
        <w:rPr>
          <w:lang w:val="es-ES"/>
        </w:rPr>
        <w:t>deberá</w:t>
      </w:r>
      <w:r w:rsidRPr="00EB3D94">
        <w:rPr>
          <w:lang w:val="es-ES"/>
        </w:rPr>
        <w:t xml:space="preserve"> garantizar la prestación del servicio y, si procede, la</w:t>
      </w:r>
      <w:r w:rsidRPr="00EB3D94">
        <w:rPr>
          <w:spacing w:val="1"/>
          <w:lang w:val="es-ES"/>
        </w:rPr>
        <w:t xml:space="preserve"> </w:t>
      </w:r>
      <w:r w:rsidRPr="00EB3D94">
        <w:rPr>
          <w:lang w:val="es-ES"/>
        </w:rPr>
        <w:t>realización</w:t>
      </w:r>
      <w:r w:rsidRPr="00EB3D94">
        <w:rPr>
          <w:spacing w:val="-1"/>
          <w:lang w:val="es-ES"/>
        </w:rPr>
        <w:t xml:space="preserve"> </w:t>
      </w:r>
      <w:r w:rsidRPr="00EB3D94">
        <w:rPr>
          <w:lang w:val="es-ES"/>
        </w:rPr>
        <w:t>del cambio a</w:t>
      </w:r>
      <w:r w:rsidRPr="00EB3D94">
        <w:rPr>
          <w:spacing w:val="-1"/>
          <w:lang w:val="es-ES"/>
        </w:rPr>
        <w:t xml:space="preserve"> </w:t>
      </w:r>
      <w:r w:rsidRPr="00EB3D94">
        <w:rPr>
          <w:lang w:val="es-ES"/>
        </w:rPr>
        <w:t>las</w:t>
      </w:r>
      <w:r w:rsidRPr="00EB3D94">
        <w:rPr>
          <w:spacing w:val="1"/>
          <w:lang w:val="es-ES"/>
        </w:rPr>
        <w:t xml:space="preserve"> </w:t>
      </w:r>
      <w:r w:rsidRPr="00EB3D94">
        <w:rPr>
          <w:lang w:val="es-ES"/>
        </w:rPr>
        <w:t>nuevas entidades</w:t>
      </w:r>
      <w:r w:rsidRPr="00EB3D94">
        <w:rPr>
          <w:spacing w:val="1"/>
          <w:lang w:val="es-ES"/>
        </w:rPr>
        <w:t xml:space="preserve"> </w:t>
      </w:r>
      <w:r w:rsidRPr="00EB3D94">
        <w:rPr>
          <w:lang w:val="es-ES"/>
        </w:rPr>
        <w:t>adjudicatarias.</w:t>
      </w:r>
    </w:p>
    <w:p w14:paraId="390895F2" w14:textId="77777777" w:rsidR="00D21B90" w:rsidRPr="00EB3D94" w:rsidRDefault="00D21B90" w:rsidP="00BC4866">
      <w:pPr>
        <w:pStyle w:val="Textindependent"/>
        <w:tabs>
          <w:tab w:val="left" w:pos="426"/>
        </w:tabs>
        <w:spacing w:before="4"/>
        <w:ind w:left="360" w:hanging="360"/>
        <w:rPr>
          <w:sz w:val="19"/>
          <w:lang w:val="es-ES"/>
        </w:rPr>
      </w:pPr>
    </w:p>
    <w:p w14:paraId="196D3ADC" w14:textId="4F4C91B5" w:rsidR="00D21B90" w:rsidRPr="00EB3D94" w:rsidRDefault="00D21B90" w:rsidP="00BC4866">
      <w:pPr>
        <w:pStyle w:val="Pargrafdellista"/>
        <w:widowControl w:val="0"/>
        <w:numPr>
          <w:ilvl w:val="1"/>
          <w:numId w:val="56"/>
        </w:numPr>
        <w:tabs>
          <w:tab w:val="left" w:pos="426"/>
        </w:tabs>
        <w:autoSpaceDE w:val="0"/>
        <w:autoSpaceDN w:val="0"/>
        <w:spacing w:line="249" w:lineRule="auto"/>
        <w:ind w:left="360"/>
        <w:jc w:val="both"/>
        <w:rPr>
          <w:lang w:val="es-ES"/>
        </w:rPr>
      </w:pPr>
      <w:r w:rsidRPr="00EB3D94">
        <w:rPr>
          <w:lang w:val="es-ES"/>
        </w:rPr>
        <w:t>Una vez hecha la adjudicación y firmado el contrato se formalizarán las correspondientes</w:t>
      </w:r>
      <w:r w:rsidRPr="00EB3D94">
        <w:rPr>
          <w:spacing w:val="1"/>
          <w:lang w:val="es-ES"/>
        </w:rPr>
        <w:t xml:space="preserve"> </w:t>
      </w:r>
      <w:r w:rsidRPr="00EB3D94">
        <w:rPr>
          <w:lang w:val="es-ES"/>
        </w:rPr>
        <w:t>líneas</w:t>
      </w:r>
      <w:r w:rsidRPr="00EB3D94">
        <w:rPr>
          <w:spacing w:val="-8"/>
          <w:lang w:val="es-ES"/>
        </w:rPr>
        <w:t xml:space="preserve"> </w:t>
      </w:r>
      <w:r w:rsidRPr="00EB3D94">
        <w:rPr>
          <w:lang w:val="es-ES"/>
        </w:rPr>
        <w:t>de</w:t>
      </w:r>
      <w:r w:rsidRPr="00EB3D94">
        <w:rPr>
          <w:spacing w:val="-8"/>
          <w:lang w:val="es-ES"/>
        </w:rPr>
        <w:t xml:space="preserve"> </w:t>
      </w:r>
      <w:r w:rsidRPr="00EB3D94">
        <w:rPr>
          <w:lang w:val="es-ES"/>
        </w:rPr>
        <w:t>crédito.</w:t>
      </w:r>
      <w:r w:rsidRPr="00EB3D94">
        <w:rPr>
          <w:spacing w:val="-7"/>
          <w:lang w:val="es-ES"/>
        </w:rPr>
        <w:t xml:space="preserve"> </w:t>
      </w:r>
      <w:r w:rsidRPr="00EB3D94">
        <w:rPr>
          <w:lang w:val="es-ES"/>
        </w:rPr>
        <w:t>Las</w:t>
      </w:r>
      <w:r w:rsidRPr="00EB3D94">
        <w:rPr>
          <w:spacing w:val="-10"/>
          <w:lang w:val="es-ES"/>
        </w:rPr>
        <w:t xml:space="preserve"> </w:t>
      </w:r>
      <w:r w:rsidRPr="00EB3D94">
        <w:rPr>
          <w:lang w:val="es-ES"/>
        </w:rPr>
        <w:t>Entidades</w:t>
      </w:r>
      <w:r w:rsidRPr="00EB3D94">
        <w:rPr>
          <w:spacing w:val="-7"/>
          <w:lang w:val="es-ES"/>
        </w:rPr>
        <w:t xml:space="preserve"> </w:t>
      </w:r>
      <w:r w:rsidRPr="00EB3D94">
        <w:rPr>
          <w:lang w:val="es-ES"/>
        </w:rPr>
        <w:t>Financieras</w:t>
      </w:r>
      <w:r w:rsidRPr="00EB3D94">
        <w:rPr>
          <w:spacing w:val="-7"/>
          <w:lang w:val="es-ES"/>
        </w:rPr>
        <w:t xml:space="preserve"> </w:t>
      </w:r>
      <w:r w:rsidRPr="00EB3D94">
        <w:rPr>
          <w:lang w:val="es-ES"/>
        </w:rPr>
        <w:t>adjudicatarias</w:t>
      </w:r>
      <w:r w:rsidRPr="00EB3D94">
        <w:rPr>
          <w:spacing w:val="-10"/>
          <w:lang w:val="es-ES"/>
        </w:rPr>
        <w:t xml:space="preserve"> </w:t>
      </w:r>
      <w:r w:rsidRPr="00EB3D94">
        <w:rPr>
          <w:lang w:val="es-ES"/>
        </w:rPr>
        <w:t>que</w:t>
      </w:r>
      <w:r w:rsidRPr="00EB3D94">
        <w:rPr>
          <w:spacing w:val="-11"/>
          <w:lang w:val="es-ES"/>
        </w:rPr>
        <w:t xml:space="preserve"> </w:t>
      </w:r>
      <w:r w:rsidRPr="00EB3D94">
        <w:rPr>
          <w:lang w:val="es-ES"/>
        </w:rPr>
        <w:t>ya</w:t>
      </w:r>
      <w:r w:rsidRPr="00EB3D94">
        <w:rPr>
          <w:spacing w:val="-8"/>
          <w:lang w:val="es-ES"/>
        </w:rPr>
        <w:t xml:space="preserve"> </w:t>
      </w:r>
      <w:proofErr w:type="gramStart"/>
      <w:r w:rsidRPr="00EB3D94">
        <w:rPr>
          <w:lang w:val="es-ES"/>
        </w:rPr>
        <w:t>fueron</w:t>
      </w:r>
      <w:r w:rsidRPr="00EB3D94">
        <w:rPr>
          <w:spacing w:val="-8"/>
          <w:lang w:val="es-ES"/>
        </w:rPr>
        <w:t xml:space="preserve"> </w:t>
      </w:r>
      <w:r w:rsidRPr="00EB3D94">
        <w:rPr>
          <w:spacing w:val="-7"/>
          <w:lang w:val="es-ES"/>
        </w:rPr>
        <w:t xml:space="preserve"> </w:t>
      </w:r>
      <w:r w:rsidRPr="00EB3D94">
        <w:rPr>
          <w:lang w:val="es-ES"/>
        </w:rPr>
        <w:t>adjudicatarias</w:t>
      </w:r>
      <w:proofErr w:type="gramEnd"/>
      <w:r w:rsidRPr="00EB3D94">
        <w:rPr>
          <w:spacing w:val="-8"/>
          <w:lang w:val="es-ES"/>
        </w:rPr>
        <w:t xml:space="preserve"> </w:t>
      </w:r>
      <w:r w:rsidRPr="00EB3D94">
        <w:rPr>
          <w:lang w:val="es-ES"/>
        </w:rPr>
        <w:t>en</w:t>
      </w:r>
      <w:r w:rsidRPr="00EB3D94">
        <w:rPr>
          <w:spacing w:val="-59"/>
          <w:lang w:val="es-ES"/>
        </w:rPr>
        <w:t xml:space="preserve"> </w:t>
      </w:r>
      <w:r w:rsidRPr="00EB3D94">
        <w:rPr>
          <w:lang w:val="es-ES"/>
        </w:rPr>
        <w:t>el anterior</w:t>
      </w:r>
      <w:r w:rsidRPr="00EB3D94">
        <w:rPr>
          <w:spacing w:val="-7"/>
          <w:lang w:val="es-ES"/>
        </w:rPr>
        <w:t xml:space="preserve"> </w:t>
      </w:r>
      <w:r w:rsidRPr="00EB3D94">
        <w:rPr>
          <w:lang w:val="es-ES"/>
        </w:rPr>
        <w:t>expediente</w:t>
      </w:r>
      <w:r w:rsidRPr="00EB3D94">
        <w:rPr>
          <w:spacing w:val="-7"/>
          <w:lang w:val="es-ES"/>
        </w:rPr>
        <w:t xml:space="preserve"> </w:t>
      </w:r>
      <w:r w:rsidRPr="00EB3D94">
        <w:rPr>
          <w:lang w:val="es-ES"/>
        </w:rPr>
        <w:t>podrán</w:t>
      </w:r>
      <w:r w:rsidRPr="00EB3D94">
        <w:rPr>
          <w:spacing w:val="-8"/>
          <w:lang w:val="es-ES"/>
        </w:rPr>
        <w:t xml:space="preserve"> </w:t>
      </w:r>
      <w:r w:rsidRPr="00EB3D94">
        <w:rPr>
          <w:lang w:val="es-ES"/>
        </w:rPr>
        <w:t>cancelar</w:t>
      </w:r>
      <w:r w:rsidRPr="00EB3D94">
        <w:rPr>
          <w:spacing w:val="-10"/>
          <w:lang w:val="es-ES"/>
        </w:rPr>
        <w:t xml:space="preserve"> </w:t>
      </w:r>
      <w:r w:rsidRPr="00EB3D94">
        <w:rPr>
          <w:lang w:val="es-ES"/>
        </w:rPr>
        <w:t>las</w:t>
      </w:r>
      <w:r w:rsidRPr="00EB3D94">
        <w:rPr>
          <w:spacing w:val="-7"/>
          <w:lang w:val="es-ES"/>
        </w:rPr>
        <w:t xml:space="preserve"> </w:t>
      </w:r>
      <w:r w:rsidRPr="00EB3D94">
        <w:rPr>
          <w:lang w:val="es-ES"/>
        </w:rPr>
        <w:t>operaciones</w:t>
      </w:r>
      <w:r w:rsidRPr="00EB3D94">
        <w:rPr>
          <w:spacing w:val="-8"/>
          <w:lang w:val="es-ES"/>
        </w:rPr>
        <w:t xml:space="preserve"> </w:t>
      </w:r>
      <w:r w:rsidRPr="00EB3D94">
        <w:rPr>
          <w:lang w:val="es-ES"/>
        </w:rPr>
        <w:t>de</w:t>
      </w:r>
      <w:r w:rsidRPr="00EB3D94">
        <w:rPr>
          <w:spacing w:val="-10"/>
          <w:lang w:val="es-ES"/>
        </w:rPr>
        <w:t xml:space="preserve"> </w:t>
      </w:r>
      <w:r w:rsidRPr="00EB3D94">
        <w:rPr>
          <w:lang w:val="es-ES"/>
        </w:rPr>
        <w:t>crédito</w:t>
      </w:r>
      <w:r w:rsidRPr="00EB3D94">
        <w:rPr>
          <w:spacing w:val="-9"/>
          <w:lang w:val="es-ES"/>
        </w:rPr>
        <w:t xml:space="preserve"> </w:t>
      </w:r>
      <w:r w:rsidRPr="00EB3D94">
        <w:rPr>
          <w:lang w:val="es-ES"/>
        </w:rPr>
        <w:t>con</w:t>
      </w:r>
      <w:r w:rsidRPr="00EB3D94">
        <w:rPr>
          <w:spacing w:val="-10"/>
          <w:lang w:val="es-ES"/>
        </w:rPr>
        <w:t xml:space="preserve"> </w:t>
      </w:r>
      <w:r w:rsidRPr="00EB3D94">
        <w:rPr>
          <w:lang w:val="es-ES"/>
        </w:rPr>
        <w:t>que</w:t>
      </w:r>
      <w:r w:rsidRPr="00EB3D94">
        <w:rPr>
          <w:spacing w:val="-10"/>
          <w:lang w:val="es-ES"/>
        </w:rPr>
        <w:t xml:space="preserve"> </w:t>
      </w:r>
      <w:r w:rsidRPr="00EB3D94">
        <w:rPr>
          <w:lang w:val="es-ES"/>
        </w:rPr>
        <w:t>se</w:t>
      </w:r>
      <w:r w:rsidRPr="00EB3D94">
        <w:rPr>
          <w:spacing w:val="-11"/>
          <w:lang w:val="es-ES"/>
        </w:rPr>
        <w:t xml:space="preserve"> </w:t>
      </w:r>
      <w:r w:rsidRPr="00EB3D94">
        <w:rPr>
          <w:lang w:val="es-ES"/>
        </w:rPr>
        <w:t>materializa</w:t>
      </w:r>
      <w:r w:rsidRPr="00EB3D94">
        <w:rPr>
          <w:spacing w:val="-59"/>
          <w:lang w:val="es-ES"/>
        </w:rPr>
        <w:t xml:space="preserve"> </w:t>
      </w:r>
      <w:r w:rsidRPr="00EB3D94">
        <w:rPr>
          <w:lang w:val="es-ES"/>
        </w:rPr>
        <w:t>el riesgo de circulante por importe igual en el del circulante con que sean adjudicatarias en el</w:t>
      </w:r>
      <w:r w:rsidRPr="00EB3D94">
        <w:rPr>
          <w:spacing w:val="-59"/>
          <w:lang w:val="es-ES"/>
        </w:rPr>
        <w:t xml:space="preserve"> </w:t>
      </w:r>
      <w:r w:rsidRPr="00EB3D94">
        <w:rPr>
          <w:lang w:val="es-ES"/>
        </w:rPr>
        <w:t>presente expediente. No obstante, alternativamente, podrán mantenerlas hasta la fecha de</w:t>
      </w:r>
      <w:r w:rsidRPr="00EB3D94">
        <w:rPr>
          <w:spacing w:val="1"/>
          <w:lang w:val="es-ES"/>
        </w:rPr>
        <w:t xml:space="preserve"> </w:t>
      </w:r>
      <w:r w:rsidRPr="00EB3D94">
        <w:rPr>
          <w:spacing w:val="-1"/>
          <w:lang w:val="es-ES"/>
        </w:rPr>
        <w:t>vencimiento</w:t>
      </w:r>
      <w:r w:rsidRPr="00EB3D94">
        <w:rPr>
          <w:spacing w:val="-13"/>
          <w:lang w:val="es-ES"/>
        </w:rPr>
        <w:t xml:space="preserve"> </w:t>
      </w:r>
      <w:r w:rsidRPr="00EB3D94">
        <w:rPr>
          <w:spacing w:val="-1"/>
          <w:lang w:val="es-ES"/>
        </w:rPr>
        <w:t>y</w:t>
      </w:r>
      <w:r w:rsidRPr="00EB3D94">
        <w:rPr>
          <w:spacing w:val="-15"/>
          <w:lang w:val="es-ES"/>
        </w:rPr>
        <w:t xml:space="preserve"> </w:t>
      </w:r>
      <w:r w:rsidRPr="00EB3D94">
        <w:rPr>
          <w:spacing w:val="-1"/>
          <w:lang w:val="es-ES"/>
        </w:rPr>
        <w:t>expresar</w:t>
      </w:r>
      <w:r w:rsidRPr="00EB3D94">
        <w:rPr>
          <w:spacing w:val="-15"/>
          <w:lang w:val="es-ES"/>
        </w:rPr>
        <w:t xml:space="preserve"> </w:t>
      </w:r>
      <w:proofErr w:type="gramStart"/>
      <w:r w:rsidRPr="00EB3D94">
        <w:rPr>
          <w:spacing w:val="-1"/>
          <w:lang w:val="es-ES"/>
        </w:rPr>
        <w:t>su</w:t>
      </w:r>
      <w:r w:rsidRPr="00EB3D94">
        <w:rPr>
          <w:spacing w:val="-17"/>
          <w:lang w:val="es-ES"/>
        </w:rPr>
        <w:t xml:space="preserve"> </w:t>
      </w:r>
      <w:r w:rsidRPr="00EB3D94">
        <w:rPr>
          <w:spacing w:val="-14"/>
          <w:lang w:val="es-ES"/>
        </w:rPr>
        <w:t xml:space="preserve"> </w:t>
      </w:r>
      <w:r w:rsidRPr="00EB3D94">
        <w:rPr>
          <w:lang w:val="es-ES"/>
        </w:rPr>
        <w:t>compromiso</w:t>
      </w:r>
      <w:proofErr w:type="gramEnd"/>
      <w:r w:rsidRPr="00EB3D94">
        <w:rPr>
          <w:spacing w:val="-14"/>
          <w:lang w:val="es-ES"/>
        </w:rPr>
        <w:t xml:space="preserve"> </w:t>
      </w:r>
      <w:r w:rsidRPr="00EB3D94">
        <w:rPr>
          <w:lang w:val="es-ES"/>
        </w:rPr>
        <w:t>irrevocable</w:t>
      </w:r>
      <w:r w:rsidRPr="00EB3D94">
        <w:rPr>
          <w:spacing w:val="-14"/>
          <w:lang w:val="es-ES"/>
        </w:rPr>
        <w:t xml:space="preserve"> </w:t>
      </w:r>
      <w:r w:rsidRPr="00EB3D94">
        <w:rPr>
          <w:lang w:val="es-ES"/>
        </w:rPr>
        <w:t>de</w:t>
      </w:r>
      <w:r w:rsidRPr="00EB3D94">
        <w:rPr>
          <w:spacing w:val="-17"/>
          <w:lang w:val="es-ES"/>
        </w:rPr>
        <w:t xml:space="preserve"> </w:t>
      </w:r>
      <w:r w:rsidRPr="00EB3D94">
        <w:rPr>
          <w:lang w:val="es-ES"/>
        </w:rPr>
        <w:t>renovarlas</w:t>
      </w:r>
      <w:r w:rsidRPr="00EB3D94">
        <w:rPr>
          <w:spacing w:val="-14"/>
          <w:lang w:val="es-ES"/>
        </w:rPr>
        <w:t xml:space="preserve"> </w:t>
      </w:r>
      <w:r w:rsidRPr="00EB3D94">
        <w:rPr>
          <w:lang w:val="es-ES"/>
        </w:rPr>
        <w:t>desde</w:t>
      </w:r>
      <w:r w:rsidRPr="00EB3D94">
        <w:rPr>
          <w:spacing w:val="-14"/>
          <w:lang w:val="es-ES"/>
        </w:rPr>
        <w:t xml:space="preserve"> </w:t>
      </w:r>
      <w:r w:rsidRPr="00EB3D94">
        <w:rPr>
          <w:spacing w:val="-17"/>
          <w:lang w:val="es-ES"/>
        </w:rPr>
        <w:t xml:space="preserve"> </w:t>
      </w:r>
      <w:r w:rsidRPr="00EB3D94">
        <w:rPr>
          <w:lang w:val="es-ES"/>
        </w:rPr>
        <w:t>la mencionada</w:t>
      </w:r>
      <w:r w:rsidRPr="00EB3D94">
        <w:rPr>
          <w:spacing w:val="-59"/>
          <w:lang w:val="es-ES"/>
        </w:rPr>
        <w:t xml:space="preserve"> </w:t>
      </w:r>
      <w:r w:rsidRPr="00EB3D94">
        <w:rPr>
          <w:lang w:val="es-ES"/>
        </w:rPr>
        <w:t>fecha de vencimiento hasta la fecha en que se cumplan 12 meses desde la firma</w:t>
      </w:r>
      <w:r w:rsidRPr="00EB3D94">
        <w:rPr>
          <w:spacing w:val="1"/>
          <w:lang w:val="es-ES"/>
        </w:rPr>
        <w:t xml:space="preserve"> </w:t>
      </w:r>
      <w:r w:rsidRPr="00EB3D94">
        <w:rPr>
          <w:lang w:val="es-ES"/>
        </w:rPr>
        <w:t>de los nuevos contratos de cash-</w:t>
      </w:r>
      <w:proofErr w:type="spellStart"/>
      <w:r w:rsidRPr="00EB3D94">
        <w:rPr>
          <w:lang w:val="es-ES"/>
        </w:rPr>
        <w:t>pooling</w:t>
      </w:r>
      <w:proofErr w:type="spellEnd"/>
      <w:r w:rsidRPr="00EB3D94">
        <w:rPr>
          <w:lang w:val="es-ES"/>
        </w:rPr>
        <w:t>, según l</w:t>
      </w:r>
      <w:r w:rsidR="00630119" w:rsidRPr="00EB3D94">
        <w:rPr>
          <w:lang w:val="es-ES"/>
        </w:rPr>
        <w:t>o</w:t>
      </w:r>
      <w:r w:rsidRPr="00EB3D94">
        <w:rPr>
          <w:lang w:val="es-ES"/>
        </w:rPr>
        <w:t xml:space="preserve"> establecido en el apartado anterior (periodo</w:t>
      </w:r>
      <w:r w:rsidR="00630119" w:rsidRPr="00EB3D94">
        <w:rPr>
          <w:lang w:val="es-ES"/>
        </w:rPr>
        <w:t xml:space="preserve"> </w:t>
      </w:r>
      <w:r w:rsidRPr="00EB3D94">
        <w:rPr>
          <w:spacing w:val="-59"/>
          <w:lang w:val="es-ES"/>
        </w:rPr>
        <w:t xml:space="preserve"> </w:t>
      </w:r>
      <w:r w:rsidRPr="00EB3D94">
        <w:rPr>
          <w:lang w:val="es-ES"/>
        </w:rPr>
        <w:t>transitorio).</w:t>
      </w:r>
    </w:p>
    <w:p w14:paraId="0E77CA83" w14:textId="77777777" w:rsidR="0010763D" w:rsidRPr="00EB3D94" w:rsidRDefault="0010763D" w:rsidP="00BC4866">
      <w:pPr>
        <w:pStyle w:val="Default"/>
        <w:tabs>
          <w:tab w:val="left" w:pos="426"/>
        </w:tabs>
        <w:ind w:left="360" w:hanging="360"/>
        <w:rPr>
          <w:color w:val="auto"/>
          <w:lang w:val="es-ES"/>
        </w:rPr>
      </w:pPr>
    </w:p>
    <w:p w14:paraId="24A0CD19" w14:textId="5BAC21CF" w:rsidR="00484AA2" w:rsidRPr="00EB3D94" w:rsidRDefault="00484AA2" w:rsidP="00BC4866">
      <w:pPr>
        <w:pStyle w:val="Ttol2"/>
        <w:spacing w:before="0" w:after="0"/>
        <w:jc w:val="both"/>
        <w:rPr>
          <w:rFonts w:ascii="Arial" w:hAnsi="Arial" w:cs="Arial"/>
          <w:i w:val="0"/>
          <w:sz w:val="22"/>
          <w:szCs w:val="22"/>
          <w:u w:val="single"/>
          <w:lang w:val="es-ES"/>
        </w:rPr>
      </w:pPr>
      <w:r w:rsidRPr="00EB3D94">
        <w:rPr>
          <w:rFonts w:ascii="Arial" w:hAnsi="Arial" w:cs="Arial"/>
          <w:i w:val="0"/>
          <w:sz w:val="22"/>
          <w:szCs w:val="22"/>
          <w:lang w:val="es-ES"/>
        </w:rPr>
        <w:t>Decimonovena</w:t>
      </w:r>
      <w:r w:rsidR="000B1924" w:rsidRPr="00EB3D94">
        <w:rPr>
          <w:rFonts w:ascii="Arial" w:hAnsi="Arial" w:cs="Arial"/>
          <w:i w:val="0"/>
          <w:sz w:val="22"/>
          <w:szCs w:val="22"/>
          <w:lang w:val="es-ES"/>
        </w:rPr>
        <w:t xml:space="preserve">. </w:t>
      </w:r>
      <w:r w:rsidR="000B1924" w:rsidRPr="00EB3D94">
        <w:rPr>
          <w:rFonts w:ascii="Arial" w:hAnsi="Arial" w:cs="Arial"/>
          <w:i w:val="0"/>
          <w:sz w:val="22"/>
          <w:szCs w:val="22"/>
          <w:u w:val="single"/>
          <w:lang w:val="es-ES"/>
        </w:rPr>
        <w:t>Cumplimiento</w:t>
      </w:r>
      <w:r w:rsidRPr="00EB3D94">
        <w:rPr>
          <w:rFonts w:ascii="Arial" w:hAnsi="Arial" w:cs="Arial"/>
          <w:i w:val="0"/>
          <w:sz w:val="22"/>
          <w:szCs w:val="22"/>
          <w:u w:val="single"/>
          <w:lang w:val="es-ES"/>
        </w:rPr>
        <w:t xml:space="preserve"> de plazos y correcta ejecución del contrato</w:t>
      </w:r>
    </w:p>
    <w:p w14:paraId="47E8F2D3" w14:textId="77777777" w:rsidR="00484AA2" w:rsidRPr="00EB3D94" w:rsidRDefault="00484AA2" w:rsidP="00BC4866">
      <w:pPr>
        <w:jc w:val="both"/>
        <w:rPr>
          <w:rFonts w:cs="Arial"/>
          <w:lang w:val="es-ES"/>
        </w:rPr>
      </w:pPr>
    </w:p>
    <w:p w14:paraId="4EB87213" w14:textId="77777777" w:rsidR="00484AA2" w:rsidRPr="00EB3D94" w:rsidRDefault="00484AA2" w:rsidP="00BC4866">
      <w:pPr>
        <w:jc w:val="both"/>
        <w:rPr>
          <w:rFonts w:cs="Arial"/>
          <w:i/>
          <w:lang w:val="es-ES"/>
        </w:rPr>
      </w:pPr>
      <w:r w:rsidRPr="00EB3D94">
        <w:rPr>
          <w:rFonts w:cs="Arial"/>
          <w:b/>
          <w:lang w:val="es-ES"/>
        </w:rPr>
        <w:t xml:space="preserve">19.1 </w:t>
      </w:r>
      <w:r w:rsidRPr="00EB3D94">
        <w:rPr>
          <w:rFonts w:cs="Arial"/>
          <w:lang w:val="es-ES"/>
        </w:rPr>
        <w:t>La empresa contratista está obligada a cumplir el plazo total de ejecución del contrato y los plazos parciales fijados, si procede, en el programa de trabajo.</w:t>
      </w:r>
    </w:p>
    <w:p w14:paraId="14FD328C" w14:textId="77777777" w:rsidR="00484AA2" w:rsidRPr="00EB3D94" w:rsidRDefault="00484AA2" w:rsidP="00BC4866">
      <w:pPr>
        <w:jc w:val="both"/>
        <w:rPr>
          <w:rFonts w:cs="Arial"/>
          <w:i/>
          <w:lang w:val="es-ES"/>
        </w:rPr>
      </w:pPr>
    </w:p>
    <w:p w14:paraId="5088F110" w14:textId="20ABAE74" w:rsidR="00484AA2" w:rsidRPr="00EB3D94" w:rsidRDefault="00484AA2" w:rsidP="00BC4866">
      <w:pPr>
        <w:jc w:val="both"/>
        <w:rPr>
          <w:rFonts w:cs="Arial"/>
          <w:lang w:val="es-ES"/>
        </w:rPr>
      </w:pPr>
      <w:r w:rsidRPr="00EB3D94">
        <w:rPr>
          <w:rFonts w:cs="Arial"/>
          <w:b/>
          <w:lang w:val="es-ES"/>
        </w:rPr>
        <w:t>19.2</w:t>
      </w:r>
      <w:r w:rsidRPr="00EB3D94">
        <w:rPr>
          <w:rFonts w:cs="Arial"/>
          <w:lang w:val="es-ES"/>
        </w:rPr>
        <w:t xml:space="preserve"> Si la empresa contratista incurriera demora respecto </w:t>
      </w:r>
      <w:r w:rsidR="000B1924" w:rsidRPr="00EB3D94">
        <w:rPr>
          <w:rFonts w:cs="Arial"/>
          <w:lang w:val="es-ES"/>
        </w:rPr>
        <w:t>del cumplimiento</w:t>
      </w:r>
      <w:r w:rsidRPr="00EB3D94">
        <w:rPr>
          <w:rFonts w:cs="Arial"/>
          <w:lang w:val="es-ES"/>
        </w:rPr>
        <w:t xml:space="preserve"> de los plazos total o parciales, por causas que le sean imputables, la Administración podrá optar, vistas las circunstancias del caso</w:t>
      </w:r>
      <w:r w:rsidR="00630119" w:rsidRPr="00EB3D94">
        <w:rPr>
          <w:rFonts w:cs="Arial"/>
          <w:lang w:val="es-ES"/>
        </w:rPr>
        <w:t>, por</w:t>
      </w:r>
      <w:r w:rsidRPr="00EB3D94">
        <w:rPr>
          <w:rFonts w:cs="Arial"/>
          <w:lang w:val="es-ES"/>
        </w:rPr>
        <w:t xml:space="preserve"> la resolución del contrato con pérdida de la garantía </w:t>
      </w:r>
      <w:r w:rsidR="00630119" w:rsidRPr="00EB3D94">
        <w:rPr>
          <w:rFonts w:cs="Arial"/>
          <w:lang w:val="es-ES"/>
        </w:rPr>
        <w:t>o por</w:t>
      </w:r>
      <w:r w:rsidRPr="00EB3D94">
        <w:rPr>
          <w:rFonts w:cs="Arial"/>
          <w:lang w:val="es-ES"/>
        </w:rPr>
        <w:t xml:space="preserve"> la imposición de las penalidades, en la forma y condiciones establecidas en los artículos 193 y 194 de la LCSP.</w:t>
      </w:r>
    </w:p>
    <w:p w14:paraId="3094C23D" w14:textId="77777777" w:rsidR="00484AA2" w:rsidRPr="00EB3D94" w:rsidRDefault="00484AA2" w:rsidP="00BC4866">
      <w:pPr>
        <w:jc w:val="both"/>
        <w:rPr>
          <w:rFonts w:cs="Arial"/>
          <w:lang w:val="es-ES"/>
        </w:rPr>
      </w:pPr>
    </w:p>
    <w:p w14:paraId="55EC6651" w14:textId="77777777" w:rsidR="00484AA2" w:rsidRPr="00EB3D94" w:rsidRDefault="00484AA2" w:rsidP="00BC4866">
      <w:pPr>
        <w:jc w:val="both"/>
        <w:rPr>
          <w:rFonts w:cs="Arial"/>
          <w:lang w:val="es-ES"/>
        </w:rPr>
      </w:pPr>
      <w:r w:rsidRPr="00EB3D94">
        <w:rPr>
          <w:rFonts w:cs="Arial"/>
          <w:lang w:val="es-ES"/>
        </w:rPr>
        <w:t>La Administración tendrá la misma facultad si la empresa contratista incumple parcialmente, por causas imputables que le sean imputables, la ejecución de las prestaciones definidas en el contrato.</w:t>
      </w:r>
    </w:p>
    <w:p w14:paraId="691E0831" w14:textId="77777777" w:rsidR="00484AA2" w:rsidRPr="00EB3D94" w:rsidRDefault="00484AA2" w:rsidP="00BC4866">
      <w:pPr>
        <w:jc w:val="both"/>
        <w:rPr>
          <w:rFonts w:cs="Arial"/>
          <w:lang w:val="es-ES"/>
        </w:rPr>
      </w:pPr>
    </w:p>
    <w:p w14:paraId="402D26AD" w14:textId="3573E68F" w:rsidR="00484AA2" w:rsidRPr="00EB3D94" w:rsidRDefault="00484AA2" w:rsidP="00BC4866">
      <w:pPr>
        <w:jc w:val="both"/>
        <w:rPr>
          <w:rFonts w:cs="Arial"/>
          <w:lang w:val="es-ES"/>
        </w:rPr>
      </w:pPr>
      <w:r w:rsidRPr="00EB3D94">
        <w:rPr>
          <w:rFonts w:cs="Arial"/>
          <w:lang w:val="es-ES"/>
        </w:rPr>
        <w:t xml:space="preserve">Si el retraso con respecto </w:t>
      </w:r>
      <w:r w:rsidR="00630119" w:rsidRPr="00EB3D94">
        <w:rPr>
          <w:rFonts w:cs="Arial"/>
          <w:lang w:val="es-ES"/>
        </w:rPr>
        <w:t>al cumplimiento</w:t>
      </w:r>
      <w:r w:rsidRPr="00EB3D94">
        <w:rPr>
          <w:rFonts w:cs="Arial"/>
          <w:lang w:val="es-ES"/>
        </w:rPr>
        <w:t xml:space="preserve"> de los plazos fuera producido por motivos no imputables a la empresa contratista y esta ofrece cumplir si se le amplía el plazo inicial de ejecución, se le concederá un plazo, al menos, igual al tiempo perdido, a menos que el contratista pida otro más corto.</w:t>
      </w:r>
    </w:p>
    <w:p w14:paraId="1F31A3C0" w14:textId="77777777" w:rsidR="00484AA2" w:rsidRPr="00EB3D94" w:rsidRDefault="00484AA2" w:rsidP="00BC4866">
      <w:pPr>
        <w:jc w:val="both"/>
        <w:rPr>
          <w:rFonts w:cs="Arial"/>
          <w:lang w:val="es-ES"/>
        </w:rPr>
      </w:pPr>
    </w:p>
    <w:p w14:paraId="4E63BB9D" w14:textId="77777777" w:rsidR="00484AA2" w:rsidRPr="00EB3D94" w:rsidRDefault="00484AA2" w:rsidP="00BC4866">
      <w:pPr>
        <w:jc w:val="both"/>
        <w:rPr>
          <w:rFonts w:cs="Arial"/>
          <w:lang w:val="es-ES"/>
        </w:rPr>
      </w:pPr>
      <w:r w:rsidRPr="00EB3D94">
        <w:rPr>
          <w:rFonts w:cs="Arial"/>
          <w:lang w:val="es-ES"/>
        </w:rPr>
        <w:t>En todo caso, la constitución en demora de la empresa contratista no requerirá intimación previa por parte de la Administración.</w:t>
      </w:r>
    </w:p>
    <w:p w14:paraId="63215F15" w14:textId="77777777" w:rsidR="00484AA2" w:rsidRPr="00EB3D94" w:rsidRDefault="00484AA2" w:rsidP="00BC4866">
      <w:pPr>
        <w:jc w:val="both"/>
        <w:rPr>
          <w:rFonts w:cs="Arial"/>
          <w:lang w:val="es-ES"/>
        </w:rPr>
      </w:pPr>
    </w:p>
    <w:p w14:paraId="12499BCC" w14:textId="77777777" w:rsidR="00484AA2" w:rsidRPr="00EB3D94" w:rsidRDefault="00484AA2" w:rsidP="00BC4866">
      <w:pPr>
        <w:jc w:val="both"/>
        <w:rPr>
          <w:rFonts w:cs="Arial"/>
          <w:lang w:val="es-ES"/>
        </w:rPr>
      </w:pPr>
      <w:r w:rsidRPr="00EB3D94">
        <w:rPr>
          <w:rFonts w:cs="Arial"/>
          <w:lang w:val="es-ES"/>
        </w:rPr>
        <w:t>Los importes de las penalidades que se impongan se harán efectivos mediante la deducción de las cantidades que, en concepto de pago total o parcial, se tengan que abonar a la empresa contratista o sobre la garantía de que, si procede, se hubiera constituido, cuando no se puedan deducir de los pagos mencionados.</w:t>
      </w:r>
    </w:p>
    <w:p w14:paraId="2CEA9B8E" w14:textId="77777777" w:rsidR="00484AA2" w:rsidRPr="00EB3D94" w:rsidRDefault="00484AA2" w:rsidP="00BC4866">
      <w:pPr>
        <w:jc w:val="both"/>
        <w:rPr>
          <w:rFonts w:cs="Arial"/>
          <w:b/>
          <w:lang w:val="es-ES"/>
        </w:rPr>
      </w:pPr>
    </w:p>
    <w:p w14:paraId="3F5E6423" w14:textId="77777777" w:rsidR="00171A4D" w:rsidRPr="00EB3D94" w:rsidRDefault="000E69FB" w:rsidP="00BC4866">
      <w:pPr>
        <w:pStyle w:val="Ttol2"/>
        <w:spacing w:before="0" w:after="0"/>
        <w:jc w:val="both"/>
        <w:rPr>
          <w:rFonts w:ascii="Arial" w:hAnsi="Arial" w:cs="Arial"/>
          <w:i w:val="0"/>
          <w:sz w:val="22"/>
          <w:szCs w:val="22"/>
          <w:u w:val="single"/>
          <w:lang w:val="es-ES"/>
        </w:rPr>
      </w:pPr>
      <w:r w:rsidRPr="00EB3D94">
        <w:rPr>
          <w:rFonts w:ascii="Arial" w:hAnsi="Arial" w:cs="Arial"/>
          <w:i w:val="0"/>
          <w:sz w:val="22"/>
          <w:szCs w:val="22"/>
          <w:lang w:val="es-ES"/>
        </w:rPr>
        <w:lastRenderedPageBreak/>
        <w:t xml:space="preserve">Veintena. </w:t>
      </w:r>
      <w:r w:rsidR="00926AFA" w:rsidRPr="00EB3D94">
        <w:rPr>
          <w:rFonts w:ascii="Arial" w:hAnsi="Arial" w:cs="Arial"/>
          <w:i w:val="0"/>
          <w:sz w:val="22"/>
          <w:szCs w:val="22"/>
          <w:u w:val="single"/>
          <w:lang w:val="es-ES"/>
        </w:rPr>
        <w:t>Control en la ejecución. R</w:t>
      </w:r>
      <w:r w:rsidR="00171A4D" w:rsidRPr="00EB3D94">
        <w:rPr>
          <w:rFonts w:ascii="Arial" w:hAnsi="Arial" w:cs="Arial"/>
          <w:i w:val="0"/>
          <w:sz w:val="22"/>
          <w:szCs w:val="22"/>
          <w:u w:val="single"/>
          <w:lang w:val="es-ES"/>
        </w:rPr>
        <w:t>esponsable del contrato</w:t>
      </w:r>
    </w:p>
    <w:p w14:paraId="23346C7B" w14:textId="77777777" w:rsidR="00171A4D" w:rsidRPr="00EB3D94" w:rsidRDefault="00171A4D" w:rsidP="00BC4866">
      <w:pPr>
        <w:jc w:val="both"/>
        <w:rPr>
          <w:rFonts w:cs="Arial"/>
          <w:b/>
          <w:lang w:val="es-ES"/>
        </w:rPr>
      </w:pPr>
    </w:p>
    <w:p w14:paraId="2D327563" w14:textId="1873B4A4" w:rsidR="00926AFA" w:rsidRPr="00EB3D94" w:rsidRDefault="00926AFA" w:rsidP="00BC4866">
      <w:pPr>
        <w:pStyle w:val="CM25"/>
        <w:spacing w:after="0"/>
        <w:jc w:val="both"/>
        <w:rPr>
          <w:sz w:val="22"/>
          <w:szCs w:val="22"/>
          <w:lang w:val="es-ES"/>
        </w:rPr>
      </w:pPr>
      <w:r w:rsidRPr="00EB3D94">
        <w:rPr>
          <w:b/>
          <w:sz w:val="22"/>
          <w:szCs w:val="22"/>
          <w:lang w:val="es-ES"/>
        </w:rPr>
        <w:t>20.1</w:t>
      </w:r>
      <w:r w:rsidRPr="00EB3D94">
        <w:rPr>
          <w:sz w:val="22"/>
          <w:szCs w:val="22"/>
          <w:lang w:val="es-ES"/>
        </w:rPr>
        <w:t xml:space="preserve"> El contrato se ejecutará con sujeción a lo que establezcan sus cláusulas y </w:t>
      </w:r>
      <w:r w:rsidR="00630119" w:rsidRPr="00EB3D94">
        <w:rPr>
          <w:sz w:val="22"/>
          <w:szCs w:val="22"/>
          <w:lang w:val="es-ES"/>
        </w:rPr>
        <w:t>los pliegos</w:t>
      </w:r>
      <w:r w:rsidRPr="00EB3D94">
        <w:rPr>
          <w:sz w:val="22"/>
          <w:szCs w:val="22"/>
          <w:lang w:val="es-ES"/>
        </w:rPr>
        <w:t xml:space="preserve"> y de acuerdo con las instrucciones que para su interpretación dé al contratista el órgano de contratación.</w:t>
      </w:r>
    </w:p>
    <w:p w14:paraId="03CE347B" w14:textId="77777777" w:rsidR="00926AFA" w:rsidRPr="00EB3D94" w:rsidRDefault="00926AFA" w:rsidP="00BC4866">
      <w:pPr>
        <w:pStyle w:val="Default"/>
        <w:rPr>
          <w:color w:val="auto"/>
          <w:lang w:val="es-ES"/>
        </w:rPr>
      </w:pPr>
    </w:p>
    <w:p w14:paraId="18BFFA2C" w14:textId="46EFBF16" w:rsidR="00926AFA" w:rsidRPr="00EB3D94" w:rsidRDefault="00926AFA" w:rsidP="00BC4866">
      <w:pPr>
        <w:pStyle w:val="CM25"/>
        <w:spacing w:after="0"/>
        <w:jc w:val="both"/>
        <w:rPr>
          <w:rFonts w:cs="Arial"/>
          <w:bCs/>
          <w:sz w:val="22"/>
          <w:szCs w:val="22"/>
          <w:lang w:val="es-ES"/>
        </w:rPr>
      </w:pPr>
      <w:r w:rsidRPr="00EB3D94">
        <w:rPr>
          <w:rFonts w:cs="Arial"/>
          <w:bCs/>
          <w:sz w:val="22"/>
          <w:szCs w:val="22"/>
          <w:lang w:val="es-ES"/>
        </w:rPr>
        <w:t xml:space="preserve">La Administración efectuará la inspección, comprobación y vigilancia para la correcta realización del contrato y podrá dictar las instrucciones oportunas para el </w:t>
      </w:r>
      <w:r w:rsidR="00630119" w:rsidRPr="00EB3D94">
        <w:rPr>
          <w:rFonts w:cs="Arial"/>
          <w:bCs/>
          <w:sz w:val="22"/>
          <w:szCs w:val="22"/>
          <w:lang w:val="es-ES"/>
        </w:rPr>
        <w:t>correcto cumplimiento</w:t>
      </w:r>
      <w:r w:rsidRPr="00EB3D94">
        <w:rPr>
          <w:rFonts w:cs="Arial"/>
          <w:bCs/>
          <w:sz w:val="22"/>
          <w:szCs w:val="22"/>
          <w:lang w:val="es-ES"/>
        </w:rPr>
        <w:t xml:space="preserve"> de este, sin perjuicio de la existencia de un responsable del contrato. </w:t>
      </w:r>
    </w:p>
    <w:p w14:paraId="17ED3943" w14:textId="77777777" w:rsidR="007C05FA" w:rsidRPr="00EB3D94" w:rsidRDefault="007C05FA" w:rsidP="00BC4866">
      <w:pPr>
        <w:pStyle w:val="Default"/>
        <w:rPr>
          <w:color w:val="auto"/>
          <w:lang w:val="es-ES"/>
        </w:rPr>
      </w:pPr>
    </w:p>
    <w:p w14:paraId="02BA7990" w14:textId="77777777" w:rsidR="007C05FA" w:rsidRPr="00EB3D94" w:rsidRDefault="007C05FA" w:rsidP="00BC4866">
      <w:pPr>
        <w:ind w:left="-15"/>
        <w:jc w:val="both"/>
        <w:rPr>
          <w:rFonts w:cs="Arial"/>
          <w:bCs/>
          <w:szCs w:val="22"/>
          <w:lang w:val="es-ES"/>
        </w:rPr>
      </w:pPr>
      <w:r w:rsidRPr="00EB3D94">
        <w:rPr>
          <w:rFonts w:cs="Arial"/>
          <w:bCs/>
          <w:szCs w:val="22"/>
          <w:lang w:val="es-ES"/>
        </w:rPr>
        <w:t xml:space="preserve">La dirección, coordinación y supervisión de las tareas objeto de este contrato se llevarán a cabo por la Dirección General de Política Financiera, Seguros y Tesoro del Departamento de Economía y </w:t>
      </w:r>
      <w:r w:rsidR="00D941EB" w:rsidRPr="00EB3D94">
        <w:rPr>
          <w:rFonts w:cs="Arial"/>
          <w:bCs/>
          <w:szCs w:val="22"/>
          <w:lang w:val="es-ES"/>
        </w:rPr>
        <w:t>Finanzas</w:t>
      </w:r>
      <w:r w:rsidRPr="00EB3D94">
        <w:rPr>
          <w:rFonts w:cs="Arial"/>
          <w:bCs/>
          <w:szCs w:val="22"/>
          <w:lang w:val="es-ES"/>
        </w:rPr>
        <w:t xml:space="preserve">. </w:t>
      </w:r>
    </w:p>
    <w:p w14:paraId="46D641F5" w14:textId="77777777" w:rsidR="00926AFA" w:rsidRPr="00EB3D94" w:rsidRDefault="00926AFA" w:rsidP="00BC4866">
      <w:pPr>
        <w:pStyle w:val="Default"/>
        <w:rPr>
          <w:bCs/>
          <w:color w:val="auto"/>
          <w:sz w:val="22"/>
          <w:szCs w:val="22"/>
          <w:lang w:val="es-ES"/>
        </w:rPr>
      </w:pPr>
    </w:p>
    <w:p w14:paraId="24AD3A23" w14:textId="77777777" w:rsidR="00926AFA" w:rsidRPr="00EB3D94" w:rsidRDefault="00926AFA" w:rsidP="00BC4866">
      <w:pPr>
        <w:jc w:val="both"/>
        <w:rPr>
          <w:rFonts w:cs="Arial"/>
          <w:bCs/>
          <w:szCs w:val="22"/>
          <w:lang w:val="es-ES"/>
        </w:rPr>
      </w:pPr>
      <w:r w:rsidRPr="00EB3D94">
        <w:rPr>
          <w:rFonts w:cs="Arial"/>
          <w:bCs/>
          <w:szCs w:val="22"/>
          <w:lang w:val="es-ES"/>
        </w:rPr>
        <w:t xml:space="preserve">Con el objetivo de resolver las dudas interpretativas y otras cuestiones relacionadas con la ejecución del contrato, se establece una </w:t>
      </w:r>
      <w:r w:rsidRPr="00EB3D94">
        <w:rPr>
          <w:rFonts w:cs="Arial"/>
          <w:bCs/>
          <w:szCs w:val="22"/>
          <w:u w:val="single"/>
          <w:lang w:val="es-ES"/>
        </w:rPr>
        <w:t>Comisión Paritaria</w:t>
      </w:r>
      <w:r w:rsidRPr="00EB3D94">
        <w:rPr>
          <w:rFonts w:cs="Arial"/>
          <w:bCs/>
          <w:szCs w:val="22"/>
          <w:lang w:val="es-ES"/>
        </w:rPr>
        <w:t xml:space="preserve"> de seguimiento que se pueda reunir a propuesta de cualquiera de las partes firmantes del contrato.</w:t>
      </w:r>
    </w:p>
    <w:p w14:paraId="249C0AF0" w14:textId="77777777" w:rsidR="00926AFA" w:rsidRPr="00EB3D94" w:rsidRDefault="00926AFA" w:rsidP="00BC4866">
      <w:pPr>
        <w:jc w:val="both"/>
        <w:rPr>
          <w:rFonts w:cs="Arial"/>
          <w:bCs/>
          <w:szCs w:val="22"/>
          <w:lang w:val="es-ES"/>
        </w:rPr>
      </w:pPr>
    </w:p>
    <w:p w14:paraId="115C51D6" w14:textId="77777777" w:rsidR="00926AFA" w:rsidRPr="00EB3D94" w:rsidRDefault="00926AFA" w:rsidP="00BC4866">
      <w:pPr>
        <w:jc w:val="both"/>
        <w:rPr>
          <w:rFonts w:cs="Arial"/>
          <w:bCs/>
          <w:szCs w:val="22"/>
          <w:lang w:val="es-ES"/>
        </w:rPr>
      </w:pPr>
      <w:r w:rsidRPr="00EB3D94">
        <w:rPr>
          <w:rFonts w:cs="Arial"/>
          <w:bCs/>
          <w:szCs w:val="22"/>
          <w:lang w:val="es-ES"/>
        </w:rPr>
        <w:t>La composición de esta Comisión Paritaria estará formada por 4 representantes del Depa</w:t>
      </w:r>
      <w:r w:rsidR="00183C28" w:rsidRPr="00EB3D94">
        <w:rPr>
          <w:rFonts w:cs="Arial"/>
          <w:bCs/>
          <w:szCs w:val="22"/>
          <w:lang w:val="es-ES"/>
        </w:rPr>
        <w:t xml:space="preserve">rtamento </w:t>
      </w:r>
      <w:r w:rsidRPr="00EB3D94">
        <w:rPr>
          <w:rFonts w:cs="Arial"/>
          <w:bCs/>
          <w:szCs w:val="22"/>
          <w:lang w:val="es-ES"/>
        </w:rPr>
        <w:t xml:space="preserve">de Economía y </w:t>
      </w:r>
      <w:r w:rsidR="00D941EB" w:rsidRPr="00EB3D94">
        <w:rPr>
          <w:rFonts w:cs="Arial"/>
          <w:bCs/>
          <w:szCs w:val="22"/>
          <w:lang w:val="es-ES"/>
        </w:rPr>
        <w:t xml:space="preserve">Finanzas </w:t>
      </w:r>
      <w:r w:rsidRPr="00EB3D94">
        <w:rPr>
          <w:rFonts w:cs="Arial"/>
          <w:bCs/>
          <w:szCs w:val="22"/>
          <w:lang w:val="es-ES"/>
        </w:rPr>
        <w:t xml:space="preserve">y 4 de la Entidad Financiera. Se reserva un voto de calidad para el presidente de la Comisión Paritaria, que será un representante del Departamento de Economía y </w:t>
      </w:r>
      <w:r w:rsidR="00D941EB" w:rsidRPr="00EB3D94">
        <w:rPr>
          <w:rFonts w:cs="Arial"/>
          <w:bCs/>
          <w:szCs w:val="22"/>
          <w:lang w:val="es-ES"/>
        </w:rPr>
        <w:t>Finanzas</w:t>
      </w:r>
      <w:r w:rsidRPr="00EB3D94">
        <w:rPr>
          <w:rFonts w:cs="Arial"/>
          <w:bCs/>
          <w:szCs w:val="22"/>
          <w:lang w:val="es-ES"/>
        </w:rPr>
        <w:t>.</w:t>
      </w:r>
    </w:p>
    <w:p w14:paraId="1DBC3E82" w14:textId="77777777" w:rsidR="00926AFA" w:rsidRPr="00EB3D94" w:rsidRDefault="00926AFA" w:rsidP="00BC4866">
      <w:pPr>
        <w:jc w:val="both"/>
        <w:rPr>
          <w:rFonts w:cs="Arial"/>
          <w:bCs/>
          <w:szCs w:val="22"/>
          <w:lang w:val="es-ES"/>
        </w:rPr>
      </w:pPr>
    </w:p>
    <w:p w14:paraId="59B6CACE" w14:textId="52129BFB" w:rsidR="00926AFA" w:rsidRPr="00EB3D94" w:rsidRDefault="00926AFA" w:rsidP="00BC4866">
      <w:pPr>
        <w:jc w:val="both"/>
        <w:rPr>
          <w:rFonts w:cs="Arial"/>
          <w:bCs/>
          <w:szCs w:val="22"/>
          <w:lang w:val="es-ES"/>
        </w:rPr>
      </w:pPr>
      <w:r w:rsidRPr="00EB3D94">
        <w:rPr>
          <w:rFonts w:cs="Arial"/>
          <w:bCs/>
          <w:szCs w:val="22"/>
          <w:lang w:val="es-ES"/>
        </w:rPr>
        <w:t xml:space="preserve">La Comisión Paritaria establecerá, al inicio de la ejecución del contrato, los criterios de valoración de las faltas derivadas del incumplimiento del contrato y </w:t>
      </w:r>
      <w:r w:rsidR="00E23614" w:rsidRPr="00EB3D94">
        <w:rPr>
          <w:rFonts w:cs="Arial"/>
          <w:bCs/>
          <w:szCs w:val="22"/>
          <w:lang w:val="es-ES"/>
        </w:rPr>
        <w:t>deberá</w:t>
      </w:r>
      <w:r w:rsidRPr="00EB3D94">
        <w:rPr>
          <w:rFonts w:cs="Arial"/>
          <w:bCs/>
          <w:szCs w:val="22"/>
          <w:lang w:val="es-ES"/>
        </w:rPr>
        <w:t xml:space="preserve"> decidir qué consecuencias podrá comportar el hecho de incurrir en estas faltas.</w:t>
      </w:r>
    </w:p>
    <w:p w14:paraId="548F28E9" w14:textId="77777777" w:rsidR="00926AFA" w:rsidRPr="00EB3D94" w:rsidRDefault="00926AFA" w:rsidP="00BC4866">
      <w:pPr>
        <w:jc w:val="both"/>
        <w:rPr>
          <w:rFonts w:cs="Arial"/>
          <w:bCs/>
          <w:szCs w:val="22"/>
          <w:lang w:val="es-ES"/>
        </w:rPr>
      </w:pPr>
    </w:p>
    <w:p w14:paraId="132157F3" w14:textId="502ED399" w:rsidR="00926AFA" w:rsidRPr="00EB3D94" w:rsidRDefault="00926AFA" w:rsidP="00BC4866">
      <w:pPr>
        <w:jc w:val="both"/>
        <w:rPr>
          <w:rFonts w:cs="Arial"/>
          <w:lang w:val="es-ES"/>
        </w:rPr>
      </w:pPr>
      <w:r w:rsidRPr="00EB3D94">
        <w:rPr>
          <w:rFonts w:cs="Arial"/>
          <w:bCs/>
          <w:szCs w:val="22"/>
          <w:lang w:val="es-ES"/>
        </w:rPr>
        <w:t xml:space="preserve">La Comisión Paritaria </w:t>
      </w:r>
      <w:r w:rsidRPr="00EB3D94">
        <w:rPr>
          <w:rFonts w:cs="Arial"/>
          <w:lang w:val="es-ES"/>
        </w:rPr>
        <w:t xml:space="preserve">facilitará al responsable del contrato los datos sobre los niveles </w:t>
      </w:r>
      <w:r w:rsidR="00630119" w:rsidRPr="00EB3D94">
        <w:rPr>
          <w:rFonts w:cs="Arial"/>
          <w:lang w:val="es-ES"/>
        </w:rPr>
        <w:t>de cumplimiento</w:t>
      </w:r>
      <w:r w:rsidRPr="00EB3D94">
        <w:rPr>
          <w:rFonts w:cs="Arial"/>
          <w:lang w:val="es-ES"/>
        </w:rPr>
        <w:t xml:space="preserve"> de los servicios.</w:t>
      </w:r>
    </w:p>
    <w:p w14:paraId="0137CEF0" w14:textId="77777777" w:rsidR="00926AFA" w:rsidRPr="00EB3D94" w:rsidRDefault="00926AFA" w:rsidP="00BC4866">
      <w:pPr>
        <w:tabs>
          <w:tab w:val="left" w:pos="1440"/>
          <w:tab w:val="left" w:pos="1800"/>
          <w:tab w:val="left" w:pos="2340"/>
        </w:tabs>
        <w:jc w:val="both"/>
        <w:rPr>
          <w:rFonts w:cs="Arial"/>
          <w:lang w:val="es-ES" w:eastAsia="en-US"/>
        </w:rPr>
      </w:pPr>
    </w:p>
    <w:p w14:paraId="550A6F81" w14:textId="62E7C8D2" w:rsidR="00926AFA" w:rsidRPr="00EB3D94" w:rsidRDefault="00926AFA" w:rsidP="00BC4866">
      <w:pPr>
        <w:tabs>
          <w:tab w:val="left" w:pos="1440"/>
          <w:tab w:val="left" w:pos="1800"/>
          <w:tab w:val="left" w:pos="2340"/>
        </w:tabs>
        <w:jc w:val="both"/>
        <w:rPr>
          <w:rFonts w:cs="Arial"/>
          <w:lang w:val="es-ES" w:eastAsia="en-US"/>
        </w:rPr>
      </w:pPr>
      <w:r w:rsidRPr="00EB3D94">
        <w:rPr>
          <w:rFonts w:cs="Arial"/>
          <w:lang w:val="es-ES" w:eastAsia="en-US"/>
        </w:rPr>
        <w:t>En caso de incumplimiento del requerimiento mínimo imprescindible máximo de tres meses del inicio de la ejecución del contrato de la primera fase</w:t>
      </w:r>
      <w:r w:rsidR="0038222D" w:rsidRPr="00EB3D94">
        <w:rPr>
          <w:lang w:val="es-ES" w:eastAsia="en-US"/>
        </w:rPr>
        <w:t xml:space="preserve"> establecido en el LOT</w:t>
      </w:r>
      <w:r w:rsidR="00630119" w:rsidRPr="00EB3D94">
        <w:rPr>
          <w:lang w:val="es-ES" w:eastAsia="en-US"/>
        </w:rPr>
        <w:t>E</w:t>
      </w:r>
      <w:r w:rsidR="0038222D" w:rsidRPr="00EB3D94">
        <w:rPr>
          <w:lang w:val="es-ES" w:eastAsia="en-US"/>
        </w:rPr>
        <w:t xml:space="preserve"> 1</w:t>
      </w:r>
      <w:r w:rsidRPr="00EB3D94">
        <w:rPr>
          <w:rFonts w:cs="Arial"/>
          <w:lang w:val="es-ES" w:eastAsia="en-US"/>
        </w:rPr>
        <w:t xml:space="preserve"> supondrá una penalización de 100 euros </w:t>
      </w:r>
      <w:r w:rsidR="00630119" w:rsidRPr="00EB3D94">
        <w:rPr>
          <w:rFonts w:cs="Arial"/>
          <w:lang w:val="es-ES" w:eastAsia="en-US"/>
        </w:rPr>
        <w:t>mensuales por</w:t>
      </w:r>
      <w:r w:rsidRPr="00EB3D94">
        <w:rPr>
          <w:rFonts w:cs="Arial"/>
          <w:lang w:val="es-ES" w:eastAsia="en-US"/>
        </w:rPr>
        <w:t xml:space="preserve"> cada cuenta operativa que tenga la entidad financiera en el sistema de cash-</w:t>
      </w:r>
      <w:proofErr w:type="spellStart"/>
      <w:r w:rsidRPr="00EB3D94">
        <w:rPr>
          <w:rFonts w:cs="Arial"/>
          <w:lang w:val="es-ES" w:eastAsia="en-US"/>
        </w:rPr>
        <w:t>pooling</w:t>
      </w:r>
      <w:proofErr w:type="spellEnd"/>
      <w:r w:rsidRPr="00EB3D94">
        <w:rPr>
          <w:rFonts w:cs="Arial"/>
          <w:lang w:val="es-ES" w:eastAsia="en-US"/>
        </w:rPr>
        <w:t>.</w:t>
      </w:r>
    </w:p>
    <w:p w14:paraId="0C64890D" w14:textId="77777777" w:rsidR="00926AFA" w:rsidRPr="00EB3D94" w:rsidRDefault="00926AFA" w:rsidP="00BC4866">
      <w:pPr>
        <w:tabs>
          <w:tab w:val="left" w:pos="1440"/>
          <w:tab w:val="left" w:pos="1800"/>
          <w:tab w:val="left" w:pos="2340"/>
        </w:tabs>
        <w:jc w:val="both"/>
        <w:rPr>
          <w:rFonts w:cs="Arial"/>
          <w:lang w:val="es-ES" w:eastAsia="en-US"/>
        </w:rPr>
      </w:pPr>
    </w:p>
    <w:p w14:paraId="07EA66DB" w14:textId="77777777" w:rsidR="00171A4D" w:rsidRPr="00EB3D94" w:rsidRDefault="00926AFA" w:rsidP="00BC4866">
      <w:pPr>
        <w:tabs>
          <w:tab w:val="left" w:pos="1440"/>
          <w:tab w:val="left" w:pos="1800"/>
          <w:tab w:val="left" w:pos="2340"/>
        </w:tabs>
        <w:jc w:val="both"/>
        <w:rPr>
          <w:rFonts w:cs="Arial"/>
          <w:lang w:val="es-ES" w:eastAsia="en-US"/>
        </w:rPr>
      </w:pPr>
      <w:r w:rsidRPr="00EB3D94">
        <w:rPr>
          <w:rFonts w:cs="Arial"/>
          <w:b/>
          <w:lang w:val="es-ES" w:eastAsia="en-US"/>
        </w:rPr>
        <w:t>20.2</w:t>
      </w:r>
      <w:r w:rsidRPr="00EB3D94">
        <w:rPr>
          <w:rFonts w:cs="Arial"/>
          <w:lang w:val="es-ES" w:eastAsia="en-US"/>
        </w:rPr>
        <w:t xml:space="preserve"> En este expediente se designa como </w:t>
      </w:r>
      <w:r w:rsidRPr="00EB3D94">
        <w:rPr>
          <w:rFonts w:cs="Arial"/>
          <w:b/>
          <w:lang w:val="es-ES" w:eastAsia="en-US"/>
        </w:rPr>
        <w:t>responsable del contrato</w:t>
      </w:r>
      <w:r w:rsidRPr="00EB3D94">
        <w:rPr>
          <w:rFonts w:cs="Arial"/>
          <w:lang w:val="es-ES" w:eastAsia="en-US"/>
        </w:rPr>
        <w:t xml:space="preserve"> al/a la director/a general de Política Financiera, Seguros y Tesoro </w:t>
      </w:r>
      <w:r w:rsidR="00171A4D" w:rsidRPr="00EB3D94">
        <w:rPr>
          <w:rFonts w:cs="Arial"/>
          <w:lang w:val="es-ES" w:eastAsia="en-US"/>
        </w:rPr>
        <w:t>que ejercerá las funciones siguientes:</w:t>
      </w:r>
    </w:p>
    <w:p w14:paraId="46789CB3" w14:textId="77777777" w:rsidR="00171A4D" w:rsidRPr="00EB3D94" w:rsidRDefault="00171A4D" w:rsidP="00BC4866">
      <w:pPr>
        <w:tabs>
          <w:tab w:val="left" w:pos="1440"/>
          <w:tab w:val="left" w:pos="1800"/>
          <w:tab w:val="left" w:pos="2340"/>
        </w:tabs>
        <w:jc w:val="both"/>
        <w:rPr>
          <w:rFonts w:cs="Arial"/>
          <w:lang w:val="es-ES" w:eastAsia="en-US"/>
        </w:rPr>
      </w:pPr>
    </w:p>
    <w:p w14:paraId="1C206143" w14:textId="77777777" w:rsidR="00171A4D" w:rsidRPr="00EB3D94" w:rsidRDefault="00171A4D" w:rsidP="00BC4866">
      <w:pPr>
        <w:pStyle w:val="Pargrafdellista"/>
        <w:numPr>
          <w:ilvl w:val="0"/>
          <w:numId w:val="31"/>
        </w:numPr>
        <w:jc w:val="both"/>
        <w:rPr>
          <w:rFonts w:cs="Arial"/>
          <w:szCs w:val="22"/>
          <w:lang w:val="es-ES" w:eastAsia="en-US"/>
        </w:rPr>
      </w:pPr>
      <w:r w:rsidRPr="00EB3D94">
        <w:rPr>
          <w:rFonts w:cs="Arial"/>
          <w:szCs w:val="22"/>
          <w:lang w:val="es-ES" w:eastAsia="en-US"/>
        </w:rPr>
        <w:t>Supervisar la ejecución del contrato y tomar las decisiones y dictar las instrucciones necesarias para asegurar la correcta realización de la prestación, siempre dentro de las facultades que le otorgue el órgano de contratación.</w:t>
      </w:r>
    </w:p>
    <w:p w14:paraId="213FFFD7" w14:textId="77777777" w:rsidR="00171A4D" w:rsidRPr="00EB3D94" w:rsidRDefault="00171A4D" w:rsidP="00BC4866">
      <w:pPr>
        <w:pStyle w:val="Pargrafdellista"/>
        <w:numPr>
          <w:ilvl w:val="0"/>
          <w:numId w:val="31"/>
        </w:numPr>
        <w:jc w:val="both"/>
        <w:rPr>
          <w:rFonts w:cs="Arial"/>
          <w:szCs w:val="22"/>
          <w:lang w:val="es-ES" w:eastAsia="en-US"/>
        </w:rPr>
      </w:pPr>
      <w:r w:rsidRPr="00EB3D94">
        <w:rPr>
          <w:rFonts w:cs="Arial"/>
          <w:szCs w:val="22"/>
          <w:lang w:val="es-ES" w:eastAsia="en-US"/>
        </w:rPr>
        <w:t>Adoptar la propuesta sobre la imposición de penalidades.</w:t>
      </w:r>
    </w:p>
    <w:p w14:paraId="2F468CEF" w14:textId="77777777" w:rsidR="00171A4D" w:rsidRPr="00EB3D94" w:rsidRDefault="00171A4D" w:rsidP="00BC4866">
      <w:pPr>
        <w:pStyle w:val="Pargrafdellista"/>
        <w:numPr>
          <w:ilvl w:val="0"/>
          <w:numId w:val="31"/>
        </w:numPr>
        <w:jc w:val="both"/>
        <w:rPr>
          <w:rFonts w:cs="Arial"/>
          <w:szCs w:val="22"/>
          <w:lang w:val="es-ES" w:eastAsia="en-US"/>
        </w:rPr>
      </w:pPr>
      <w:r w:rsidRPr="00EB3D94">
        <w:rPr>
          <w:rFonts w:cs="Arial"/>
          <w:szCs w:val="22"/>
          <w:lang w:val="es-ES" w:eastAsia="en-US"/>
        </w:rPr>
        <w:t>Emitir un informe donde determine si el retraso en la ejecución es producido por motivos imputables al contratista.</w:t>
      </w:r>
    </w:p>
    <w:p w14:paraId="40997EA5" w14:textId="77777777" w:rsidR="00171A4D" w:rsidRPr="00EB3D94" w:rsidRDefault="00171A4D" w:rsidP="00BC4866">
      <w:pPr>
        <w:tabs>
          <w:tab w:val="left" w:pos="1440"/>
          <w:tab w:val="left" w:pos="1800"/>
          <w:tab w:val="left" w:pos="2340"/>
        </w:tabs>
        <w:jc w:val="both"/>
        <w:rPr>
          <w:rFonts w:cs="Arial"/>
          <w:lang w:val="es-ES" w:eastAsia="en-US"/>
        </w:rPr>
      </w:pPr>
    </w:p>
    <w:p w14:paraId="5B9C6744" w14:textId="25F27D9E" w:rsidR="00171A4D" w:rsidRPr="00EB3D94" w:rsidRDefault="00171A4D" w:rsidP="00BC4866">
      <w:pPr>
        <w:tabs>
          <w:tab w:val="left" w:pos="1440"/>
          <w:tab w:val="left" w:pos="1800"/>
          <w:tab w:val="left" w:pos="2340"/>
        </w:tabs>
        <w:jc w:val="both"/>
        <w:rPr>
          <w:rFonts w:cs="Arial"/>
          <w:lang w:val="es-ES" w:eastAsia="en-US"/>
        </w:rPr>
      </w:pPr>
      <w:r w:rsidRPr="00EB3D94">
        <w:rPr>
          <w:rFonts w:cs="Arial"/>
          <w:lang w:val="es-ES" w:eastAsia="en-US"/>
        </w:rPr>
        <w:t>Las instrucciones dadas por la persona responsable del contrato configuran las obligaciones de ejecución del contrato junto con su clausula</w:t>
      </w:r>
      <w:r w:rsidR="00630119" w:rsidRPr="00EB3D94">
        <w:rPr>
          <w:rFonts w:cs="Arial"/>
          <w:lang w:val="es-ES" w:eastAsia="en-US"/>
        </w:rPr>
        <w:t>do y los pliegos</w:t>
      </w:r>
      <w:r w:rsidRPr="00EB3D94">
        <w:rPr>
          <w:rFonts w:cs="Arial"/>
          <w:vanish/>
          <w:lang w:val="es-ES" w:eastAsia="en-US"/>
        </w:rPr>
        <w:t>&lt;A[pliegues|pliegos]&gt;</w:t>
      </w:r>
      <w:r w:rsidRPr="00EB3D94">
        <w:rPr>
          <w:rFonts w:cs="Arial"/>
          <w:lang w:val="es-ES" w:eastAsia="en-US"/>
        </w:rPr>
        <w:t>.</w:t>
      </w:r>
    </w:p>
    <w:p w14:paraId="1A32880D" w14:textId="77777777" w:rsidR="00ED6E00" w:rsidRPr="00EB3D94" w:rsidRDefault="00171A4D" w:rsidP="00BC4866">
      <w:pPr>
        <w:jc w:val="both"/>
        <w:rPr>
          <w:rFonts w:cs="Arial"/>
          <w:b/>
          <w:lang w:val="es-ES"/>
        </w:rPr>
      </w:pPr>
      <w:r w:rsidRPr="00EB3D94">
        <w:rPr>
          <w:rFonts w:cs="Arial"/>
          <w:lang w:val="es-ES" w:eastAsia="en-US"/>
        </w:rPr>
        <w:t xml:space="preserve"> </w:t>
      </w:r>
    </w:p>
    <w:p w14:paraId="1F9A273A" w14:textId="77777777" w:rsidR="00881496" w:rsidRPr="00EB3D94" w:rsidRDefault="00881496" w:rsidP="00BC4866">
      <w:pPr>
        <w:pStyle w:val="Ttol2"/>
        <w:spacing w:before="0" w:after="0"/>
        <w:jc w:val="both"/>
        <w:rPr>
          <w:rFonts w:ascii="Arial" w:hAnsi="Arial" w:cs="Arial"/>
          <w:i w:val="0"/>
          <w:sz w:val="22"/>
          <w:szCs w:val="22"/>
          <w:lang w:val="es-ES"/>
        </w:rPr>
      </w:pPr>
      <w:proofErr w:type="spellStart"/>
      <w:r w:rsidRPr="00EB3D94">
        <w:rPr>
          <w:rFonts w:ascii="Arial" w:hAnsi="Arial" w:cs="Arial"/>
          <w:i w:val="0"/>
          <w:sz w:val="22"/>
          <w:szCs w:val="22"/>
          <w:lang w:val="es-ES"/>
        </w:rPr>
        <w:t>Vigésimaprimera</w:t>
      </w:r>
      <w:proofErr w:type="spellEnd"/>
      <w:r w:rsidRPr="00EB3D94">
        <w:rPr>
          <w:rFonts w:ascii="Arial" w:hAnsi="Arial" w:cs="Arial"/>
          <w:i w:val="0"/>
          <w:sz w:val="22"/>
          <w:szCs w:val="22"/>
          <w:lang w:val="es-ES"/>
        </w:rPr>
        <w:t xml:space="preserve">. </w:t>
      </w:r>
      <w:r w:rsidRPr="00EB3D94">
        <w:rPr>
          <w:rFonts w:ascii="Arial" w:hAnsi="Arial" w:cs="Arial"/>
          <w:i w:val="0"/>
          <w:sz w:val="22"/>
          <w:szCs w:val="22"/>
          <w:u w:val="single"/>
          <w:lang w:val="es-ES"/>
        </w:rPr>
        <w:t>Resolución de incidencias</w:t>
      </w:r>
    </w:p>
    <w:p w14:paraId="77DFA100" w14:textId="77777777" w:rsidR="00881496" w:rsidRPr="00EB3D94" w:rsidRDefault="00881496" w:rsidP="00BC4866">
      <w:pPr>
        <w:jc w:val="both"/>
        <w:rPr>
          <w:rFonts w:cs="Arial"/>
          <w:lang w:val="es-ES"/>
        </w:rPr>
      </w:pPr>
    </w:p>
    <w:p w14:paraId="59308166" w14:textId="31145B48" w:rsidR="00881496" w:rsidRPr="00EB3D94" w:rsidRDefault="00881496" w:rsidP="00BC4866">
      <w:pPr>
        <w:jc w:val="both"/>
        <w:rPr>
          <w:rFonts w:cs="Arial"/>
          <w:lang w:val="es-ES"/>
        </w:rPr>
      </w:pPr>
      <w:r w:rsidRPr="00EB3D94">
        <w:rPr>
          <w:rFonts w:cs="Arial"/>
          <w:lang w:val="es-ES"/>
        </w:rPr>
        <w:t>Las incidencias que puedan surgir entre la Administración y la empresa contratista en la ejecución del contrato</w:t>
      </w:r>
      <w:r w:rsidR="00630119" w:rsidRPr="00EB3D94">
        <w:rPr>
          <w:rFonts w:cs="Arial"/>
          <w:lang w:val="es-ES"/>
        </w:rPr>
        <w:t>, por</w:t>
      </w:r>
      <w:r w:rsidRPr="00EB3D94">
        <w:rPr>
          <w:rFonts w:cs="Arial"/>
          <w:lang w:val="es-ES"/>
        </w:rPr>
        <w:t xml:space="preserve"> diferencias en la interpretación de lo que se ha convenido o </w:t>
      </w:r>
      <w:r w:rsidR="00630119" w:rsidRPr="00EB3D94">
        <w:rPr>
          <w:rFonts w:cs="Arial"/>
          <w:lang w:val="es-ES"/>
        </w:rPr>
        <w:t>bien por</w:t>
      </w:r>
      <w:r w:rsidRPr="00EB3D94">
        <w:rPr>
          <w:rFonts w:cs="Arial"/>
          <w:lang w:val="es-ES"/>
        </w:rPr>
        <w:t xml:space="preserve"> la necesidad </w:t>
      </w:r>
      <w:r w:rsidRPr="00EB3D94">
        <w:rPr>
          <w:rFonts w:cs="Arial"/>
          <w:lang w:val="es-ES"/>
        </w:rPr>
        <w:lastRenderedPageBreak/>
        <w:t xml:space="preserve">de modificar las condiciones contractuales, se tramitarán mediante expediente contradictorio que incluirá necesariamente las actuaciones descritas </w:t>
      </w:r>
      <w:proofErr w:type="gramStart"/>
      <w:r w:rsidRPr="00EB3D94">
        <w:rPr>
          <w:rFonts w:cs="Arial"/>
          <w:lang w:val="es-ES"/>
        </w:rPr>
        <w:t>en  el</w:t>
      </w:r>
      <w:proofErr w:type="gramEnd"/>
      <w:r w:rsidRPr="00EB3D94">
        <w:rPr>
          <w:rFonts w:cs="Arial"/>
          <w:lang w:val="es-ES"/>
        </w:rPr>
        <w:t xml:space="preserve"> artículo 97 del RGLCAP.</w:t>
      </w:r>
    </w:p>
    <w:p w14:paraId="34E0FE65" w14:textId="77777777" w:rsidR="00881496" w:rsidRPr="00EB3D94" w:rsidRDefault="00881496" w:rsidP="00BC4866">
      <w:pPr>
        <w:jc w:val="both"/>
        <w:rPr>
          <w:rFonts w:cs="Arial"/>
          <w:lang w:val="es-ES"/>
        </w:rPr>
      </w:pPr>
    </w:p>
    <w:p w14:paraId="368C4873" w14:textId="77777777" w:rsidR="00881496" w:rsidRPr="00EB3D94" w:rsidRDefault="00881496" w:rsidP="00BC4866">
      <w:pPr>
        <w:jc w:val="both"/>
        <w:rPr>
          <w:rFonts w:cs="Arial"/>
          <w:lang w:val="es-ES"/>
        </w:rPr>
      </w:pPr>
      <w:r w:rsidRPr="00EB3D94">
        <w:rPr>
          <w:rFonts w:cs="Arial"/>
          <w:lang w:val="es-ES"/>
        </w:rPr>
        <w:t xml:space="preserve">A menos que motivos de interés público lo justifiquen o la naturaleza de las incidencias lo requiera, su tramitación no determinará la paralización del contrato. </w:t>
      </w:r>
    </w:p>
    <w:p w14:paraId="3EC442DD" w14:textId="77777777" w:rsidR="00881496" w:rsidRPr="00EB3D94" w:rsidRDefault="00881496" w:rsidP="00BC4866">
      <w:pPr>
        <w:jc w:val="both"/>
        <w:rPr>
          <w:rFonts w:cs="Arial"/>
          <w:lang w:val="es-ES"/>
        </w:rPr>
      </w:pPr>
    </w:p>
    <w:p w14:paraId="0A45DF05" w14:textId="77777777" w:rsidR="00881496" w:rsidRPr="00EB3D94" w:rsidRDefault="00A15F2A" w:rsidP="00BC4866">
      <w:pPr>
        <w:pStyle w:val="Ttol2"/>
        <w:spacing w:before="0" w:after="0"/>
        <w:jc w:val="both"/>
        <w:rPr>
          <w:rFonts w:ascii="Arial" w:hAnsi="Arial" w:cs="Arial"/>
          <w:i w:val="0"/>
          <w:sz w:val="22"/>
          <w:szCs w:val="22"/>
          <w:u w:val="single"/>
          <w:lang w:val="es-ES"/>
        </w:rPr>
      </w:pPr>
      <w:bookmarkStart w:id="5" w:name="_Toc512237536"/>
      <w:proofErr w:type="spellStart"/>
      <w:r w:rsidRPr="00EB3D94">
        <w:rPr>
          <w:rFonts w:ascii="Arial" w:hAnsi="Arial" w:cs="Arial"/>
          <w:i w:val="0"/>
          <w:sz w:val="22"/>
          <w:szCs w:val="22"/>
          <w:lang w:val="es-ES"/>
        </w:rPr>
        <w:t>Vigésimasegun</w:t>
      </w:r>
      <w:r w:rsidR="00881496" w:rsidRPr="00EB3D94">
        <w:rPr>
          <w:rFonts w:ascii="Arial" w:hAnsi="Arial" w:cs="Arial"/>
          <w:i w:val="0"/>
          <w:sz w:val="22"/>
          <w:szCs w:val="22"/>
          <w:lang w:val="es-ES"/>
        </w:rPr>
        <w:t>da</w:t>
      </w:r>
      <w:proofErr w:type="spellEnd"/>
      <w:r w:rsidR="00881496" w:rsidRPr="00EB3D94">
        <w:rPr>
          <w:rFonts w:ascii="Arial" w:hAnsi="Arial" w:cs="Arial"/>
          <w:i w:val="0"/>
          <w:sz w:val="22"/>
          <w:szCs w:val="22"/>
          <w:lang w:val="es-ES"/>
        </w:rPr>
        <w:t xml:space="preserve">. </w:t>
      </w:r>
      <w:r w:rsidR="00881496" w:rsidRPr="00EB3D94">
        <w:rPr>
          <w:rFonts w:ascii="Arial" w:hAnsi="Arial" w:cs="Arial"/>
          <w:i w:val="0"/>
          <w:sz w:val="22"/>
          <w:szCs w:val="22"/>
          <w:u w:val="single"/>
          <w:lang w:val="es-ES"/>
        </w:rPr>
        <w:t>Resolución de dudas técnicas interpretativas</w:t>
      </w:r>
      <w:bookmarkEnd w:id="5"/>
    </w:p>
    <w:p w14:paraId="35898847" w14:textId="77777777" w:rsidR="00881496" w:rsidRPr="00EB3D94" w:rsidRDefault="00881496" w:rsidP="00BC4866">
      <w:pPr>
        <w:jc w:val="both"/>
        <w:rPr>
          <w:rFonts w:cs="Arial"/>
          <w:b/>
          <w:lang w:val="es-ES"/>
        </w:rPr>
      </w:pPr>
    </w:p>
    <w:p w14:paraId="783DCDE0" w14:textId="77777777" w:rsidR="00881496" w:rsidRPr="00EB3D94" w:rsidRDefault="00881496" w:rsidP="00BC4866">
      <w:pPr>
        <w:jc w:val="both"/>
        <w:rPr>
          <w:rFonts w:cs="Arial"/>
          <w:i/>
          <w:lang w:val="es-ES"/>
        </w:rPr>
      </w:pPr>
      <w:r w:rsidRPr="00EB3D94">
        <w:rPr>
          <w:rFonts w:cs="Arial"/>
          <w:lang w:val="es-ES"/>
        </w:rPr>
        <w:t>Para la resolución de dudas técnicas interpretativas que puedan surgir durante la ejecución del contrato se puede solicitar un informe técnico externo a la Administración y no vinculante.</w:t>
      </w:r>
    </w:p>
    <w:p w14:paraId="76101284" w14:textId="77777777" w:rsidR="004519FE" w:rsidRPr="00EB3D94" w:rsidRDefault="004519FE" w:rsidP="00BC4866">
      <w:pPr>
        <w:jc w:val="both"/>
        <w:rPr>
          <w:rFonts w:cs="Arial"/>
          <w:b/>
          <w:lang w:val="es-ES"/>
        </w:rPr>
      </w:pPr>
    </w:p>
    <w:p w14:paraId="61A353CD" w14:textId="77777777" w:rsidR="00881496" w:rsidRPr="00EB3D94" w:rsidRDefault="00881496" w:rsidP="00BC4866">
      <w:pPr>
        <w:pStyle w:val="Ttol1"/>
        <w:rPr>
          <w:rFonts w:cs="Arial"/>
          <w:sz w:val="22"/>
          <w:szCs w:val="22"/>
          <w:lang w:val="es-ES"/>
        </w:rPr>
      </w:pPr>
      <w:bookmarkStart w:id="6" w:name="_Toc512237537"/>
      <w:r w:rsidRPr="00EB3D94">
        <w:rPr>
          <w:rFonts w:cs="Arial"/>
          <w:sz w:val="22"/>
          <w:szCs w:val="22"/>
          <w:lang w:val="es-ES"/>
        </w:rPr>
        <w:t>IV. DISPOSICIONES RELATIVAS A LOS DERECHOS Y OBLIGACIONES DE LAS PARTES</w:t>
      </w:r>
      <w:bookmarkEnd w:id="6"/>
      <w:r w:rsidRPr="00EB3D94">
        <w:rPr>
          <w:rFonts w:cs="Arial"/>
          <w:sz w:val="22"/>
          <w:szCs w:val="22"/>
          <w:lang w:val="es-ES"/>
        </w:rPr>
        <w:t xml:space="preserve"> </w:t>
      </w:r>
    </w:p>
    <w:p w14:paraId="51D2D76F" w14:textId="77777777" w:rsidR="00881496" w:rsidRPr="00EB3D94" w:rsidRDefault="00881496" w:rsidP="00BC4866">
      <w:pPr>
        <w:pStyle w:val="CM25"/>
        <w:spacing w:after="0"/>
        <w:jc w:val="both"/>
        <w:rPr>
          <w:rFonts w:cs="Arial"/>
          <w:b/>
          <w:bCs/>
          <w:sz w:val="22"/>
          <w:szCs w:val="22"/>
          <w:lang w:val="es-ES"/>
        </w:rPr>
      </w:pPr>
    </w:p>
    <w:p w14:paraId="209F8FBF" w14:textId="77777777" w:rsidR="00A15F2A" w:rsidRPr="00EB3D94" w:rsidRDefault="00A15F2A" w:rsidP="00BC4866">
      <w:pPr>
        <w:pStyle w:val="Ttol2"/>
        <w:spacing w:before="0" w:after="0"/>
        <w:jc w:val="both"/>
        <w:rPr>
          <w:rFonts w:ascii="Arial" w:hAnsi="Arial" w:cs="Arial"/>
          <w:i w:val="0"/>
          <w:sz w:val="22"/>
          <w:szCs w:val="22"/>
          <w:lang w:val="es-ES"/>
        </w:rPr>
      </w:pPr>
      <w:proofErr w:type="spellStart"/>
      <w:r w:rsidRPr="00EB3D94">
        <w:rPr>
          <w:rFonts w:ascii="Arial" w:hAnsi="Arial" w:cs="Arial"/>
          <w:i w:val="0"/>
          <w:sz w:val="22"/>
          <w:szCs w:val="22"/>
          <w:lang w:val="es-ES"/>
        </w:rPr>
        <w:t>Vigésimatercera</w:t>
      </w:r>
      <w:proofErr w:type="spellEnd"/>
      <w:r w:rsidRPr="00EB3D94">
        <w:rPr>
          <w:rFonts w:ascii="Arial" w:hAnsi="Arial" w:cs="Arial"/>
          <w:i w:val="0"/>
          <w:sz w:val="22"/>
          <w:szCs w:val="22"/>
          <w:lang w:val="es-ES"/>
        </w:rPr>
        <w:t xml:space="preserve"> </w:t>
      </w:r>
      <w:r w:rsidRPr="00EB3D94">
        <w:rPr>
          <w:rFonts w:ascii="Arial" w:hAnsi="Arial" w:cs="Arial"/>
          <w:i w:val="0"/>
          <w:sz w:val="22"/>
          <w:szCs w:val="22"/>
          <w:u w:val="single"/>
          <w:lang w:val="es-ES"/>
        </w:rPr>
        <w:t>Abonos en la empresa contratista</w:t>
      </w:r>
    </w:p>
    <w:p w14:paraId="245A64BC" w14:textId="77777777" w:rsidR="00A15F2A" w:rsidRPr="00EB3D94" w:rsidRDefault="00A15F2A" w:rsidP="00BC4866">
      <w:pPr>
        <w:jc w:val="both"/>
        <w:rPr>
          <w:rFonts w:cs="Arial"/>
          <w:lang w:val="es-ES"/>
        </w:rPr>
      </w:pPr>
    </w:p>
    <w:p w14:paraId="3AD74BAD" w14:textId="3B93DF94" w:rsidR="00201599" w:rsidRPr="00EB3D94" w:rsidRDefault="00201599" w:rsidP="00BC4866">
      <w:pPr>
        <w:pStyle w:val="Capalera"/>
        <w:tabs>
          <w:tab w:val="clear" w:pos="4252"/>
          <w:tab w:val="clear" w:pos="8504"/>
        </w:tabs>
        <w:jc w:val="both"/>
        <w:rPr>
          <w:szCs w:val="22"/>
          <w:lang w:val="es-ES"/>
        </w:rPr>
      </w:pPr>
      <w:r w:rsidRPr="00EB3D94">
        <w:rPr>
          <w:szCs w:val="22"/>
          <w:lang w:val="es-ES"/>
        </w:rPr>
        <w:t>Los gastos asociados al servicio de cash-</w:t>
      </w:r>
      <w:proofErr w:type="spellStart"/>
      <w:r w:rsidRPr="00EB3D94">
        <w:rPr>
          <w:szCs w:val="22"/>
          <w:lang w:val="es-ES"/>
        </w:rPr>
        <w:t>pooling</w:t>
      </w:r>
      <w:proofErr w:type="spellEnd"/>
      <w:r w:rsidRPr="00EB3D94">
        <w:rPr>
          <w:szCs w:val="22"/>
          <w:lang w:val="es-ES"/>
        </w:rPr>
        <w:t xml:space="preserve"> se liquidarán en la </w:t>
      </w:r>
      <w:r w:rsidR="00192A34" w:rsidRPr="00EB3D94">
        <w:rPr>
          <w:szCs w:val="22"/>
          <w:lang w:val="es-ES"/>
        </w:rPr>
        <w:t>cuenta tesorera</w:t>
      </w:r>
      <w:r w:rsidRPr="00EB3D94">
        <w:rPr>
          <w:szCs w:val="22"/>
          <w:lang w:val="es-ES"/>
        </w:rPr>
        <w:t xml:space="preserve"> de la Generalitat de forma mensual.</w:t>
      </w:r>
    </w:p>
    <w:p w14:paraId="707EFB58" w14:textId="77777777" w:rsidR="00201599" w:rsidRPr="00EB3D94" w:rsidRDefault="00201599" w:rsidP="00BC4866">
      <w:pPr>
        <w:jc w:val="both"/>
        <w:rPr>
          <w:rFonts w:cs="Arial"/>
          <w:b/>
          <w:lang w:val="es-ES"/>
        </w:rPr>
      </w:pPr>
    </w:p>
    <w:p w14:paraId="527D5475" w14:textId="77777777" w:rsidR="00A15F2A" w:rsidRPr="00EB3D94" w:rsidRDefault="00627DA5" w:rsidP="00BC4866">
      <w:pPr>
        <w:pStyle w:val="Ttol2"/>
        <w:spacing w:before="0" w:after="0"/>
        <w:jc w:val="both"/>
        <w:rPr>
          <w:rFonts w:ascii="Arial" w:hAnsi="Arial" w:cs="Arial"/>
          <w:i w:val="0"/>
          <w:sz w:val="22"/>
          <w:szCs w:val="22"/>
          <w:lang w:val="es-ES"/>
        </w:rPr>
      </w:pPr>
      <w:bookmarkStart w:id="7" w:name="_Toc512237539"/>
      <w:proofErr w:type="spellStart"/>
      <w:r w:rsidRPr="00EB3D94">
        <w:rPr>
          <w:rFonts w:ascii="Arial" w:hAnsi="Arial" w:cs="Arial"/>
          <w:i w:val="0"/>
          <w:sz w:val="22"/>
          <w:szCs w:val="22"/>
          <w:lang w:val="es-ES"/>
        </w:rPr>
        <w:t>Vigésimacuar</w:t>
      </w:r>
      <w:r w:rsidR="00A15F2A" w:rsidRPr="00EB3D94">
        <w:rPr>
          <w:rFonts w:ascii="Arial" w:hAnsi="Arial" w:cs="Arial"/>
          <w:i w:val="0"/>
          <w:sz w:val="22"/>
          <w:szCs w:val="22"/>
          <w:lang w:val="es-ES"/>
        </w:rPr>
        <w:t>ta</w:t>
      </w:r>
      <w:proofErr w:type="spellEnd"/>
      <w:r w:rsidR="00A15F2A" w:rsidRPr="00EB3D94">
        <w:rPr>
          <w:rFonts w:ascii="Arial" w:hAnsi="Arial" w:cs="Arial"/>
          <w:i w:val="0"/>
          <w:sz w:val="22"/>
          <w:szCs w:val="22"/>
          <w:lang w:val="es-ES"/>
        </w:rPr>
        <w:t xml:space="preserve">. </w:t>
      </w:r>
      <w:r w:rsidR="00A15F2A" w:rsidRPr="00EB3D94">
        <w:rPr>
          <w:rFonts w:ascii="Arial" w:hAnsi="Arial" w:cs="Arial"/>
          <w:i w:val="0"/>
          <w:sz w:val="22"/>
          <w:szCs w:val="22"/>
          <w:u w:val="single"/>
          <w:lang w:val="es-ES"/>
        </w:rPr>
        <w:t>Responsabilidad de la empresa contratista</w:t>
      </w:r>
      <w:bookmarkEnd w:id="7"/>
    </w:p>
    <w:p w14:paraId="2D1DDF27" w14:textId="77777777" w:rsidR="00A15F2A" w:rsidRPr="00EB3D94" w:rsidRDefault="00A15F2A" w:rsidP="00BC4866">
      <w:pPr>
        <w:jc w:val="both"/>
        <w:rPr>
          <w:rFonts w:cs="Arial"/>
          <w:b/>
          <w:lang w:val="es-ES"/>
        </w:rPr>
      </w:pPr>
    </w:p>
    <w:p w14:paraId="6E069C0E" w14:textId="77777777" w:rsidR="00A15F2A" w:rsidRPr="00EB3D94" w:rsidRDefault="00A15F2A" w:rsidP="00BC4866">
      <w:pPr>
        <w:jc w:val="both"/>
        <w:rPr>
          <w:rFonts w:cs="Arial"/>
          <w:lang w:val="es-ES"/>
        </w:rPr>
      </w:pPr>
      <w:r w:rsidRPr="00EB3D94">
        <w:rPr>
          <w:rFonts w:cs="Arial"/>
          <w:lang w:val="es-ES"/>
        </w:rPr>
        <w:t>La empresa contratista es responsable de la calidad técnica de los trabajos que lleve a cabo y de las prestaciones y servicios realizados, así como también de las consecuencias que se deduzcan para la Administración o para terceras personas de las omisiones, errores, métodos inadecuados o conclusiones incorrectas en la ejecución del contrato.</w:t>
      </w:r>
    </w:p>
    <w:p w14:paraId="0E9DAA78" w14:textId="77777777" w:rsidR="00A15F2A" w:rsidRPr="00EB3D94" w:rsidRDefault="00A15F2A" w:rsidP="00BC4866">
      <w:pPr>
        <w:jc w:val="both"/>
        <w:rPr>
          <w:rFonts w:cs="Arial"/>
          <w:lang w:val="es-ES"/>
        </w:rPr>
      </w:pPr>
    </w:p>
    <w:p w14:paraId="51A167ED" w14:textId="77777777" w:rsidR="00A15F2A" w:rsidRPr="00EB3D94" w:rsidRDefault="00A15F2A" w:rsidP="00BC4866">
      <w:pPr>
        <w:jc w:val="both"/>
        <w:rPr>
          <w:rFonts w:cs="Arial"/>
          <w:lang w:val="es-ES"/>
        </w:rPr>
      </w:pPr>
      <w:r w:rsidRPr="00EB3D94">
        <w:rPr>
          <w:rFonts w:cs="Arial"/>
          <w:lang w:val="es-ES"/>
        </w:rPr>
        <w:t>La empresa contratista ejecuta el contrato a su riesgo y ventura y está obligada a indemnizar los daños y perjuicios que se causen a terceras personas como consecuencia de las operaciones que requiera la ejecución del contrato, excepto en el caso que los daños sean ocasionados como consecuencia inmediata y directa de una orden de la Administración.</w:t>
      </w:r>
    </w:p>
    <w:p w14:paraId="381CE0FD" w14:textId="77777777" w:rsidR="00A15F2A" w:rsidRPr="00EB3D94" w:rsidRDefault="00A15F2A" w:rsidP="00BC4866">
      <w:pPr>
        <w:jc w:val="both"/>
        <w:rPr>
          <w:rFonts w:cs="Arial"/>
          <w:b/>
          <w:bCs/>
          <w:snapToGrid w:val="0"/>
          <w:lang w:val="es-ES"/>
        </w:rPr>
      </w:pPr>
    </w:p>
    <w:p w14:paraId="46F02758" w14:textId="77777777" w:rsidR="00A15F2A" w:rsidRPr="00EB3D94" w:rsidRDefault="00627DA5" w:rsidP="00BC4866">
      <w:pPr>
        <w:pStyle w:val="Ttol2"/>
        <w:spacing w:before="0" w:after="0"/>
        <w:jc w:val="both"/>
        <w:rPr>
          <w:rFonts w:ascii="Arial" w:hAnsi="Arial" w:cs="Arial"/>
          <w:i w:val="0"/>
          <w:sz w:val="22"/>
          <w:szCs w:val="22"/>
          <w:lang w:val="es-ES"/>
        </w:rPr>
      </w:pPr>
      <w:bookmarkStart w:id="8" w:name="_Toc512237540"/>
      <w:proofErr w:type="spellStart"/>
      <w:r w:rsidRPr="00EB3D94">
        <w:rPr>
          <w:rFonts w:ascii="Arial" w:hAnsi="Arial" w:cs="Arial"/>
          <w:i w:val="0"/>
          <w:snapToGrid w:val="0"/>
          <w:sz w:val="22"/>
          <w:szCs w:val="22"/>
          <w:lang w:val="es-ES"/>
        </w:rPr>
        <w:t>Vigésimaqui</w:t>
      </w:r>
      <w:r w:rsidR="00A15F2A" w:rsidRPr="00EB3D94">
        <w:rPr>
          <w:rFonts w:ascii="Arial" w:hAnsi="Arial" w:cs="Arial"/>
          <w:i w:val="0"/>
          <w:snapToGrid w:val="0"/>
          <w:sz w:val="22"/>
          <w:szCs w:val="22"/>
          <w:lang w:val="es-ES"/>
        </w:rPr>
        <w:t>nta</w:t>
      </w:r>
      <w:proofErr w:type="spellEnd"/>
      <w:r w:rsidR="00A15F2A" w:rsidRPr="00EB3D94">
        <w:rPr>
          <w:rFonts w:ascii="Arial" w:hAnsi="Arial" w:cs="Arial"/>
          <w:i w:val="0"/>
          <w:sz w:val="22"/>
          <w:szCs w:val="22"/>
          <w:lang w:val="es-ES"/>
        </w:rPr>
        <w:t>. Otras obligaciones de la empresa contratista</w:t>
      </w:r>
      <w:bookmarkEnd w:id="8"/>
    </w:p>
    <w:p w14:paraId="06224838" w14:textId="77777777" w:rsidR="00A15F2A" w:rsidRPr="00EB3D94" w:rsidRDefault="00A15F2A" w:rsidP="00BC4866">
      <w:pPr>
        <w:jc w:val="both"/>
        <w:rPr>
          <w:rFonts w:cs="Arial"/>
          <w:lang w:val="es-ES"/>
        </w:rPr>
      </w:pPr>
    </w:p>
    <w:p w14:paraId="6C393960" w14:textId="5139DBAE" w:rsidR="004519FE" w:rsidRPr="00EB3D94" w:rsidRDefault="00A15F2A" w:rsidP="00BC4866">
      <w:pPr>
        <w:pStyle w:val="Pargrafdellista"/>
        <w:numPr>
          <w:ilvl w:val="0"/>
          <w:numId w:val="57"/>
        </w:numPr>
        <w:ind w:left="426" w:hanging="426"/>
        <w:contextualSpacing/>
        <w:jc w:val="both"/>
        <w:rPr>
          <w:rFonts w:cs="Arial"/>
          <w:szCs w:val="22"/>
          <w:lang w:val="es-ES"/>
        </w:rPr>
      </w:pPr>
      <w:r w:rsidRPr="00EB3D94">
        <w:rPr>
          <w:rFonts w:cs="Arial"/>
          <w:lang w:val="es-ES"/>
        </w:rPr>
        <w:t xml:space="preserve">La empresa contratista está obligada en la ejecución del contrato </w:t>
      </w:r>
      <w:r w:rsidR="00630119" w:rsidRPr="00EB3D94">
        <w:rPr>
          <w:rFonts w:cs="Arial"/>
          <w:lang w:val="es-ES"/>
        </w:rPr>
        <w:t>al cumplimiento</w:t>
      </w:r>
      <w:r w:rsidRPr="00EB3D94">
        <w:rPr>
          <w:rFonts w:cs="Arial"/>
          <w:lang w:val="es-ES"/>
        </w:rPr>
        <w:t xml:space="preserve"> de las obligaciones aplicables en materia medioambiental, social o laboral que establecen el derecho de la Unión Europea, el derecho nacional, los convenios colectivos o las disposiciones de derecho internacional medioambiental, social y laboral que vinculen en el Estado, y en particular las que establece el anexo V de la LCSP. </w:t>
      </w:r>
      <w:r w:rsidR="008B29B8" w:rsidRPr="00EB3D94">
        <w:rPr>
          <w:rFonts w:cs="Arial"/>
          <w:szCs w:val="22"/>
          <w:lang w:val="es-ES"/>
        </w:rPr>
        <w:t>La empresa adjudicataria resta obligada a ejecutar las medidas derivadas de la Ley 31/1995, de 8 de noviembre, de prevención de riesgos laborales y su desarrollo normativo en todo aquello que le sea de aplicación.</w:t>
      </w:r>
    </w:p>
    <w:p w14:paraId="6A5AF815" w14:textId="77777777" w:rsidR="004519FE" w:rsidRPr="00EB3D94" w:rsidRDefault="004519FE" w:rsidP="00BC4866">
      <w:pPr>
        <w:pStyle w:val="Pargrafdellista"/>
        <w:ind w:left="426"/>
        <w:contextualSpacing/>
        <w:jc w:val="both"/>
        <w:rPr>
          <w:rFonts w:cs="Arial"/>
          <w:szCs w:val="22"/>
          <w:lang w:val="es-ES"/>
        </w:rPr>
      </w:pPr>
    </w:p>
    <w:p w14:paraId="3EEC2029" w14:textId="77777777" w:rsidR="004519FE" w:rsidRPr="00EB3D94" w:rsidRDefault="00A15F2A" w:rsidP="00BC4866">
      <w:pPr>
        <w:pStyle w:val="Pargrafdellista"/>
        <w:numPr>
          <w:ilvl w:val="0"/>
          <w:numId w:val="57"/>
        </w:numPr>
        <w:ind w:left="426" w:hanging="426"/>
        <w:contextualSpacing/>
        <w:jc w:val="both"/>
        <w:rPr>
          <w:rFonts w:cs="Arial"/>
          <w:szCs w:val="22"/>
          <w:lang w:val="es-ES"/>
        </w:rPr>
      </w:pPr>
      <w:r w:rsidRPr="00EB3D94">
        <w:rPr>
          <w:rFonts w:cs="Arial"/>
          <w:lang w:val="es-ES"/>
        </w:rPr>
        <w:t>También está obligada a cumplir las disposiciones vigentes en materia de integración social de personas con discapacidad y fiscales.</w:t>
      </w:r>
    </w:p>
    <w:p w14:paraId="039A9945" w14:textId="77777777" w:rsidR="004519FE" w:rsidRPr="00EB3D94" w:rsidRDefault="004519FE" w:rsidP="00BC4866">
      <w:pPr>
        <w:pStyle w:val="Pargrafdellista"/>
        <w:rPr>
          <w:rFonts w:cs="Arial"/>
          <w:lang w:val="es-ES"/>
        </w:rPr>
      </w:pPr>
    </w:p>
    <w:p w14:paraId="5CF68D68" w14:textId="35B95C46" w:rsidR="004519FE" w:rsidRPr="00EB3D94" w:rsidRDefault="00A15F2A" w:rsidP="00BC4866">
      <w:pPr>
        <w:pStyle w:val="Pargrafdellista"/>
        <w:numPr>
          <w:ilvl w:val="0"/>
          <w:numId w:val="57"/>
        </w:numPr>
        <w:ind w:left="426" w:hanging="426"/>
        <w:contextualSpacing/>
        <w:jc w:val="both"/>
        <w:rPr>
          <w:rFonts w:cs="Arial"/>
          <w:szCs w:val="22"/>
          <w:lang w:val="es-ES"/>
        </w:rPr>
      </w:pPr>
      <w:r w:rsidRPr="00EB3D94">
        <w:rPr>
          <w:rFonts w:cs="Arial"/>
          <w:lang w:val="es-ES"/>
        </w:rPr>
        <w:t xml:space="preserve">El incumplimiento de las obligaciones en materia medioambiental, sociales o laborales mencionadas y, en especial, los incumplimientos o los retrasos reiterados en el pago de los salarios o la aplicación de condiciones salariales inferiores a las derivadas de los convenios colectivos que sea grave y dolosa, dará lugar a la imposición de penalidades a que se refiere la cláusula </w:t>
      </w:r>
      <w:r w:rsidR="00630119" w:rsidRPr="00EB3D94">
        <w:rPr>
          <w:rFonts w:cs="Arial"/>
          <w:lang w:val="es-ES"/>
        </w:rPr>
        <w:t>vigésima tercera</w:t>
      </w:r>
      <w:r w:rsidRPr="00EB3D94">
        <w:rPr>
          <w:rFonts w:cs="Arial"/>
          <w:lang w:val="es-ES"/>
        </w:rPr>
        <w:t xml:space="preserve"> de </w:t>
      </w:r>
      <w:r w:rsidR="00630119" w:rsidRPr="00EB3D94">
        <w:rPr>
          <w:rFonts w:cs="Arial"/>
          <w:lang w:val="es-ES"/>
        </w:rPr>
        <w:t>este pliego</w:t>
      </w:r>
      <w:r w:rsidRPr="00EB3D94">
        <w:rPr>
          <w:rFonts w:cs="Arial"/>
          <w:vanish/>
          <w:lang w:val="es-ES"/>
        </w:rPr>
        <w:t>&lt;A[pliegue|pliego]&gt;</w:t>
      </w:r>
      <w:r w:rsidRPr="00EB3D94">
        <w:rPr>
          <w:rFonts w:cs="Arial"/>
          <w:lang w:val="es-ES"/>
        </w:rPr>
        <w:t>.</w:t>
      </w:r>
    </w:p>
    <w:p w14:paraId="799BC876" w14:textId="77777777" w:rsidR="004519FE" w:rsidRPr="00EB3D94" w:rsidRDefault="004519FE" w:rsidP="00BC4866">
      <w:pPr>
        <w:pStyle w:val="Pargrafdellista"/>
        <w:rPr>
          <w:rFonts w:cs="Arial"/>
          <w:lang w:val="es-ES"/>
        </w:rPr>
      </w:pPr>
    </w:p>
    <w:p w14:paraId="68665678" w14:textId="77777777" w:rsidR="004519FE" w:rsidRPr="00EB3D94" w:rsidRDefault="00A15F2A" w:rsidP="00BC4866">
      <w:pPr>
        <w:pStyle w:val="Pargrafdellista"/>
        <w:numPr>
          <w:ilvl w:val="0"/>
          <w:numId w:val="57"/>
        </w:numPr>
        <w:ind w:left="426" w:hanging="426"/>
        <w:contextualSpacing/>
        <w:jc w:val="both"/>
        <w:rPr>
          <w:rFonts w:cs="Arial"/>
          <w:szCs w:val="22"/>
          <w:lang w:val="es-ES"/>
        </w:rPr>
      </w:pPr>
      <w:r w:rsidRPr="00EB3D94">
        <w:rPr>
          <w:rFonts w:cs="Arial"/>
          <w:lang w:val="es-ES"/>
        </w:rPr>
        <w:t>La empresa contratista se obliga a cumplir las condiciones salariales de los trabajadores de conformidad con el convenio colectivo sectorial aplicable.</w:t>
      </w:r>
    </w:p>
    <w:p w14:paraId="39102052" w14:textId="77777777" w:rsidR="004519FE" w:rsidRPr="00EB3D94" w:rsidRDefault="004519FE" w:rsidP="00BC4866">
      <w:pPr>
        <w:pStyle w:val="Pargrafdellista"/>
        <w:rPr>
          <w:rFonts w:cs="Arial"/>
          <w:szCs w:val="22"/>
          <w:lang w:val="es-ES"/>
        </w:rPr>
      </w:pPr>
    </w:p>
    <w:p w14:paraId="3AB4C4C1" w14:textId="77777777" w:rsidR="004519FE" w:rsidRPr="00EB3D94" w:rsidRDefault="007C05FA" w:rsidP="00BC4866">
      <w:pPr>
        <w:pStyle w:val="Pargrafdellista"/>
        <w:numPr>
          <w:ilvl w:val="0"/>
          <w:numId w:val="57"/>
        </w:numPr>
        <w:ind w:left="426" w:hanging="426"/>
        <w:contextualSpacing/>
        <w:jc w:val="both"/>
        <w:rPr>
          <w:rFonts w:cs="Arial"/>
          <w:szCs w:val="22"/>
          <w:lang w:val="es-ES"/>
        </w:rPr>
      </w:pPr>
      <w:r w:rsidRPr="00EB3D94">
        <w:rPr>
          <w:rFonts w:cs="Arial"/>
          <w:szCs w:val="22"/>
          <w:lang w:val="es-ES"/>
        </w:rPr>
        <w:lastRenderedPageBreak/>
        <w:t>El adjudicatario asumirá, como condición especial de ejecución, la obligación de aplicar a la plantilla que ejecute el contrato las condiciones de trabajo establecidas por el último convenio colectivo sectorial vigente en que se encuadre y desarrolle la prestación contractual, sin perjuicio de las mejoras que se pueda establecer.</w:t>
      </w:r>
    </w:p>
    <w:p w14:paraId="43ECE738" w14:textId="77777777" w:rsidR="004519FE" w:rsidRPr="00EB3D94" w:rsidRDefault="004519FE" w:rsidP="00BC4866">
      <w:pPr>
        <w:pStyle w:val="Pargrafdellista"/>
        <w:rPr>
          <w:rFonts w:cs="Arial"/>
          <w:lang w:val="es-ES"/>
        </w:rPr>
      </w:pPr>
    </w:p>
    <w:p w14:paraId="726F37A4" w14:textId="61A62C76" w:rsidR="004519FE" w:rsidRPr="00EB3D94" w:rsidRDefault="00A15F2A" w:rsidP="00BC4866">
      <w:pPr>
        <w:pStyle w:val="Pargrafdellista"/>
        <w:numPr>
          <w:ilvl w:val="0"/>
          <w:numId w:val="57"/>
        </w:numPr>
        <w:ind w:left="426" w:hanging="426"/>
        <w:contextualSpacing/>
        <w:jc w:val="both"/>
        <w:rPr>
          <w:rFonts w:cs="Arial"/>
          <w:szCs w:val="22"/>
          <w:lang w:val="es-ES"/>
        </w:rPr>
      </w:pPr>
      <w:r w:rsidRPr="00EB3D94">
        <w:rPr>
          <w:rFonts w:cs="Arial"/>
          <w:lang w:val="es-ES"/>
        </w:rPr>
        <w:t xml:space="preserve">La empresa contratista se obliga </w:t>
      </w:r>
      <w:r w:rsidR="00053251" w:rsidRPr="00EB3D94">
        <w:rPr>
          <w:rFonts w:cs="Arial"/>
          <w:lang w:val="es-ES"/>
        </w:rPr>
        <w:t>al cumplimiento</w:t>
      </w:r>
      <w:r w:rsidRPr="00EB3D94">
        <w:rPr>
          <w:rFonts w:cs="Arial"/>
          <w:vanish/>
          <w:lang w:val="es-ES"/>
        </w:rPr>
        <w:t>&lt;A[cumplimiento|cumplido]&gt;</w:t>
      </w:r>
      <w:r w:rsidRPr="00EB3D94">
        <w:rPr>
          <w:rFonts w:cs="Arial"/>
          <w:lang w:val="es-ES"/>
        </w:rPr>
        <w:t xml:space="preserve">, en caso de comprometerse a dedicar o adscribir a la ejecución del contrato los medios personales o materiales suficientes indicados en la cláusula décima de </w:t>
      </w:r>
      <w:r w:rsidR="00053251" w:rsidRPr="00EB3D94">
        <w:rPr>
          <w:rFonts w:cs="Arial"/>
          <w:lang w:val="es-ES"/>
        </w:rPr>
        <w:t>este pliego</w:t>
      </w:r>
      <w:r w:rsidRPr="00EB3D94">
        <w:rPr>
          <w:rFonts w:cs="Arial"/>
          <w:vanish/>
          <w:lang w:val="es-ES"/>
        </w:rPr>
        <w:t>&lt;A[pliegue|pliego]&gt;</w:t>
      </w:r>
      <w:r w:rsidRPr="00EB3D94">
        <w:rPr>
          <w:rFonts w:cs="Arial"/>
          <w:lang w:val="es-ES"/>
        </w:rPr>
        <w:t>, con carácter de obligación esencial a los efectos previstos en el artículo 211 de la LSCP.</w:t>
      </w:r>
    </w:p>
    <w:p w14:paraId="2FB688CA" w14:textId="77777777" w:rsidR="004519FE" w:rsidRPr="00EB3D94" w:rsidRDefault="004519FE" w:rsidP="00BC4866">
      <w:pPr>
        <w:pStyle w:val="Pargrafdellista"/>
        <w:rPr>
          <w:rFonts w:cs="Arial"/>
          <w:lang w:val="es-ES"/>
        </w:rPr>
      </w:pPr>
    </w:p>
    <w:p w14:paraId="08AA6AC1" w14:textId="77777777" w:rsidR="004519FE" w:rsidRPr="00EB3D94" w:rsidRDefault="00A15F2A" w:rsidP="00BC4866">
      <w:pPr>
        <w:pStyle w:val="Pargrafdellista"/>
        <w:numPr>
          <w:ilvl w:val="0"/>
          <w:numId w:val="57"/>
        </w:numPr>
        <w:ind w:left="426" w:hanging="426"/>
        <w:contextualSpacing/>
        <w:jc w:val="both"/>
        <w:rPr>
          <w:rFonts w:cs="Arial"/>
          <w:szCs w:val="22"/>
          <w:lang w:val="es-ES"/>
        </w:rPr>
      </w:pPr>
      <w:r w:rsidRPr="00EB3D94">
        <w:rPr>
          <w:rFonts w:cs="Arial"/>
          <w:lang w:val="es-ES"/>
        </w:rPr>
        <w:t>La empresa contratista se obliga a aplicar al ejecutar las prestaciones propias del servicio las medidas destinadas a promover la igualdad entre hombres y mujeres.</w:t>
      </w:r>
    </w:p>
    <w:p w14:paraId="0CCE1887" w14:textId="77777777" w:rsidR="004519FE" w:rsidRPr="00EB3D94" w:rsidRDefault="004519FE" w:rsidP="00BC4866">
      <w:pPr>
        <w:pStyle w:val="Pargrafdellista"/>
        <w:rPr>
          <w:rFonts w:cs="Arial"/>
          <w:szCs w:val="22"/>
          <w:lang w:val="es-ES"/>
        </w:rPr>
      </w:pPr>
    </w:p>
    <w:p w14:paraId="598F9F2D" w14:textId="0C57AE1C" w:rsidR="004519FE" w:rsidRPr="00EB3D94" w:rsidRDefault="008B29B8" w:rsidP="00BC4866">
      <w:pPr>
        <w:pStyle w:val="Pargrafdellista"/>
        <w:numPr>
          <w:ilvl w:val="0"/>
          <w:numId w:val="57"/>
        </w:numPr>
        <w:ind w:left="426" w:hanging="426"/>
        <w:contextualSpacing/>
        <w:jc w:val="both"/>
        <w:rPr>
          <w:rFonts w:cs="Arial"/>
          <w:szCs w:val="22"/>
          <w:lang w:val="es-ES"/>
        </w:rPr>
      </w:pPr>
      <w:r w:rsidRPr="00EB3D94">
        <w:rPr>
          <w:rFonts w:cs="Arial"/>
          <w:szCs w:val="22"/>
          <w:lang w:val="es-ES"/>
        </w:rPr>
        <w:t xml:space="preserve">La empresa contratista, en la elaboración y presentación del objeto del contrato, </w:t>
      </w:r>
      <w:r w:rsidR="00982820" w:rsidRPr="00EB3D94">
        <w:rPr>
          <w:rFonts w:cs="Arial"/>
          <w:szCs w:val="22"/>
          <w:lang w:val="es-ES"/>
        </w:rPr>
        <w:t xml:space="preserve">debe </w:t>
      </w:r>
      <w:r w:rsidRPr="00EB3D94">
        <w:rPr>
          <w:rFonts w:cs="Arial"/>
          <w:szCs w:val="22"/>
          <w:lang w:val="es-ES"/>
        </w:rPr>
        <w:t>incorporar la perspectiva de género y evitar los elementos de discriminación sexista en el uso del lenguaje y de la imagen.</w:t>
      </w:r>
    </w:p>
    <w:p w14:paraId="75DA5AA9" w14:textId="77777777" w:rsidR="004519FE" w:rsidRPr="00EB3D94" w:rsidRDefault="004519FE" w:rsidP="00BC4866">
      <w:pPr>
        <w:pStyle w:val="Pargrafdellista"/>
        <w:rPr>
          <w:rFonts w:cs="Arial"/>
          <w:szCs w:val="22"/>
          <w:lang w:val="es-ES"/>
        </w:rPr>
      </w:pPr>
    </w:p>
    <w:p w14:paraId="54D4F304" w14:textId="54591416" w:rsidR="00A87F9E" w:rsidRPr="00EB3D94" w:rsidRDefault="00A87F9E" w:rsidP="00BC4866">
      <w:pPr>
        <w:pStyle w:val="Pargrafdellista"/>
        <w:numPr>
          <w:ilvl w:val="0"/>
          <w:numId w:val="57"/>
        </w:numPr>
        <w:ind w:left="426" w:hanging="426"/>
        <w:contextualSpacing/>
        <w:jc w:val="both"/>
        <w:rPr>
          <w:rFonts w:cs="Arial"/>
          <w:szCs w:val="22"/>
          <w:lang w:val="es-ES"/>
        </w:rPr>
      </w:pPr>
      <w:r w:rsidRPr="00EB3D94">
        <w:rPr>
          <w:rFonts w:cs="Arial"/>
          <w:szCs w:val="22"/>
          <w:lang w:val="es-ES"/>
        </w:rPr>
        <w:t xml:space="preserve">La empresa contratista, en relación con los datos personales en las cuales tenga acceso con ocasión del contrato, se obliga </w:t>
      </w:r>
      <w:r w:rsidR="00053251" w:rsidRPr="00EB3D94">
        <w:rPr>
          <w:rFonts w:cs="Arial"/>
          <w:szCs w:val="22"/>
          <w:lang w:val="es-ES"/>
        </w:rPr>
        <w:t>al cumplimiento</w:t>
      </w:r>
      <w:r w:rsidRPr="00EB3D94">
        <w:rPr>
          <w:rFonts w:cs="Arial"/>
          <w:szCs w:val="22"/>
          <w:lang w:val="es-ES"/>
        </w:rPr>
        <w:t xml:space="preserve"> de todo aquello que establece la Ley orgánica 3/2018, de 5 de diciembre, de protección de datos personales y garantizaba de los derechos digitales, a la normativa de desarrollo y al que establece el Reglamento (UE) 2016/679, del Parlamento Europeo y del Consejo, de 27 de abril de 2016, relativo a la protección de las personas físicas con respecto al tratamiento de datos personales y a la libre circulación de estos datos y por</w:t>
      </w:r>
      <w:r w:rsidRPr="00EB3D94">
        <w:rPr>
          <w:rFonts w:cs="Arial"/>
          <w:vanish/>
          <w:szCs w:val="22"/>
          <w:lang w:val="es-ES"/>
        </w:rPr>
        <w:t>&lt;A[por|para]&gt;</w:t>
      </w:r>
      <w:r w:rsidRPr="00EB3D94">
        <w:rPr>
          <w:rFonts w:cs="Arial"/>
          <w:szCs w:val="22"/>
          <w:lang w:val="es-ES"/>
        </w:rPr>
        <w:t xml:space="preserve"> la cual se deroga la Directiva 95/46/CE. 2016, relativo a la protección de las personas físicas con respecto al tratamiento de datos personales y a la libre circulación de estos datos y por</w:t>
      </w:r>
      <w:r w:rsidRPr="00EB3D94">
        <w:rPr>
          <w:rFonts w:cs="Arial"/>
          <w:vanish/>
          <w:szCs w:val="22"/>
          <w:lang w:val="es-ES"/>
        </w:rPr>
        <w:t>&lt;A[por|para]&gt;</w:t>
      </w:r>
      <w:r w:rsidRPr="00EB3D94">
        <w:rPr>
          <w:rFonts w:cs="Arial"/>
          <w:szCs w:val="22"/>
          <w:lang w:val="es-ES"/>
        </w:rPr>
        <w:t xml:space="preserve"> la cual se deroga la Directiva 95/46/CE.</w:t>
      </w:r>
    </w:p>
    <w:p w14:paraId="087BB068" w14:textId="77777777" w:rsidR="00A87F9E" w:rsidRPr="00EB3D94" w:rsidRDefault="00A87F9E" w:rsidP="00BC4866">
      <w:pPr>
        <w:pStyle w:val="Pargrafdellista"/>
        <w:rPr>
          <w:rFonts w:cs="Arial"/>
          <w:lang w:val="es-ES"/>
        </w:rPr>
      </w:pPr>
    </w:p>
    <w:p w14:paraId="0C2B31FE" w14:textId="1AEA90F4" w:rsidR="004519FE" w:rsidRPr="00EB3D94" w:rsidRDefault="00A87F9E" w:rsidP="00BC4866">
      <w:pPr>
        <w:ind w:left="426"/>
        <w:jc w:val="both"/>
        <w:rPr>
          <w:rFonts w:cs="Arial"/>
          <w:lang w:val="es-ES"/>
        </w:rPr>
      </w:pPr>
      <w:r w:rsidRPr="00EB3D94">
        <w:rPr>
          <w:rFonts w:cs="Arial"/>
          <w:lang w:val="es-ES"/>
        </w:rPr>
        <w:t xml:space="preserve">La documentación y la información que se desprenda o en la cual se tenga acceso con ocasión de la ejecución de las prestaciones objeto de este contrato y </w:t>
      </w:r>
      <w:proofErr w:type="gramStart"/>
      <w:r w:rsidRPr="00EB3D94">
        <w:rPr>
          <w:rFonts w:cs="Arial"/>
          <w:lang w:val="es-ES"/>
        </w:rPr>
        <w:t>que  corresponde</w:t>
      </w:r>
      <w:proofErr w:type="gramEnd"/>
      <w:r w:rsidRPr="00EB3D94">
        <w:rPr>
          <w:rFonts w:cs="Arial"/>
          <w:lang w:val="es-ES"/>
        </w:rPr>
        <w:t xml:space="preserve"> a la Administración contratante responsable del fichero de datos personales, tiene carácter confidencial y no podrá ser objeto de reproducción total o parcial por ningún medio </w:t>
      </w:r>
      <w:r w:rsidR="00053251" w:rsidRPr="00EB3D94">
        <w:rPr>
          <w:rFonts w:cs="Arial"/>
          <w:lang w:val="es-ES"/>
        </w:rPr>
        <w:t>o soporte.</w:t>
      </w:r>
      <w:r w:rsidRPr="00EB3D94">
        <w:rPr>
          <w:rFonts w:cs="Arial"/>
          <w:lang w:val="es-ES"/>
        </w:rPr>
        <w:t xml:space="preserve">  Por lo tanto, no se podrá hacer ni tratamiento ni edición informática, ni transmisión a terceros fuera del estricto ámbito de la ejecución directa del contrato. </w:t>
      </w:r>
    </w:p>
    <w:p w14:paraId="70299731" w14:textId="77777777" w:rsidR="004519FE" w:rsidRPr="00EB3D94" w:rsidRDefault="004519FE" w:rsidP="00BC4866">
      <w:pPr>
        <w:ind w:left="426"/>
        <w:jc w:val="both"/>
        <w:rPr>
          <w:rFonts w:cs="Arial"/>
          <w:lang w:val="es-ES"/>
        </w:rPr>
      </w:pPr>
    </w:p>
    <w:p w14:paraId="069A1C4E" w14:textId="2A6E5D68" w:rsidR="00A15F2A" w:rsidRPr="00EB3D94" w:rsidRDefault="00A15F2A" w:rsidP="00BC4866">
      <w:pPr>
        <w:numPr>
          <w:ilvl w:val="0"/>
          <w:numId w:val="57"/>
        </w:numPr>
        <w:ind w:left="426" w:hanging="426"/>
        <w:jc w:val="both"/>
        <w:rPr>
          <w:rFonts w:cs="Arial"/>
          <w:lang w:val="es-ES"/>
        </w:rPr>
      </w:pPr>
      <w:r w:rsidRPr="00EB3D94">
        <w:rPr>
          <w:rFonts w:cs="Arial"/>
          <w:lang w:val="es-ES"/>
        </w:rPr>
        <w:t xml:space="preserve">El adjudicatario se compromete a facilitar la información que sea necesaria para </w:t>
      </w:r>
      <w:r w:rsidR="00053251" w:rsidRPr="00EB3D94">
        <w:rPr>
          <w:rFonts w:cs="Arial"/>
          <w:lang w:val="es-ES"/>
        </w:rPr>
        <w:t xml:space="preserve">dar cumplimiento </w:t>
      </w:r>
      <w:r w:rsidRPr="00EB3D94">
        <w:rPr>
          <w:rFonts w:cs="Arial"/>
          <w:lang w:val="es-ES"/>
        </w:rPr>
        <w:t xml:space="preserve">a las obligaciones establecidas por la Ley del </w:t>
      </w:r>
      <w:proofErr w:type="spellStart"/>
      <w:r w:rsidRPr="00EB3D94">
        <w:rPr>
          <w:rFonts w:cs="Arial"/>
          <w:lang w:val="es-ES"/>
        </w:rPr>
        <w:t>Parlament</w:t>
      </w:r>
      <w:proofErr w:type="spellEnd"/>
      <w:r w:rsidRPr="00EB3D94">
        <w:rPr>
          <w:rFonts w:cs="Arial"/>
          <w:lang w:val="es-ES"/>
        </w:rPr>
        <w:t xml:space="preserve"> de Catalunya 19/2014, de 29 de diciembre, de la transparencia, acceso a la información y buen gobierno.</w:t>
      </w:r>
      <w:r w:rsidRPr="00EB3D94">
        <w:rPr>
          <w:rFonts w:cs="Arial"/>
          <w:bCs/>
          <w:snapToGrid w:val="0"/>
          <w:lang w:val="es-ES"/>
        </w:rPr>
        <w:t xml:space="preserve"> </w:t>
      </w:r>
      <w:r w:rsidRPr="00EB3D94">
        <w:rPr>
          <w:rFonts w:cs="Arial"/>
          <w:lang w:val="es-ES"/>
        </w:rPr>
        <w:t xml:space="preserve">Asimismo, de acuerdo con la mencionada Ley, los licitadores y los contratistas </w:t>
      </w:r>
      <w:r w:rsidR="00A25938" w:rsidRPr="00EB3D94">
        <w:rPr>
          <w:rFonts w:cs="Arial"/>
          <w:lang w:val="es-ES"/>
        </w:rPr>
        <w:t xml:space="preserve">deben </w:t>
      </w:r>
      <w:r w:rsidRPr="00EB3D94">
        <w:rPr>
          <w:rFonts w:cs="Arial"/>
          <w:lang w:val="es-ES"/>
        </w:rPr>
        <w:t>seguir los principios éticos y reglas de conducta que se indican a continuación:</w:t>
      </w:r>
    </w:p>
    <w:p w14:paraId="613C8638" w14:textId="77777777" w:rsidR="00A15F2A" w:rsidRPr="00EB3D94" w:rsidRDefault="00A15F2A" w:rsidP="00BC4866">
      <w:pPr>
        <w:ind w:left="426"/>
        <w:jc w:val="both"/>
        <w:rPr>
          <w:rFonts w:cs="Arial"/>
          <w:lang w:val="es-ES"/>
        </w:rPr>
      </w:pPr>
    </w:p>
    <w:p w14:paraId="69F600C9" w14:textId="7B238FB8" w:rsidR="00A15F2A" w:rsidRPr="00EB3D94" w:rsidRDefault="00A25938" w:rsidP="00BC4866">
      <w:pPr>
        <w:pStyle w:val="Pargrafdellista"/>
        <w:numPr>
          <w:ilvl w:val="0"/>
          <w:numId w:val="33"/>
        </w:numPr>
        <w:ind w:left="852" w:hanging="426"/>
        <w:contextualSpacing/>
        <w:jc w:val="both"/>
        <w:rPr>
          <w:rFonts w:cs="Arial"/>
          <w:szCs w:val="22"/>
          <w:lang w:val="es-ES"/>
        </w:rPr>
      </w:pPr>
      <w:r w:rsidRPr="00EB3D94">
        <w:rPr>
          <w:rFonts w:cs="Arial"/>
          <w:szCs w:val="22"/>
          <w:lang w:val="es-ES"/>
        </w:rPr>
        <w:t xml:space="preserve">Deben </w:t>
      </w:r>
      <w:r w:rsidR="00A15F2A" w:rsidRPr="00EB3D94">
        <w:rPr>
          <w:rFonts w:cs="Arial"/>
          <w:szCs w:val="22"/>
          <w:lang w:val="es-ES"/>
        </w:rPr>
        <w:t>adoptar una conducta éticamente ejemplar, abstenerse de realizar, fomentar, proponer o promover cualquier tipo de práctica corrupta y poner en conocimiento de los órganos competentes cualquier manifestación de estas prácticas que, a su parecer, esté presente o pueda afectar al procedimiento o la relación contractual. Particularmente se abstendrán de realizar cualquier acción que pueda vulnerar los principios de igualdad de oportunidades y de libre concurrencia.</w:t>
      </w:r>
    </w:p>
    <w:p w14:paraId="1D89152F" w14:textId="77777777" w:rsidR="00A15F2A" w:rsidRPr="00EB3D94" w:rsidRDefault="00A15F2A" w:rsidP="00BC4866">
      <w:pPr>
        <w:ind w:left="786" w:hanging="360"/>
        <w:jc w:val="both"/>
        <w:rPr>
          <w:rFonts w:cs="Arial"/>
          <w:lang w:val="es-ES"/>
        </w:rPr>
      </w:pPr>
    </w:p>
    <w:p w14:paraId="2EFE70B6" w14:textId="77777777" w:rsidR="00A15F2A" w:rsidRPr="00EB3D94" w:rsidRDefault="00A15F2A" w:rsidP="00BC4866">
      <w:pPr>
        <w:pStyle w:val="Pargrafdellista"/>
        <w:numPr>
          <w:ilvl w:val="0"/>
          <w:numId w:val="33"/>
        </w:numPr>
        <w:ind w:left="786"/>
        <w:contextualSpacing/>
        <w:jc w:val="both"/>
        <w:rPr>
          <w:rFonts w:cs="Arial"/>
          <w:szCs w:val="22"/>
          <w:lang w:val="es-ES"/>
        </w:rPr>
      </w:pPr>
      <w:r w:rsidRPr="00EB3D94">
        <w:rPr>
          <w:rFonts w:cs="Arial"/>
          <w:szCs w:val="22"/>
          <w:lang w:val="es-ES"/>
        </w:rPr>
        <w:t>Con carácter general, los licitadores y contratistas, en el ejercicio de su actividad, asumen las obligaciones siguientes:</w:t>
      </w:r>
    </w:p>
    <w:p w14:paraId="7236B847" w14:textId="77777777" w:rsidR="00A15F2A" w:rsidRPr="00EB3D94" w:rsidRDefault="00A15F2A" w:rsidP="00BC4866">
      <w:pPr>
        <w:pStyle w:val="Pargrafdellista"/>
        <w:ind w:left="786" w:hanging="360"/>
        <w:rPr>
          <w:rFonts w:cs="Arial"/>
          <w:szCs w:val="22"/>
          <w:lang w:val="es-ES"/>
        </w:rPr>
      </w:pPr>
    </w:p>
    <w:p w14:paraId="3848648B" w14:textId="77777777" w:rsidR="00A15F2A" w:rsidRPr="00EB3D94" w:rsidRDefault="00A15F2A" w:rsidP="00BC4866">
      <w:pPr>
        <w:pStyle w:val="Pargrafdellista"/>
        <w:numPr>
          <w:ilvl w:val="0"/>
          <w:numId w:val="26"/>
        </w:numPr>
        <w:ind w:left="786" w:firstLine="66"/>
        <w:contextualSpacing/>
        <w:jc w:val="both"/>
        <w:rPr>
          <w:rFonts w:cs="Arial"/>
          <w:szCs w:val="22"/>
          <w:lang w:val="es-ES"/>
        </w:rPr>
      </w:pPr>
      <w:r w:rsidRPr="00EB3D94">
        <w:rPr>
          <w:rFonts w:cs="Arial"/>
          <w:szCs w:val="22"/>
          <w:lang w:val="es-ES"/>
        </w:rPr>
        <w:t>Observar los principios, las normas y los cánones éticos propios de las actividades, los oficios y/o las profesiones correspondientes a las prestaciones objeto de los contratos.</w:t>
      </w:r>
    </w:p>
    <w:p w14:paraId="4C45FFF0" w14:textId="77777777" w:rsidR="00A15F2A" w:rsidRPr="00EB3D94" w:rsidRDefault="00A15F2A" w:rsidP="00BC4866">
      <w:pPr>
        <w:pStyle w:val="Pargrafdellista"/>
        <w:numPr>
          <w:ilvl w:val="0"/>
          <w:numId w:val="26"/>
        </w:numPr>
        <w:ind w:left="786" w:firstLine="66"/>
        <w:contextualSpacing/>
        <w:jc w:val="both"/>
        <w:rPr>
          <w:rFonts w:cs="Arial"/>
          <w:szCs w:val="22"/>
          <w:lang w:val="es-ES"/>
        </w:rPr>
      </w:pPr>
      <w:r w:rsidRPr="00EB3D94">
        <w:rPr>
          <w:rFonts w:cs="Arial"/>
          <w:szCs w:val="22"/>
          <w:lang w:val="es-ES"/>
        </w:rPr>
        <w:lastRenderedPageBreak/>
        <w:t>No realizar acciones que pongan en riesgo el interés público en el ámbito del contrato o de las prestaciones a realizar.</w:t>
      </w:r>
    </w:p>
    <w:p w14:paraId="3478730E" w14:textId="77777777" w:rsidR="00A15F2A" w:rsidRPr="00EB3D94" w:rsidRDefault="00A15F2A" w:rsidP="00BC4866">
      <w:pPr>
        <w:pStyle w:val="Pargrafdellista"/>
        <w:numPr>
          <w:ilvl w:val="0"/>
          <w:numId w:val="26"/>
        </w:numPr>
        <w:ind w:left="786" w:firstLine="66"/>
        <w:contextualSpacing/>
        <w:jc w:val="both"/>
        <w:rPr>
          <w:rFonts w:cs="Arial"/>
          <w:szCs w:val="22"/>
          <w:lang w:val="es-ES"/>
        </w:rPr>
      </w:pPr>
      <w:r w:rsidRPr="00EB3D94">
        <w:rPr>
          <w:rFonts w:cs="Arial"/>
          <w:szCs w:val="22"/>
          <w:lang w:val="es-ES"/>
        </w:rPr>
        <w:t>Denunciar las situaciones irregulares que se puedan presentar en los procesos de contratación pública o durante la ejecución de los contratos.</w:t>
      </w:r>
    </w:p>
    <w:p w14:paraId="0BE2A3E6" w14:textId="77777777" w:rsidR="00A15F2A" w:rsidRPr="00EB3D94" w:rsidRDefault="00A15F2A" w:rsidP="00BC4866">
      <w:pPr>
        <w:ind w:left="1146"/>
        <w:jc w:val="both"/>
        <w:rPr>
          <w:rFonts w:cs="Arial"/>
          <w:lang w:val="es-ES"/>
        </w:rPr>
      </w:pPr>
    </w:p>
    <w:p w14:paraId="10B670CB" w14:textId="77777777" w:rsidR="00A15F2A" w:rsidRPr="00EB3D94" w:rsidRDefault="00A15F2A" w:rsidP="00BC4866">
      <w:pPr>
        <w:numPr>
          <w:ilvl w:val="0"/>
          <w:numId w:val="33"/>
        </w:numPr>
        <w:ind w:left="786"/>
        <w:jc w:val="both"/>
        <w:rPr>
          <w:rFonts w:cs="Arial"/>
          <w:lang w:val="es-ES"/>
        </w:rPr>
      </w:pPr>
      <w:r w:rsidRPr="00EB3D94">
        <w:rPr>
          <w:rFonts w:cs="Arial"/>
          <w:lang w:val="es-ES"/>
        </w:rPr>
        <w:t>En particular los licitadores y los contratistas asumen las obligaciones siguientes:</w:t>
      </w:r>
    </w:p>
    <w:p w14:paraId="4211E51A" w14:textId="77777777" w:rsidR="00A15F2A" w:rsidRPr="00EB3D94" w:rsidRDefault="00A15F2A" w:rsidP="00BC4866">
      <w:pPr>
        <w:ind w:left="786"/>
        <w:jc w:val="both"/>
        <w:rPr>
          <w:rFonts w:cs="Arial"/>
          <w:lang w:val="es-ES"/>
        </w:rPr>
      </w:pPr>
    </w:p>
    <w:p w14:paraId="438EE99E" w14:textId="77777777" w:rsidR="00A15F2A" w:rsidRPr="00EB3D94" w:rsidRDefault="00A15F2A" w:rsidP="00BC4866">
      <w:pPr>
        <w:pStyle w:val="Pargrafdellista"/>
        <w:numPr>
          <w:ilvl w:val="0"/>
          <w:numId w:val="32"/>
        </w:numPr>
        <w:ind w:left="1146"/>
        <w:contextualSpacing/>
        <w:jc w:val="both"/>
        <w:rPr>
          <w:rFonts w:cs="Arial"/>
          <w:szCs w:val="22"/>
          <w:lang w:val="es-ES"/>
        </w:rPr>
      </w:pPr>
      <w:r w:rsidRPr="00EB3D94">
        <w:rPr>
          <w:rFonts w:cs="Arial"/>
          <w:szCs w:val="22"/>
          <w:lang w:val="es-ES"/>
        </w:rPr>
        <w:t>Comunicar inmediatamente en el órgano de contratación las posibles situaciones de conflicto de intereses. Constituyen en todo caso situaciones de conflicto de intereses las contenidas en el artículo 24 de la Directiva 2014/24/UE.</w:t>
      </w:r>
    </w:p>
    <w:p w14:paraId="5CA51DB3" w14:textId="77777777" w:rsidR="00A15F2A" w:rsidRPr="00EB3D94" w:rsidRDefault="00A15F2A" w:rsidP="00BC4866">
      <w:pPr>
        <w:pStyle w:val="Pargrafdellista"/>
        <w:numPr>
          <w:ilvl w:val="0"/>
          <w:numId w:val="32"/>
        </w:numPr>
        <w:ind w:left="1146"/>
        <w:contextualSpacing/>
        <w:jc w:val="both"/>
        <w:rPr>
          <w:rFonts w:cs="Arial"/>
          <w:szCs w:val="22"/>
          <w:lang w:val="es-ES"/>
        </w:rPr>
      </w:pPr>
      <w:r w:rsidRPr="00EB3D94">
        <w:rPr>
          <w:rFonts w:cs="Arial"/>
          <w:szCs w:val="22"/>
          <w:lang w:val="es-ES"/>
        </w:rPr>
        <w:t>No solicitar, directa o indirectamente, que un cargo o empleado público influya en la adjudicación del contrato.</w:t>
      </w:r>
    </w:p>
    <w:p w14:paraId="45714AEC" w14:textId="77777777" w:rsidR="00A15F2A" w:rsidRPr="00EB3D94" w:rsidRDefault="00A15F2A" w:rsidP="00BC4866">
      <w:pPr>
        <w:pStyle w:val="Pargrafdellista"/>
        <w:numPr>
          <w:ilvl w:val="0"/>
          <w:numId w:val="32"/>
        </w:numPr>
        <w:ind w:left="1146"/>
        <w:contextualSpacing/>
        <w:jc w:val="both"/>
        <w:rPr>
          <w:rFonts w:cs="Arial"/>
          <w:szCs w:val="22"/>
          <w:lang w:val="es-ES"/>
        </w:rPr>
      </w:pPr>
      <w:r w:rsidRPr="00EB3D94">
        <w:rPr>
          <w:rFonts w:cs="Arial"/>
          <w:szCs w:val="22"/>
          <w:lang w:val="es-ES"/>
        </w:rPr>
        <w:t>No ofrecer ni facilitar a cargos o empleados públicos ventajas para ellos mismos o para terceras personas con la voluntad de incidir en un procedimiento contractual.</w:t>
      </w:r>
    </w:p>
    <w:p w14:paraId="265412FB" w14:textId="77777777" w:rsidR="00A15F2A" w:rsidRPr="00EB3D94" w:rsidRDefault="00A15F2A" w:rsidP="00BC4866">
      <w:pPr>
        <w:pStyle w:val="Pargrafdellista"/>
        <w:numPr>
          <w:ilvl w:val="0"/>
          <w:numId w:val="32"/>
        </w:numPr>
        <w:ind w:left="1146"/>
        <w:contextualSpacing/>
        <w:jc w:val="both"/>
        <w:rPr>
          <w:rFonts w:cs="Arial"/>
          <w:szCs w:val="22"/>
          <w:lang w:val="es-ES"/>
        </w:rPr>
      </w:pPr>
      <w:r w:rsidRPr="00EB3D94">
        <w:rPr>
          <w:rFonts w:cs="Arial"/>
          <w:szCs w:val="22"/>
          <w:lang w:val="es-ES"/>
        </w:rPr>
        <w:t>Respetar los principios de libre mercado y de concurrencia competitiva y abstenerse de realizar conductas que tengan por objeto o puedan producir el efecto de impedir, restringir o falsear la competencia, como por ejemplo los comportamientos colusorios o de competencia fraudulenta (ofertas de resguardo, eliminación de ofertas, asignación de mercados, rotación de ofertas, etc.).</w:t>
      </w:r>
    </w:p>
    <w:p w14:paraId="0268F975" w14:textId="77777777" w:rsidR="00A15F2A" w:rsidRPr="00EB3D94" w:rsidRDefault="00A15F2A" w:rsidP="00BC4866">
      <w:pPr>
        <w:pStyle w:val="Pargrafdellista"/>
        <w:numPr>
          <w:ilvl w:val="0"/>
          <w:numId w:val="32"/>
        </w:numPr>
        <w:ind w:left="1146"/>
        <w:contextualSpacing/>
        <w:jc w:val="both"/>
        <w:rPr>
          <w:rFonts w:cs="Arial"/>
          <w:szCs w:val="22"/>
          <w:lang w:val="es-ES"/>
        </w:rPr>
      </w:pPr>
      <w:r w:rsidRPr="00EB3D94">
        <w:rPr>
          <w:rFonts w:cs="Arial"/>
          <w:szCs w:val="22"/>
          <w:lang w:val="es-ES"/>
        </w:rPr>
        <w:t>No utilizar información confidencial, conocida mediante el contrato y/o durante la licitación, para obtener, directa o indirectamente, una ventaja o beneficio.</w:t>
      </w:r>
    </w:p>
    <w:p w14:paraId="1036C1EB" w14:textId="4BC90810" w:rsidR="00A15F2A" w:rsidRPr="00EB3D94" w:rsidRDefault="00A15F2A" w:rsidP="00BC4866">
      <w:pPr>
        <w:pStyle w:val="Pargrafdellista"/>
        <w:numPr>
          <w:ilvl w:val="0"/>
          <w:numId w:val="32"/>
        </w:numPr>
        <w:ind w:left="1146"/>
        <w:contextualSpacing/>
        <w:jc w:val="both"/>
        <w:rPr>
          <w:rFonts w:cs="Arial"/>
          <w:szCs w:val="22"/>
          <w:lang w:val="es-ES"/>
        </w:rPr>
      </w:pPr>
      <w:r w:rsidRPr="00EB3D94">
        <w:rPr>
          <w:rFonts w:cs="Arial"/>
          <w:szCs w:val="22"/>
          <w:lang w:val="es-ES"/>
        </w:rPr>
        <w:t xml:space="preserve">Colaborar con el órgano de contratación en las actuaciones que este realice para el seguimiento y/o la evaluación </w:t>
      </w:r>
      <w:r w:rsidR="00053251" w:rsidRPr="00EB3D94">
        <w:rPr>
          <w:rFonts w:cs="Arial"/>
          <w:szCs w:val="22"/>
          <w:lang w:val="es-ES"/>
        </w:rPr>
        <w:t>del cumplimiento</w:t>
      </w:r>
      <w:r w:rsidRPr="00EB3D94">
        <w:rPr>
          <w:rFonts w:cs="Arial"/>
          <w:szCs w:val="22"/>
          <w:lang w:val="es-ES"/>
        </w:rPr>
        <w:t xml:space="preserve"> del contrato, particularmente facilitando la información que le sea solicitada para estas finalidades.</w:t>
      </w:r>
    </w:p>
    <w:p w14:paraId="1FBA01A2" w14:textId="6FFADE5F" w:rsidR="00A15F2A" w:rsidRPr="00EB3D94" w:rsidRDefault="00A15F2A" w:rsidP="00BC4866">
      <w:pPr>
        <w:pStyle w:val="Pargrafdellista"/>
        <w:numPr>
          <w:ilvl w:val="0"/>
          <w:numId w:val="32"/>
        </w:numPr>
        <w:ind w:left="1146"/>
        <w:contextualSpacing/>
        <w:jc w:val="both"/>
        <w:rPr>
          <w:rFonts w:cs="Arial"/>
          <w:szCs w:val="22"/>
          <w:lang w:val="es-ES"/>
        </w:rPr>
      </w:pPr>
      <w:r w:rsidRPr="00EB3D94">
        <w:rPr>
          <w:rFonts w:cs="Arial"/>
          <w:szCs w:val="22"/>
          <w:lang w:val="es-ES"/>
        </w:rPr>
        <w:t xml:space="preserve">Cumplir las obligaciones de facilitar la información que la legislación de transparencia y los contratos del sector público imponen a los adjudicatarios en relación con la Administración o administraciones de referencia, sin perjuicio </w:t>
      </w:r>
      <w:r w:rsidR="00053251" w:rsidRPr="00EB3D94">
        <w:rPr>
          <w:rFonts w:cs="Arial"/>
          <w:szCs w:val="22"/>
          <w:lang w:val="es-ES"/>
        </w:rPr>
        <w:t>del cumplimiento</w:t>
      </w:r>
      <w:r w:rsidRPr="00EB3D94">
        <w:rPr>
          <w:rFonts w:cs="Arial"/>
          <w:szCs w:val="22"/>
          <w:lang w:val="es-ES"/>
        </w:rPr>
        <w:t xml:space="preserve"> de las obligaciones de transparencia que les correspondan de forma directa por previsión legal.</w:t>
      </w:r>
    </w:p>
    <w:p w14:paraId="3DDD633E" w14:textId="77777777" w:rsidR="00A15F2A" w:rsidRPr="00EB3D94" w:rsidRDefault="00A15F2A" w:rsidP="00BC4866">
      <w:pPr>
        <w:pStyle w:val="Pargrafdellista"/>
        <w:numPr>
          <w:ilvl w:val="0"/>
          <w:numId w:val="32"/>
        </w:numPr>
        <w:ind w:left="1146"/>
        <w:contextualSpacing/>
        <w:jc w:val="both"/>
        <w:rPr>
          <w:rFonts w:cs="Arial"/>
          <w:szCs w:val="22"/>
          <w:lang w:val="es-ES"/>
        </w:rPr>
      </w:pPr>
      <w:r w:rsidRPr="00EB3D94">
        <w:rPr>
          <w:rFonts w:cs="Arial"/>
          <w:szCs w:val="22"/>
          <w:lang w:val="es-ES"/>
        </w:rPr>
        <w:t>Denunciar los actos de los cuales tenga conocimiento y que puedan comportar una infracción de las obligaciones contenidas en esta cláusula.</w:t>
      </w:r>
    </w:p>
    <w:p w14:paraId="71350E9F" w14:textId="77777777" w:rsidR="00A15F2A" w:rsidRPr="00EB3D94" w:rsidRDefault="00A15F2A" w:rsidP="00BC4866">
      <w:pPr>
        <w:tabs>
          <w:tab w:val="left" w:pos="0"/>
          <w:tab w:val="left" w:pos="680"/>
          <w:tab w:val="left" w:pos="1473"/>
          <w:tab w:val="left" w:pos="4320"/>
        </w:tabs>
        <w:jc w:val="both"/>
        <w:rPr>
          <w:rFonts w:cs="Arial"/>
          <w:snapToGrid w:val="0"/>
          <w:lang w:val="es-ES"/>
        </w:rPr>
      </w:pPr>
    </w:p>
    <w:p w14:paraId="1B7EE672" w14:textId="37A39353" w:rsidR="004519FE" w:rsidRPr="00EB3D94" w:rsidRDefault="00A15F2A" w:rsidP="00BC4866">
      <w:pPr>
        <w:numPr>
          <w:ilvl w:val="0"/>
          <w:numId w:val="57"/>
        </w:numPr>
        <w:ind w:left="284" w:hanging="284"/>
        <w:jc w:val="both"/>
        <w:rPr>
          <w:rFonts w:cs="Arial"/>
          <w:lang w:val="es-ES"/>
        </w:rPr>
      </w:pPr>
      <w:r w:rsidRPr="00EB3D94">
        <w:rPr>
          <w:rFonts w:cs="Arial"/>
          <w:lang w:val="es-ES"/>
        </w:rPr>
        <w:t xml:space="preserve">Si ocurre la empresa o las empresas contratistas </w:t>
      </w:r>
      <w:r w:rsidR="00A25938" w:rsidRPr="00EB3D94">
        <w:rPr>
          <w:rFonts w:cs="Arial"/>
          <w:lang w:val="es-ES"/>
        </w:rPr>
        <w:t xml:space="preserve">deben </w:t>
      </w:r>
      <w:proofErr w:type="gramStart"/>
      <w:r w:rsidRPr="00EB3D94">
        <w:rPr>
          <w:rFonts w:cs="Arial"/>
          <w:lang w:val="es-ES"/>
        </w:rPr>
        <w:t>cumplir  las</w:t>
      </w:r>
      <w:proofErr w:type="gramEnd"/>
      <w:r w:rsidRPr="00EB3D94">
        <w:rPr>
          <w:rFonts w:cs="Arial"/>
          <w:lang w:val="es-ES"/>
        </w:rPr>
        <w:t xml:space="preserve"> obligaciones recogidas</w:t>
      </w:r>
      <w:r w:rsidR="00627DA5" w:rsidRPr="00EB3D94">
        <w:rPr>
          <w:rFonts w:cs="Arial"/>
          <w:lang w:val="es-ES"/>
        </w:rPr>
        <w:t xml:space="preserve"> en </w:t>
      </w:r>
      <w:r w:rsidR="00053251" w:rsidRPr="00EB3D94">
        <w:rPr>
          <w:rFonts w:cs="Arial"/>
          <w:lang w:val="es-ES"/>
        </w:rPr>
        <w:t>este pliego</w:t>
      </w:r>
      <w:r w:rsidRPr="00EB3D94">
        <w:rPr>
          <w:rFonts w:cs="Arial"/>
          <w:lang w:val="es-ES"/>
        </w:rPr>
        <w:t xml:space="preserve"> relativo a reglas especiales respecto del personal de la empresa contratista que adscribirá a la ejecución del contrato.</w:t>
      </w:r>
    </w:p>
    <w:p w14:paraId="6E5B607A" w14:textId="77777777" w:rsidR="004519FE" w:rsidRPr="00EB3D94" w:rsidRDefault="004519FE" w:rsidP="00BC4866">
      <w:pPr>
        <w:ind w:left="284"/>
        <w:jc w:val="both"/>
        <w:rPr>
          <w:rFonts w:cs="Arial"/>
          <w:lang w:val="es-ES"/>
        </w:rPr>
      </w:pPr>
    </w:p>
    <w:p w14:paraId="429129F2" w14:textId="77777777" w:rsidR="00A15F2A" w:rsidRPr="00EB3D94" w:rsidRDefault="00A15F2A" w:rsidP="00BC4866">
      <w:pPr>
        <w:numPr>
          <w:ilvl w:val="0"/>
          <w:numId w:val="57"/>
        </w:numPr>
        <w:ind w:left="284" w:hanging="284"/>
        <w:jc w:val="both"/>
        <w:rPr>
          <w:rFonts w:cs="Arial"/>
          <w:lang w:val="es-ES"/>
        </w:rPr>
      </w:pPr>
      <w:r w:rsidRPr="00EB3D94">
        <w:rPr>
          <w:rFonts w:cs="Arial"/>
          <w:lang w:val="es-ES"/>
        </w:rPr>
        <w:t>La empresa contratista se obliga a prestar el servicio con la continuidad convenida y garantizar a los particulares el derecho a utilizarlo en las condiciones que se hayan establecido y mediante el abono, si procede, de la contraprestación económica fijada; de cuidar del buen orden del servicio; de indemnizar los daños que se causen a terceros como consecuencia de las operaciones requeridas para llevar a cabo el servicio, con la excepción de los que se produzcan por causas imputables a la Administración; y de entregar, si procede, las obras e instalaciones a qué esté obligado en el estado de conservación y funcionamiento adecuados.</w:t>
      </w:r>
    </w:p>
    <w:p w14:paraId="56030C0B" w14:textId="77777777" w:rsidR="00A15F2A" w:rsidRPr="00EB3D94" w:rsidRDefault="00A15F2A" w:rsidP="00BC4866">
      <w:pPr>
        <w:pStyle w:val="Ttol2"/>
        <w:spacing w:before="0" w:after="0"/>
        <w:jc w:val="both"/>
        <w:rPr>
          <w:rFonts w:ascii="Arial" w:hAnsi="Arial" w:cs="Arial"/>
          <w:bCs w:val="0"/>
          <w:i w:val="0"/>
          <w:iCs w:val="0"/>
          <w:sz w:val="22"/>
          <w:szCs w:val="22"/>
          <w:lang w:val="es-ES"/>
        </w:rPr>
      </w:pPr>
      <w:bookmarkStart w:id="9" w:name="_Toc512237542"/>
    </w:p>
    <w:p w14:paraId="4DF1E7C0" w14:textId="77777777" w:rsidR="00A15F2A" w:rsidRPr="00EB3D94" w:rsidRDefault="00627DA5" w:rsidP="00BC4866">
      <w:pPr>
        <w:pStyle w:val="Ttol2"/>
        <w:spacing w:before="0" w:after="0"/>
        <w:jc w:val="both"/>
        <w:rPr>
          <w:rFonts w:ascii="Arial" w:hAnsi="Arial" w:cs="Arial"/>
          <w:i w:val="0"/>
          <w:sz w:val="22"/>
          <w:szCs w:val="22"/>
          <w:lang w:val="es-ES"/>
        </w:rPr>
      </w:pPr>
      <w:proofErr w:type="spellStart"/>
      <w:r w:rsidRPr="00EB3D94">
        <w:rPr>
          <w:rFonts w:ascii="Arial" w:hAnsi="Arial" w:cs="Arial"/>
          <w:i w:val="0"/>
          <w:sz w:val="22"/>
          <w:szCs w:val="22"/>
          <w:lang w:val="es-ES"/>
        </w:rPr>
        <w:t>Vigésimasexta</w:t>
      </w:r>
      <w:proofErr w:type="spellEnd"/>
      <w:r w:rsidR="00A15F2A" w:rsidRPr="00EB3D94">
        <w:rPr>
          <w:rFonts w:ascii="Arial" w:hAnsi="Arial" w:cs="Arial"/>
          <w:i w:val="0"/>
          <w:sz w:val="22"/>
          <w:szCs w:val="22"/>
          <w:lang w:val="es-ES"/>
        </w:rPr>
        <w:t xml:space="preserve">. </w:t>
      </w:r>
      <w:r w:rsidR="00A15F2A" w:rsidRPr="00EB3D94">
        <w:rPr>
          <w:rFonts w:ascii="Arial" w:hAnsi="Arial" w:cs="Arial"/>
          <w:i w:val="0"/>
          <w:sz w:val="22"/>
          <w:szCs w:val="22"/>
          <w:u w:val="single"/>
          <w:lang w:val="es-ES"/>
        </w:rPr>
        <w:t>Prerrogativas de la Administración</w:t>
      </w:r>
      <w:bookmarkEnd w:id="9"/>
      <w:r w:rsidR="00A15F2A" w:rsidRPr="00EB3D94">
        <w:rPr>
          <w:rFonts w:ascii="Arial" w:hAnsi="Arial" w:cs="Arial"/>
          <w:i w:val="0"/>
          <w:sz w:val="22"/>
          <w:szCs w:val="22"/>
          <w:lang w:val="es-ES"/>
        </w:rPr>
        <w:t xml:space="preserve"> </w:t>
      </w:r>
    </w:p>
    <w:p w14:paraId="54547DDA" w14:textId="77777777" w:rsidR="00A15F2A" w:rsidRPr="00EB3D94" w:rsidRDefault="00A15F2A" w:rsidP="00BC4866">
      <w:pPr>
        <w:jc w:val="both"/>
        <w:rPr>
          <w:rFonts w:cs="Arial"/>
          <w:u w:val="single"/>
          <w:lang w:val="es-ES"/>
        </w:rPr>
      </w:pPr>
    </w:p>
    <w:p w14:paraId="486CEA83" w14:textId="6E0D0C52" w:rsidR="00A15F2A" w:rsidRPr="00EB3D94" w:rsidRDefault="00A15F2A" w:rsidP="00BC4866">
      <w:pPr>
        <w:jc w:val="both"/>
        <w:rPr>
          <w:rFonts w:cs="Arial"/>
          <w:lang w:val="es-ES"/>
        </w:rPr>
      </w:pPr>
      <w:r w:rsidRPr="00EB3D94">
        <w:rPr>
          <w:rFonts w:cs="Arial"/>
          <w:lang w:val="es-ES"/>
        </w:rPr>
        <w:t xml:space="preserve">Dentro de los límites y con sujeción a los requisitos y efectos señalados en la LCSP, el órgano de contratación ostenta las prerrogativas de interpretar el contrato, resolver las dudas que ofrezca </w:t>
      </w:r>
      <w:r w:rsidR="00F1162A" w:rsidRPr="00EB3D94">
        <w:rPr>
          <w:rFonts w:cs="Arial"/>
          <w:lang w:val="es-ES"/>
        </w:rPr>
        <w:t>su cumplimiento</w:t>
      </w:r>
      <w:r w:rsidRPr="00EB3D94">
        <w:rPr>
          <w:rFonts w:cs="Arial"/>
          <w:vanish/>
          <w:lang w:val="es-ES"/>
        </w:rPr>
        <w:t>&lt;A[cumplimiento|cumplido]&gt;</w:t>
      </w:r>
      <w:r w:rsidRPr="00EB3D94">
        <w:rPr>
          <w:rFonts w:cs="Arial"/>
          <w:lang w:val="es-ES"/>
        </w:rPr>
        <w:t xml:space="preserve">, modificarlo por razones de interés público, declarar la responsabilidad imputable a la empresa contratista a raíz de su ejecución, suspender la ejecución, acordar su resolución y determinar los efectos. </w:t>
      </w:r>
    </w:p>
    <w:p w14:paraId="156D8706" w14:textId="77777777" w:rsidR="00A15F2A" w:rsidRPr="00EB3D94" w:rsidRDefault="00A15F2A" w:rsidP="00BC4866">
      <w:pPr>
        <w:jc w:val="both"/>
        <w:rPr>
          <w:rFonts w:cs="Arial"/>
          <w:lang w:val="es-ES"/>
        </w:rPr>
      </w:pPr>
    </w:p>
    <w:p w14:paraId="25E1A615" w14:textId="77777777" w:rsidR="00A15F2A" w:rsidRPr="00EB3D94" w:rsidRDefault="00A15F2A" w:rsidP="00BC4866">
      <w:pPr>
        <w:jc w:val="both"/>
        <w:rPr>
          <w:rFonts w:cs="Arial"/>
          <w:lang w:val="es-ES"/>
        </w:rPr>
      </w:pPr>
      <w:r w:rsidRPr="00EB3D94">
        <w:rPr>
          <w:rFonts w:cs="Arial"/>
          <w:lang w:val="es-ES"/>
        </w:rPr>
        <w:lastRenderedPageBreak/>
        <w:t>Asimismo, el órgano de contratación tiene las facultades de inspección de las actividades desarrolladas por la empresa contratista durante la ejecución del contrato, en los términos y con los límites que establece la LCSP.</w:t>
      </w:r>
    </w:p>
    <w:p w14:paraId="5CAD303F" w14:textId="77777777" w:rsidR="00A15F2A" w:rsidRPr="00EB3D94" w:rsidRDefault="00A15F2A" w:rsidP="00BC4866">
      <w:pPr>
        <w:jc w:val="both"/>
        <w:rPr>
          <w:rFonts w:cs="Arial"/>
          <w:lang w:val="es-ES"/>
        </w:rPr>
      </w:pPr>
    </w:p>
    <w:p w14:paraId="7B20B8B3" w14:textId="77777777" w:rsidR="00A15F2A" w:rsidRPr="00EB3D94" w:rsidRDefault="00A15F2A" w:rsidP="00BC4866">
      <w:pPr>
        <w:jc w:val="both"/>
        <w:rPr>
          <w:rFonts w:cs="Arial"/>
          <w:lang w:val="es-ES"/>
        </w:rPr>
      </w:pPr>
      <w:r w:rsidRPr="00EB3D94">
        <w:rPr>
          <w:rFonts w:cs="Arial"/>
          <w:lang w:val="es-ES"/>
        </w:rPr>
        <w:t>Los acuerdos que adopte el órgano de contratación en el ejercicio de las prerrogativas mencionadas agotan la vía administrativa y son inmediatamente ejecutivos.</w:t>
      </w:r>
    </w:p>
    <w:p w14:paraId="315AA6BC" w14:textId="77777777" w:rsidR="00A15F2A" w:rsidRPr="00EB3D94" w:rsidRDefault="00A15F2A" w:rsidP="00BC4866">
      <w:pPr>
        <w:jc w:val="both"/>
        <w:rPr>
          <w:rFonts w:cs="Arial"/>
          <w:lang w:val="es-ES"/>
        </w:rPr>
      </w:pPr>
    </w:p>
    <w:p w14:paraId="7DBB4FF0" w14:textId="77777777" w:rsidR="00A15F2A" w:rsidRPr="00EB3D94" w:rsidRDefault="00A15F2A" w:rsidP="00BC4866">
      <w:pPr>
        <w:jc w:val="both"/>
        <w:rPr>
          <w:rFonts w:cs="Arial"/>
          <w:lang w:val="es-ES"/>
        </w:rPr>
      </w:pPr>
      <w:r w:rsidRPr="00EB3D94">
        <w:rPr>
          <w:rFonts w:cs="Arial"/>
          <w:lang w:val="es-ES"/>
        </w:rPr>
        <w:t>El ejercicio de las prerrogativas de la Administración se llevará a cabo mediante el procedimiento establecido en el artículo 191 de la LCSP.</w:t>
      </w:r>
    </w:p>
    <w:p w14:paraId="15F69BA2" w14:textId="77777777" w:rsidR="00B25F0F" w:rsidRPr="00EB3D94" w:rsidRDefault="00B25F0F" w:rsidP="00BC4866">
      <w:pPr>
        <w:jc w:val="both"/>
        <w:rPr>
          <w:rFonts w:cs="Arial"/>
          <w:b/>
          <w:lang w:val="es-ES"/>
        </w:rPr>
      </w:pPr>
    </w:p>
    <w:p w14:paraId="30BD49A1" w14:textId="77777777" w:rsidR="00A15F2A" w:rsidRPr="00EB3D94" w:rsidRDefault="00261CDE" w:rsidP="00BC4866">
      <w:pPr>
        <w:pStyle w:val="Ttol2"/>
        <w:spacing w:before="0" w:after="0"/>
        <w:jc w:val="both"/>
        <w:rPr>
          <w:rFonts w:ascii="Arial" w:hAnsi="Arial" w:cs="Arial"/>
          <w:i w:val="0"/>
          <w:sz w:val="22"/>
          <w:szCs w:val="22"/>
          <w:lang w:val="es-ES"/>
        </w:rPr>
      </w:pPr>
      <w:bookmarkStart w:id="10" w:name="_Toc512237543"/>
      <w:proofErr w:type="spellStart"/>
      <w:r w:rsidRPr="00EB3D94">
        <w:rPr>
          <w:rFonts w:ascii="Arial" w:hAnsi="Arial" w:cs="Arial"/>
          <w:i w:val="0"/>
          <w:sz w:val="22"/>
          <w:szCs w:val="22"/>
          <w:lang w:val="es-ES"/>
        </w:rPr>
        <w:t>Vigésimasépti</w:t>
      </w:r>
      <w:r w:rsidR="00A15F2A" w:rsidRPr="00EB3D94">
        <w:rPr>
          <w:rFonts w:ascii="Arial" w:hAnsi="Arial" w:cs="Arial"/>
          <w:i w:val="0"/>
          <w:sz w:val="22"/>
          <w:szCs w:val="22"/>
          <w:lang w:val="es-ES"/>
        </w:rPr>
        <w:t>ma</w:t>
      </w:r>
      <w:proofErr w:type="spellEnd"/>
      <w:r w:rsidR="00A15F2A" w:rsidRPr="00EB3D94">
        <w:rPr>
          <w:rFonts w:ascii="Arial" w:hAnsi="Arial" w:cs="Arial"/>
          <w:i w:val="0"/>
          <w:sz w:val="22"/>
          <w:szCs w:val="22"/>
          <w:lang w:val="es-ES"/>
        </w:rPr>
        <w:t xml:space="preserve">. </w:t>
      </w:r>
      <w:r w:rsidR="00A15F2A" w:rsidRPr="00EB3D94">
        <w:rPr>
          <w:rFonts w:ascii="Arial" w:hAnsi="Arial" w:cs="Arial"/>
          <w:i w:val="0"/>
          <w:sz w:val="22"/>
          <w:szCs w:val="22"/>
          <w:u w:val="single"/>
          <w:lang w:val="es-ES"/>
        </w:rPr>
        <w:t>Modificación del contrato</w:t>
      </w:r>
      <w:bookmarkEnd w:id="10"/>
      <w:r w:rsidR="00A15F2A" w:rsidRPr="00EB3D94">
        <w:rPr>
          <w:rFonts w:ascii="Arial" w:hAnsi="Arial" w:cs="Arial"/>
          <w:i w:val="0"/>
          <w:sz w:val="22"/>
          <w:szCs w:val="22"/>
          <w:lang w:val="es-ES"/>
        </w:rPr>
        <w:t xml:space="preserve"> </w:t>
      </w:r>
    </w:p>
    <w:p w14:paraId="68BE6CAB" w14:textId="77777777" w:rsidR="00A15F2A" w:rsidRPr="00EB3D94" w:rsidRDefault="00A15F2A" w:rsidP="00BC4866">
      <w:pPr>
        <w:jc w:val="both"/>
        <w:rPr>
          <w:rFonts w:cs="Arial"/>
          <w:b/>
          <w:lang w:val="es-ES"/>
        </w:rPr>
      </w:pPr>
    </w:p>
    <w:p w14:paraId="6C5BCB63" w14:textId="77777777" w:rsidR="00A15F2A" w:rsidRPr="00EB3D94" w:rsidRDefault="00261CDE" w:rsidP="00BC4866">
      <w:pPr>
        <w:jc w:val="both"/>
        <w:rPr>
          <w:rFonts w:cs="Arial"/>
          <w:lang w:val="es-ES"/>
        </w:rPr>
      </w:pPr>
      <w:r w:rsidRPr="00EB3D94">
        <w:rPr>
          <w:rFonts w:cs="Arial"/>
          <w:b/>
          <w:lang w:val="es-ES"/>
        </w:rPr>
        <w:t>27</w:t>
      </w:r>
      <w:r w:rsidR="00A15F2A" w:rsidRPr="00EB3D94">
        <w:rPr>
          <w:rFonts w:cs="Arial"/>
          <w:b/>
          <w:lang w:val="es-ES"/>
        </w:rPr>
        <w:t>.1</w:t>
      </w:r>
      <w:r w:rsidR="00A15F2A" w:rsidRPr="00EB3D94">
        <w:rPr>
          <w:rFonts w:cs="Arial"/>
          <w:lang w:val="es-ES"/>
        </w:rPr>
        <w:t xml:space="preserve"> El contrato sólo se puede modificar por razones de interés público, en los casos y en la forma que se especifican en esta cláusula y de conformidad con lo que se prevé en los artículos 203 a 207 de la LCSP. </w:t>
      </w:r>
    </w:p>
    <w:p w14:paraId="18968B0E" w14:textId="77777777" w:rsidR="00A15F2A" w:rsidRPr="00EB3D94" w:rsidRDefault="00A15F2A" w:rsidP="00BC4866">
      <w:pPr>
        <w:jc w:val="both"/>
        <w:rPr>
          <w:rFonts w:cs="Arial"/>
          <w:lang w:val="es-ES"/>
        </w:rPr>
      </w:pPr>
    </w:p>
    <w:p w14:paraId="626155C0" w14:textId="77777777" w:rsidR="00A15F2A" w:rsidRPr="00EB3D94" w:rsidRDefault="00261CDE" w:rsidP="00BC4866">
      <w:pPr>
        <w:jc w:val="both"/>
        <w:rPr>
          <w:rFonts w:cs="Arial"/>
          <w:lang w:val="es-ES"/>
        </w:rPr>
      </w:pPr>
      <w:r w:rsidRPr="00EB3D94">
        <w:rPr>
          <w:rFonts w:cs="Arial"/>
          <w:b/>
          <w:lang w:val="es-ES"/>
        </w:rPr>
        <w:t>27.2</w:t>
      </w:r>
      <w:r w:rsidRPr="00EB3D94">
        <w:rPr>
          <w:rFonts w:cs="Arial"/>
          <w:lang w:val="es-ES"/>
        </w:rPr>
        <w:t xml:space="preserve"> En este expediente no se prevé ninguna causa específica de modificación. Las modificaciones del contrato no previstas sólo podrán </w:t>
      </w:r>
      <w:r w:rsidR="00A15F2A" w:rsidRPr="00EB3D94">
        <w:rPr>
          <w:rFonts w:cs="Arial"/>
          <w:lang w:val="es-ES"/>
        </w:rPr>
        <w:t xml:space="preserve">efectuarse cuando se cumplan los requisitos y concurran los supuestos previstos en el artículo 205 de la LCSP, de conformidad con el procedimiento regulado en el artículo 191 de la LCSP y con las particularidades previstas en el artículo 207 de la LCSP. </w:t>
      </w:r>
    </w:p>
    <w:p w14:paraId="4B239365" w14:textId="77777777" w:rsidR="00A15F2A" w:rsidRPr="00EB3D94" w:rsidRDefault="00A15F2A" w:rsidP="00BC4866">
      <w:pPr>
        <w:jc w:val="both"/>
        <w:rPr>
          <w:rFonts w:cs="Arial"/>
          <w:lang w:val="es-ES"/>
        </w:rPr>
      </w:pPr>
    </w:p>
    <w:p w14:paraId="2EDA7211" w14:textId="77777777" w:rsidR="00A15F2A" w:rsidRPr="00EB3D94" w:rsidRDefault="00A15F2A" w:rsidP="00BC4866">
      <w:pPr>
        <w:jc w:val="both"/>
        <w:rPr>
          <w:rFonts w:cs="Arial"/>
          <w:lang w:val="es-ES"/>
        </w:rPr>
      </w:pPr>
      <w:r w:rsidRPr="00EB3D94">
        <w:rPr>
          <w:rFonts w:cs="Arial"/>
          <w:lang w:val="es-ES"/>
        </w:rPr>
        <w:t>Estas modificaciones son obligatorias para la empresa contratista, a menos que impliquen, aislada o conjuntamente, una alteración en su cuantía que exceda el 20% del precio inicial del contrato, IVA excluido. En este caso, la modificación se acordará por el órgano de contratación con la conformidad previa por escrito de la empresa contratista; en caso contrario, el contrato se resolverá de acuerdo con la causa prevista en el artículo 211.1.g) de la LCSP.</w:t>
      </w:r>
    </w:p>
    <w:p w14:paraId="0D56D0FE" w14:textId="77777777" w:rsidR="00A15F2A" w:rsidRPr="00EB3D94" w:rsidRDefault="00A15F2A" w:rsidP="00BC4866">
      <w:pPr>
        <w:jc w:val="both"/>
        <w:rPr>
          <w:rFonts w:cs="Arial"/>
          <w:lang w:val="es-ES"/>
        </w:rPr>
      </w:pPr>
    </w:p>
    <w:p w14:paraId="569C5971" w14:textId="77777777" w:rsidR="00A15F2A" w:rsidRPr="00EB3D94" w:rsidRDefault="00261CDE" w:rsidP="00BC4866">
      <w:pPr>
        <w:jc w:val="both"/>
        <w:rPr>
          <w:rFonts w:cs="Arial"/>
          <w:lang w:val="es-ES"/>
        </w:rPr>
      </w:pPr>
      <w:r w:rsidRPr="00EB3D94">
        <w:rPr>
          <w:rFonts w:cs="Arial"/>
          <w:b/>
          <w:lang w:val="es-ES"/>
        </w:rPr>
        <w:t xml:space="preserve">27.3 </w:t>
      </w:r>
      <w:r w:rsidR="00A15F2A" w:rsidRPr="00EB3D94">
        <w:rPr>
          <w:rFonts w:cs="Arial"/>
          <w:lang w:val="es-ES"/>
        </w:rPr>
        <w:t>Las modificaciones del contrato se formalizarán de conformidad con lo que est</w:t>
      </w:r>
      <w:r w:rsidRPr="00EB3D94">
        <w:rPr>
          <w:rFonts w:cs="Arial"/>
          <w:lang w:val="es-ES"/>
        </w:rPr>
        <w:t>ablece el artículo 153 de la LCSP.</w:t>
      </w:r>
    </w:p>
    <w:p w14:paraId="47203498" w14:textId="77777777" w:rsidR="00A15F2A" w:rsidRPr="00EB3D94" w:rsidRDefault="00A15F2A" w:rsidP="00BC4866">
      <w:pPr>
        <w:jc w:val="both"/>
        <w:rPr>
          <w:rFonts w:cs="Arial"/>
          <w:lang w:val="es-ES"/>
        </w:rPr>
      </w:pPr>
    </w:p>
    <w:p w14:paraId="398E7E51" w14:textId="77777777" w:rsidR="00A15F2A" w:rsidRPr="00EB3D94" w:rsidRDefault="00261CDE" w:rsidP="00BC4866">
      <w:pPr>
        <w:jc w:val="both"/>
        <w:rPr>
          <w:rFonts w:cs="Arial"/>
          <w:lang w:val="es-ES"/>
        </w:rPr>
      </w:pPr>
      <w:r w:rsidRPr="00EB3D94">
        <w:rPr>
          <w:rFonts w:cs="Arial"/>
          <w:b/>
          <w:lang w:val="es-ES"/>
        </w:rPr>
        <w:t>27.4</w:t>
      </w:r>
      <w:r w:rsidR="00A15F2A" w:rsidRPr="00EB3D94">
        <w:rPr>
          <w:rFonts w:cs="Arial"/>
          <w:lang w:val="es-ES"/>
        </w:rPr>
        <w:t xml:space="preserve"> El anuncio de modificación del contrato, junto con las alegaciones de la empresa contratista y de todos los informes que, si procede, se soliciten con carácter previo a la aprobación de la modificación, tanto los que aporte la empresa adjudicataria como los que emita el órgano de contratación, se publicarán en el perfil de contratante. </w:t>
      </w:r>
      <w:bookmarkStart w:id="11" w:name="_Toc512237544"/>
    </w:p>
    <w:p w14:paraId="2A90ADC3" w14:textId="77777777" w:rsidR="001B253A" w:rsidRPr="00EB3D94" w:rsidRDefault="001B253A" w:rsidP="00BC4866">
      <w:pPr>
        <w:jc w:val="both"/>
        <w:rPr>
          <w:rFonts w:cs="Arial"/>
          <w:lang w:val="es-ES"/>
        </w:rPr>
      </w:pPr>
    </w:p>
    <w:p w14:paraId="0B66DE7F" w14:textId="77777777" w:rsidR="00A15F2A" w:rsidRPr="00EB3D94" w:rsidRDefault="00261CDE" w:rsidP="00BC4866">
      <w:pPr>
        <w:pStyle w:val="Ttol2"/>
        <w:spacing w:before="0" w:after="0"/>
        <w:jc w:val="both"/>
        <w:rPr>
          <w:rFonts w:ascii="Arial" w:hAnsi="Arial" w:cs="Arial"/>
          <w:i w:val="0"/>
          <w:sz w:val="22"/>
          <w:szCs w:val="22"/>
          <w:lang w:val="es-ES"/>
        </w:rPr>
      </w:pPr>
      <w:proofErr w:type="spellStart"/>
      <w:r w:rsidRPr="00EB3D94">
        <w:rPr>
          <w:rFonts w:ascii="Arial" w:hAnsi="Arial" w:cs="Arial"/>
          <w:i w:val="0"/>
          <w:sz w:val="22"/>
          <w:szCs w:val="22"/>
          <w:lang w:val="es-ES"/>
        </w:rPr>
        <w:t>Vigésimaoct</w:t>
      </w:r>
      <w:r w:rsidR="00A15F2A" w:rsidRPr="00EB3D94">
        <w:rPr>
          <w:rFonts w:ascii="Arial" w:hAnsi="Arial" w:cs="Arial"/>
          <w:i w:val="0"/>
          <w:sz w:val="22"/>
          <w:szCs w:val="22"/>
          <w:lang w:val="es-ES"/>
        </w:rPr>
        <w:t>ava</w:t>
      </w:r>
      <w:proofErr w:type="spellEnd"/>
      <w:r w:rsidR="00A15F2A" w:rsidRPr="00EB3D94">
        <w:rPr>
          <w:rFonts w:ascii="Arial" w:hAnsi="Arial" w:cs="Arial"/>
          <w:i w:val="0"/>
          <w:sz w:val="22"/>
          <w:szCs w:val="22"/>
          <w:lang w:val="es-ES"/>
        </w:rPr>
        <w:t xml:space="preserve">. </w:t>
      </w:r>
      <w:r w:rsidR="00A15F2A" w:rsidRPr="00EB3D94">
        <w:rPr>
          <w:rFonts w:ascii="Arial" w:hAnsi="Arial" w:cs="Arial"/>
          <w:i w:val="0"/>
          <w:sz w:val="22"/>
          <w:szCs w:val="22"/>
          <w:u w:val="single"/>
          <w:lang w:val="es-ES"/>
        </w:rPr>
        <w:t>Suspensión del contrato</w:t>
      </w:r>
      <w:bookmarkEnd w:id="11"/>
      <w:r w:rsidR="00A15F2A" w:rsidRPr="00EB3D94">
        <w:rPr>
          <w:rFonts w:ascii="Arial" w:hAnsi="Arial" w:cs="Arial"/>
          <w:i w:val="0"/>
          <w:sz w:val="22"/>
          <w:szCs w:val="22"/>
          <w:lang w:val="es-ES"/>
        </w:rPr>
        <w:t xml:space="preserve"> </w:t>
      </w:r>
    </w:p>
    <w:p w14:paraId="04725AA6" w14:textId="77777777" w:rsidR="00A15F2A" w:rsidRPr="00EB3D94" w:rsidRDefault="00A15F2A" w:rsidP="00BC4866">
      <w:pPr>
        <w:jc w:val="both"/>
        <w:rPr>
          <w:rFonts w:cs="Arial"/>
          <w:b/>
          <w:lang w:val="es-ES"/>
        </w:rPr>
      </w:pPr>
    </w:p>
    <w:p w14:paraId="320C41BC" w14:textId="721B48F5" w:rsidR="00A15F2A" w:rsidRPr="00EB3D94" w:rsidRDefault="00A15F2A" w:rsidP="00BC4866">
      <w:pPr>
        <w:jc w:val="both"/>
        <w:rPr>
          <w:rFonts w:cs="Arial"/>
          <w:lang w:val="es-ES"/>
        </w:rPr>
      </w:pPr>
      <w:r w:rsidRPr="00EB3D94">
        <w:rPr>
          <w:rFonts w:cs="Arial"/>
          <w:lang w:val="es-ES"/>
        </w:rPr>
        <w:t xml:space="preserve">El contrato podrá ser suspendido por acuerdo de la Administración o para que el contratista opte por suspender </w:t>
      </w:r>
      <w:r w:rsidR="00F1162A" w:rsidRPr="00EB3D94">
        <w:rPr>
          <w:rFonts w:cs="Arial"/>
          <w:lang w:val="es-ES"/>
        </w:rPr>
        <w:t>su cumplimiento</w:t>
      </w:r>
      <w:r w:rsidRPr="00EB3D94">
        <w:rPr>
          <w:rFonts w:cs="Arial"/>
          <w:vanish/>
          <w:lang w:val="es-ES"/>
        </w:rPr>
        <w:t>&lt;A[cumplimiento|cumplido]&gt;</w:t>
      </w:r>
      <w:r w:rsidRPr="00EB3D94">
        <w:rPr>
          <w:rFonts w:cs="Arial"/>
          <w:lang w:val="es-ES"/>
        </w:rPr>
        <w:t>, en caso de demora en el pago del precio superior a 4 meses, comunicándolo a la Administración con un mes de antelación.</w:t>
      </w:r>
    </w:p>
    <w:p w14:paraId="1B42A250" w14:textId="77777777" w:rsidR="00A15F2A" w:rsidRPr="00EB3D94" w:rsidRDefault="00A15F2A" w:rsidP="00BC4866">
      <w:pPr>
        <w:jc w:val="both"/>
        <w:rPr>
          <w:rFonts w:cs="Arial"/>
          <w:b/>
          <w:lang w:val="es-ES"/>
        </w:rPr>
      </w:pPr>
    </w:p>
    <w:p w14:paraId="6659A8CF" w14:textId="30CB1E85" w:rsidR="00A15F2A" w:rsidRPr="00EB3D94" w:rsidRDefault="00A15F2A" w:rsidP="00BC4866">
      <w:pPr>
        <w:jc w:val="both"/>
        <w:rPr>
          <w:rFonts w:cs="Arial"/>
          <w:lang w:val="es-ES"/>
        </w:rPr>
      </w:pPr>
      <w:r w:rsidRPr="00EB3D94">
        <w:rPr>
          <w:rFonts w:cs="Arial"/>
          <w:lang w:val="es-ES"/>
        </w:rPr>
        <w:t xml:space="preserve">En todo caso, la Administración </w:t>
      </w:r>
      <w:r w:rsidR="00982820" w:rsidRPr="00EB3D94">
        <w:rPr>
          <w:rFonts w:cs="Arial"/>
          <w:lang w:val="es-ES"/>
        </w:rPr>
        <w:t xml:space="preserve">debe </w:t>
      </w:r>
      <w:r w:rsidR="00261CDE" w:rsidRPr="00EB3D94">
        <w:rPr>
          <w:rFonts w:cs="Arial"/>
          <w:lang w:val="es-ES"/>
        </w:rPr>
        <w:t xml:space="preserve">extender </w:t>
      </w:r>
      <w:r w:rsidRPr="00EB3D94">
        <w:rPr>
          <w:rFonts w:cs="Arial"/>
          <w:lang w:val="es-ES"/>
        </w:rPr>
        <w:t>el acta de suspensión correspondiente, de oficio o a solicitud de la empresa contratista, de conformidad con lo que dispone el artículo 208.1 de la LCSP.</w:t>
      </w:r>
    </w:p>
    <w:p w14:paraId="18ADED8F" w14:textId="77777777" w:rsidR="00A15F2A" w:rsidRPr="00EB3D94" w:rsidRDefault="00A15F2A" w:rsidP="00BC4866">
      <w:pPr>
        <w:jc w:val="both"/>
        <w:rPr>
          <w:rFonts w:cs="Arial"/>
          <w:lang w:val="es-ES"/>
        </w:rPr>
      </w:pPr>
    </w:p>
    <w:p w14:paraId="637F510D" w14:textId="79FE69B1" w:rsidR="00A15F2A" w:rsidRPr="00EB3D94" w:rsidRDefault="00A15F2A" w:rsidP="00BC4866">
      <w:pPr>
        <w:jc w:val="both"/>
        <w:rPr>
          <w:rFonts w:cs="Arial"/>
          <w:lang w:val="es-ES"/>
        </w:rPr>
      </w:pPr>
      <w:r w:rsidRPr="00EB3D94">
        <w:rPr>
          <w:rFonts w:cs="Arial"/>
          <w:lang w:val="es-ES"/>
        </w:rPr>
        <w:t xml:space="preserve">El acta de suspensión, de acuerdo con el artículo 103 del RGLCAP, la </w:t>
      </w:r>
      <w:r w:rsidR="00A25938" w:rsidRPr="00EB3D94">
        <w:rPr>
          <w:rFonts w:cs="Arial"/>
          <w:lang w:val="es-ES"/>
        </w:rPr>
        <w:t xml:space="preserve">deberán </w:t>
      </w:r>
      <w:r w:rsidRPr="00EB3D94">
        <w:rPr>
          <w:rFonts w:cs="Arial"/>
          <w:lang w:val="es-ES"/>
        </w:rPr>
        <w:t xml:space="preserve">firmar una persona en representación del órgano de contratación y la empresa contratista y se </w:t>
      </w:r>
      <w:r w:rsidR="00982820" w:rsidRPr="00EB3D94">
        <w:rPr>
          <w:rFonts w:cs="Arial"/>
          <w:lang w:val="es-ES"/>
        </w:rPr>
        <w:t xml:space="preserve">debe </w:t>
      </w:r>
      <w:r w:rsidRPr="00EB3D94">
        <w:rPr>
          <w:rFonts w:cs="Arial"/>
          <w:lang w:val="es-ES"/>
        </w:rPr>
        <w:t xml:space="preserve">extender en el plazo máximo de dos días hábiles, a contar del día siguiente del día en que se acuerde la suspensión. </w:t>
      </w:r>
    </w:p>
    <w:p w14:paraId="26555237" w14:textId="77777777" w:rsidR="00A15F2A" w:rsidRPr="00EB3D94" w:rsidRDefault="00A15F2A" w:rsidP="00BC4866">
      <w:pPr>
        <w:jc w:val="both"/>
        <w:rPr>
          <w:rFonts w:cs="Arial"/>
          <w:lang w:val="es-ES"/>
        </w:rPr>
      </w:pPr>
    </w:p>
    <w:p w14:paraId="323FD070" w14:textId="49044CDA" w:rsidR="00A15F2A" w:rsidRPr="00EB3D94" w:rsidRDefault="00A15F2A" w:rsidP="00BC4866">
      <w:pPr>
        <w:jc w:val="both"/>
        <w:rPr>
          <w:rFonts w:cs="Arial"/>
          <w:lang w:val="es-ES"/>
        </w:rPr>
      </w:pPr>
      <w:r w:rsidRPr="00EB3D94">
        <w:rPr>
          <w:rFonts w:cs="Arial"/>
          <w:lang w:val="es-ES"/>
        </w:rPr>
        <w:t xml:space="preserve">La Administración </w:t>
      </w:r>
      <w:r w:rsidR="00982820" w:rsidRPr="00EB3D94">
        <w:rPr>
          <w:rFonts w:cs="Arial"/>
          <w:lang w:val="es-ES"/>
        </w:rPr>
        <w:t xml:space="preserve">debe </w:t>
      </w:r>
      <w:r w:rsidRPr="00EB3D94">
        <w:rPr>
          <w:rFonts w:cs="Arial"/>
          <w:lang w:val="es-ES"/>
        </w:rPr>
        <w:t>abonar</w:t>
      </w:r>
      <w:r w:rsidR="00261CDE" w:rsidRPr="00EB3D94">
        <w:rPr>
          <w:rFonts w:cs="Arial"/>
          <w:lang w:val="es-ES"/>
        </w:rPr>
        <w:t xml:space="preserve"> </w:t>
      </w:r>
      <w:r w:rsidRPr="00EB3D94">
        <w:rPr>
          <w:rFonts w:cs="Arial"/>
          <w:lang w:val="es-ES"/>
        </w:rPr>
        <w:t xml:space="preserve">en la empresa contratista los daños y perjuicios que efectivamente se le causen de conformidad con el previsto en el artículo 208.2 de la LCSP. El abono de los daños </w:t>
      </w:r>
      <w:r w:rsidRPr="00EB3D94">
        <w:rPr>
          <w:rFonts w:cs="Arial"/>
          <w:lang w:val="es-ES"/>
        </w:rPr>
        <w:lastRenderedPageBreak/>
        <w:t>y perjuicios en la empresa contratista sólo comprenderá los conceptos que se indican en este precepto.</w:t>
      </w:r>
    </w:p>
    <w:p w14:paraId="552C24F7" w14:textId="77777777" w:rsidR="00A15F2A" w:rsidRPr="00EB3D94" w:rsidRDefault="00A15F2A" w:rsidP="00BC4866">
      <w:pPr>
        <w:jc w:val="both"/>
        <w:rPr>
          <w:rFonts w:cs="Arial"/>
          <w:b/>
          <w:lang w:val="es-ES"/>
        </w:rPr>
      </w:pPr>
    </w:p>
    <w:p w14:paraId="1992EE20" w14:textId="77777777" w:rsidR="00A01919" w:rsidRPr="00EB3D94" w:rsidRDefault="00A01919" w:rsidP="00BC4866">
      <w:pPr>
        <w:pStyle w:val="Ttol1"/>
        <w:rPr>
          <w:rFonts w:cs="Arial"/>
          <w:sz w:val="22"/>
          <w:szCs w:val="22"/>
          <w:lang w:val="es-ES"/>
        </w:rPr>
      </w:pPr>
      <w:bookmarkStart w:id="12" w:name="_Toc512237545"/>
      <w:r w:rsidRPr="00EB3D94">
        <w:rPr>
          <w:rFonts w:cs="Arial"/>
          <w:sz w:val="22"/>
          <w:szCs w:val="22"/>
          <w:lang w:val="es-ES"/>
        </w:rPr>
        <w:t>V. DISPOSICIONES RELATIVAS A LA SUCESIÓN, CESIÓN, LA SUBCONTRATACIÓN Y LA REVISIÓN DE PRECIOS DEL CONTRATO</w:t>
      </w:r>
      <w:bookmarkEnd w:id="12"/>
    </w:p>
    <w:p w14:paraId="34C605A9" w14:textId="77777777" w:rsidR="00A01919" w:rsidRPr="00EB3D94" w:rsidRDefault="00A01919" w:rsidP="00BC4866">
      <w:pPr>
        <w:jc w:val="both"/>
        <w:rPr>
          <w:rFonts w:cs="Arial"/>
          <w:lang w:val="es-ES"/>
        </w:rPr>
      </w:pPr>
    </w:p>
    <w:p w14:paraId="4CC89547" w14:textId="77777777" w:rsidR="00F1162A" w:rsidRPr="00EB3D94" w:rsidRDefault="00F1162A" w:rsidP="00BC4866">
      <w:pPr>
        <w:jc w:val="both"/>
        <w:rPr>
          <w:rFonts w:cs="Arial"/>
          <w:lang w:val="es-ES"/>
        </w:rPr>
      </w:pPr>
    </w:p>
    <w:p w14:paraId="2BD3FB8A" w14:textId="77777777" w:rsidR="00A01919" w:rsidRPr="00EB3D94" w:rsidRDefault="00D26542" w:rsidP="00BC4866">
      <w:pPr>
        <w:pStyle w:val="Ttol2"/>
        <w:spacing w:before="0" w:after="0"/>
        <w:jc w:val="both"/>
        <w:rPr>
          <w:rFonts w:ascii="Arial" w:hAnsi="Arial" w:cs="Arial"/>
          <w:i w:val="0"/>
          <w:sz w:val="22"/>
          <w:szCs w:val="22"/>
          <w:lang w:val="es-ES"/>
        </w:rPr>
      </w:pPr>
      <w:bookmarkStart w:id="13" w:name="_Toc512237546"/>
      <w:proofErr w:type="spellStart"/>
      <w:r w:rsidRPr="00EB3D94">
        <w:rPr>
          <w:rFonts w:ascii="Arial" w:hAnsi="Arial" w:cs="Arial"/>
          <w:i w:val="0"/>
          <w:sz w:val="22"/>
          <w:szCs w:val="22"/>
          <w:lang w:val="es-ES"/>
        </w:rPr>
        <w:t>Vigésimanovena</w:t>
      </w:r>
      <w:proofErr w:type="spellEnd"/>
      <w:r w:rsidR="00A01919" w:rsidRPr="00EB3D94">
        <w:rPr>
          <w:rFonts w:ascii="Arial" w:hAnsi="Arial" w:cs="Arial"/>
          <w:i w:val="0"/>
          <w:sz w:val="22"/>
          <w:szCs w:val="22"/>
          <w:lang w:val="es-ES"/>
        </w:rPr>
        <w:t xml:space="preserve">. </w:t>
      </w:r>
      <w:r w:rsidRPr="00EB3D94">
        <w:rPr>
          <w:rFonts w:ascii="Arial" w:hAnsi="Arial" w:cs="Arial"/>
          <w:i w:val="0"/>
          <w:sz w:val="22"/>
          <w:szCs w:val="22"/>
          <w:u w:val="single"/>
          <w:lang w:val="es-ES"/>
        </w:rPr>
        <w:t>Sucesión</w:t>
      </w:r>
      <w:r w:rsidR="00A01919" w:rsidRPr="00EB3D94">
        <w:rPr>
          <w:rFonts w:ascii="Arial" w:hAnsi="Arial" w:cs="Arial"/>
          <w:i w:val="0"/>
          <w:sz w:val="22"/>
          <w:szCs w:val="22"/>
          <w:u w:val="single"/>
          <w:lang w:val="es-ES"/>
        </w:rPr>
        <w:t xml:space="preserve"> y Cesión del contrato</w:t>
      </w:r>
      <w:bookmarkEnd w:id="13"/>
    </w:p>
    <w:p w14:paraId="7E659A1F" w14:textId="77777777" w:rsidR="00A01919" w:rsidRPr="00EB3D94" w:rsidRDefault="00A01919" w:rsidP="00BC4866">
      <w:pPr>
        <w:jc w:val="both"/>
        <w:rPr>
          <w:rFonts w:cs="Arial"/>
          <w:b/>
          <w:lang w:val="es-ES"/>
        </w:rPr>
      </w:pPr>
    </w:p>
    <w:p w14:paraId="1AD691EC" w14:textId="77777777" w:rsidR="00A01919" w:rsidRPr="00EB3D94" w:rsidRDefault="00D26542" w:rsidP="00BC4866">
      <w:pPr>
        <w:jc w:val="both"/>
        <w:rPr>
          <w:rFonts w:cs="Arial"/>
          <w:lang w:val="es-ES"/>
        </w:rPr>
      </w:pPr>
      <w:r w:rsidRPr="00EB3D94">
        <w:rPr>
          <w:rFonts w:cs="Arial"/>
          <w:b/>
          <w:lang w:val="es-ES"/>
        </w:rPr>
        <w:t>29</w:t>
      </w:r>
      <w:r w:rsidR="00A01919" w:rsidRPr="00EB3D94">
        <w:rPr>
          <w:rFonts w:cs="Arial"/>
          <w:b/>
          <w:lang w:val="es-ES"/>
        </w:rPr>
        <w:t>.1</w:t>
      </w:r>
      <w:r w:rsidR="00A01919" w:rsidRPr="00EB3D94">
        <w:rPr>
          <w:rFonts w:cs="Arial"/>
          <w:lang w:val="es-ES"/>
        </w:rPr>
        <w:t xml:space="preserve"> Sucesión en la persona del contratista:</w:t>
      </w:r>
    </w:p>
    <w:p w14:paraId="34A8CB8C" w14:textId="77777777" w:rsidR="009736FB" w:rsidRPr="00EB3D94" w:rsidRDefault="009736FB" w:rsidP="00BC4866">
      <w:pPr>
        <w:jc w:val="both"/>
        <w:rPr>
          <w:rFonts w:cs="Arial"/>
          <w:lang w:val="es-ES"/>
        </w:rPr>
      </w:pPr>
    </w:p>
    <w:p w14:paraId="4A959845" w14:textId="77777777" w:rsidR="00A01919" w:rsidRPr="00EB3D94" w:rsidRDefault="00A01919" w:rsidP="00BC4866">
      <w:pPr>
        <w:jc w:val="both"/>
        <w:rPr>
          <w:rFonts w:cs="Arial"/>
          <w:lang w:val="es-ES"/>
        </w:rPr>
      </w:pPr>
      <w:r w:rsidRPr="00EB3D94">
        <w:rPr>
          <w:rFonts w:cs="Arial"/>
          <w:lang w:val="es-ES"/>
        </w:rPr>
        <w:t xml:space="preserve">En el supuesto de fusión de empresas en que participe la sociedad contratista, el contrato continuará vigente con la entidad absorbente o con la resultante de la fusión, que quedará subrogada en todos los derechos y obligaciones que dimanan. </w:t>
      </w:r>
    </w:p>
    <w:p w14:paraId="67FF63CF" w14:textId="77777777" w:rsidR="00A01919" w:rsidRPr="00EB3D94" w:rsidRDefault="00A01919" w:rsidP="00BC4866">
      <w:pPr>
        <w:jc w:val="both"/>
        <w:rPr>
          <w:rFonts w:cs="Arial"/>
          <w:lang w:val="es-ES"/>
        </w:rPr>
      </w:pPr>
    </w:p>
    <w:p w14:paraId="4BA4E6BF" w14:textId="77777777" w:rsidR="00A01919" w:rsidRPr="00EB3D94" w:rsidRDefault="00A01919" w:rsidP="00BC4866">
      <w:pPr>
        <w:jc w:val="both"/>
        <w:rPr>
          <w:rFonts w:cs="Arial"/>
          <w:lang w:val="es-ES"/>
        </w:rPr>
      </w:pPr>
      <w:r w:rsidRPr="00EB3D94">
        <w:rPr>
          <w:rFonts w:cs="Arial"/>
          <w:lang w:val="es-ES"/>
        </w:rPr>
        <w:t xml:space="preserve">En supuestos de escisión, aportación o transmisión de empresas o ramas de actividad, el contrato continuará con la entidad a la cual se atribuya el contrato, que quedará subrogada en los derechos y las obligaciones que dimanan, siempre que reúna las condiciones de capacidad, ausencia de prohibición de contratar y la solvencia exigida al acordarse la adjudicación del contrato o que las sociedades beneficiarias de estas operaciones y, en caso de subsistir, la sociedad de la cual provengan el patrimonio, empresas de la cual o ramas de la cual segregadas, se responsabilicen solidariamente de la ejecución del contrato. </w:t>
      </w:r>
    </w:p>
    <w:p w14:paraId="10351278" w14:textId="77777777" w:rsidR="00A01919" w:rsidRPr="00EB3D94" w:rsidRDefault="00A01919" w:rsidP="00BC4866">
      <w:pPr>
        <w:jc w:val="both"/>
        <w:rPr>
          <w:rFonts w:cs="Arial"/>
          <w:lang w:val="es-ES"/>
        </w:rPr>
      </w:pPr>
    </w:p>
    <w:p w14:paraId="5F123A57" w14:textId="71E23BA7" w:rsidR="00A01919" w:rsidRPr="00EB3D94" w:rsidRDefault="00A01919" w:rsidP="00BC4866">
      <w:pPr>
        <w:jc w:val="both"/>
        <w:rPr>
          <w:rFonts w:cs="Arial"/>
          <w:lang w:val="es-ES"/>
        </w:rPr>
      </w:pPr>
      <w:r w:rsidRPr="00EB3D94">
        <w:rPr>
          <w:rFonts w:cs="Arial"/>
          <w:lang w:val="es-ES"/>
        </w:rPr>
        <w:t xml:space="preserve">La empresa contratista </w:t>
      </w:r>
      <w:r w:rsidR="00982820" w:rsidRPr="00EB3D94">
        <w:rPr>
          <w:rFonts w:cs="Arial"/>
          <w:lang w:val="es-ES"/>
        </w:rPr>
        <w:t xml:space="preserve">debe </w:t>
      </w:r>
      <w:r w:rsidRPr="00EB3D94">
        <w:rPr>
          <w:rFonts w:cs="Arial"/>
          <w:lang w:val="es-ES"/>
        </w:rPr>
        <w:t xml:space="preserve">comunicar en el órgano de contratación la circunstancia que se haya producido. </w:t>
      </w:r>
    </w:p>
    <w:p w14:paraId="59551703" w14:textId="77777777" w:rsidR="00A01919" w:rsidRPr="00EB3D94" w:rsidRDefault="00A01919" w:rsidP="00BC4866">
      <w:pPr>
        <w:jc w:val="both"/>
        <w:rPr>
          <w:rFonts w:cs="Arial"/>
          <w:lang w:val="es-ES"/>
        </w:rPr>
      </w:pPr>
    </w:p>
    <w:p w14:paraId="3060AE26" w14:textId="290DA388" w:rsidR="00A01919" w:rsidRPr="00EB3D94" w:rsidRDefault="00A01919" w:rsidP="00BC4866">
      <w:pPr>
        <w:jc w:val="both"/>
        <w:rPr>
          <w:rFonts w:cs="Arial"/>
          <w:lang w:val="es-ES"/>
        </w:rPr>
      </w:pPr>
      <w:r w:rsidRPr="00EB3D94">
        <w:rPr>
          <w:rFonts w:cs="Arial"/>
          <w:lang w:val="es-ES"/>
        </w:rPr>
        <w:t>En caso de que la empresa contratista sea una UTE</w:t>
      </w:r>
      <w:r w:rsidR="00F1162A" w:rsidRPr="00EB3D94">
        <w:rPr>
          <w:rFonts w:cs="Arial"/>
          <w:lang w:val="es-ES"/>
        </w:rPr>
        <w:t>, cuando</w:t>
      </w:r>
      <w:r w:rsidRPr="00EB3D94">
        <w:rPr>
          <w:rFonts w:cs="Arial"/>
          <w:lang w:val="es-ES"/>
        </w:rPr>
        <w:t xml:space="preserve"> tengan lugar respecto de alguna o algunas empresas integrantes de la unión temporal operaciones de fusión, escisión o transmisión de rama de actividad, continuará la ejecución del contrato con la unión temporal adjudicataria. </w:t>
      </w:r>
      <w:proofErr w:type="gramStart"/>
      <w:r w:rsidRPr="00EB3D94">
        <w:rPr>
          <w:rFonts w:cs="Arial"/>
          <w:lang w:val="es-ES"/>
        </w:rPr>
        <w:t>En caso</w:t>
      </w:r>
      <w:r w:rsidR="001266E4" w:rsidRPr="00EB3D94">
        <w:rPr>
          <w:rFonts w:cs="Arial"/>
          <w:lang w:val="es-ES"/>
        </w:rPr>
        <w:t xml:space="preserve"> </w:t>
      </w:r>
      <w:r w:rsidRPr="00EB3D94">
        <w:rPr>
          <w:rFonts w:cs="Arial"/>
          <w:lang w:val="es-ES"/>
        </w:rPr>
        <w:t>que</w:t>
      </w:r>
      <w:proofErr w:type="gramEnd"/>
      <w:r w:rsidRPr="00EB3D94">
        <w:rPr>
          <w:rFonts w:cs="Arial"/>
          <w:lang w:val="es-ES"/>
        </w:rPr>
        <w:t xml:space="preserve"> la sociedad absorbente, la resultante de la fusión, la beneficiaria de la escisión o el adquirente de la rama de actividad, no sean </w:t>
      </w:r>
      <w:r w:rsidR="001266E4" w:rsidRPr="00EB3D94">
        <w:rPr>
          <w:rFonts w:cs="Arial"/>
          <w:lang w:val="es-ES"/>
        </w:rPr>
        <w:t>empresas</w:t>
      </w:r>
      <w:r w:rsidRPr="00EB3D94">
        <w:rPr>
          <w:rFonts w:cs="Arial"/>
          <w:lang w:val="es-ES"/>
        </w:rPr>
        <w:t xml:space="preserve"> integrantes de la unión temporal, será necesario que tengan plena capacidad de obrar, no estén incursas en prohibición de contratar y que se mantenga la solvencia, la capacidad o clasificación </w:t>
      </w:r>
      <w:r w:rsidR="00D26542" w:rsidRPr="00EB3D94">
        <w:rPr>
          <w:rFonts w:cs="Arial"/>
          <w:lang w:val="es-ES"/>
        </w:rPr>
        <w:t>exigida</w:t>
      </w:r>
      <w:r w:rsidRPr="00EB3D94">
        <w:rPr>
          <w:rFonts w:cs="Arial"/>
          <w:lang w:val="es-ES"/>
        </w:rPr>
        <w:t>.</w:t>
      </w:r>
    </w:p>
    <w:p w14:paraId="0805BC67" w14:textId="77777777" w:rsidR="00A01919" w:rsidRPr="00EB3D94" w:rsidRDefault="00A01919" w:rsidP="00BC4866">
      <w:pPr>
        <w:jc w:val="both"/>
        <w:rPr>
          <w:rFonts w:cs="Arial"/>
          <w:lang w:val="es-ES"/>
        </w:rPr>
      </w:pPr>
    </w:p>
    <w:p w14:paraId="5F1971AA" w14:textId="77777777" w:rsidR="009736FB" w:rsidRPr="00EB3D94" w:rsidRDefault="00A01919" w:rsidP="00BC4866">
      <w:pPr>
        <w:jc w:val="both"/>
        <w:rPr>
          <w:rFonts w:cs="Arial"/>
          <w:lang w:val="es-ES"/>
        </w:rPr>
      </w:pPr>
      <w:r w:rsidRPr="00EB3D94">
        <w:rPr>
          <w:rFonts w:cs="Arial"/>
          <w:lang w:val="es-ES"/>
        </w:rPr>
        <w:t>Si la subrogación no se puede producir porque la entidad a la cual se tendría que atribuir el contrato no reúne las condiciones de solvencia necesarias, el contrato se resolverá, considerándose a todos los efectos como un supuesto de resolución por culpa de la empresa contratista.</w:t>
      </w:r>
    </w:p>
    <w:p w14:paraId="6E2A7413" w14:textId="77777777" w:rsidR="009736FB" w:rsidRPr="00EB3D94" w:rsidRDefault="009736FB" w:rsidP="00BC4866">
      <w:pPr>
        <w:jc w:val="both"/>
        <w:rPr>
          <w:rFonts w:cs="Arial"/>
          <w:lang w:val="es-ES"/>
        </w:rPr>
      </w:pPr>
    </w:p>
    <w:p w14:paraId="6DB3FDA0" w14:textId="77777777" w:rsidR="00A01919" w:rsidRPr="00EB3D94" w:rsidRDefault="00D26542" w:rsidP="00BC4866">
      <w:pPr>
        <w:jc w:val="both"/>
        <w:rPr>
          <w:rFonts w:cs="Arial"/>
          <w:lang w:val="es-ES"/>
        </w:rPr>
      </w:pPr>
      <w:r w:rsidRPr="00EB3D94">
        <w:rPr>
          <w:rFonts w:cs="Arial"/>
          <w:b/>
          <w:lang w:val="es-ES"/>
        </w:rPr>
        <w:t>29</w:t>
      </w:r>
      <w:r w:rsidR="00A01919" w:rsidRPr="00EB3D94">
        <w:rPr>
          <w:rFonts w:cs="Arial"/>
          <w:b/>
          <w:lang w:val="es-ES"/>
        </w:rPr>
        <w:t>.2</w:t>
      </w:r>
      <w:r w:rsidR="00A01919" w:rsidRPr="00EB3D94">
        <w:rPr>
          <w:rFonts w:cs="Arial"/>
          <w:lang w:val="es-ES"/>
        </w:rPr>
        <w:t xml:space="preserve"> Cesión del contrato:</w:t>
      </w:r>
      <w:r w:rsidR="00A01919" w:rsidRPr="00EB3D94">
        <w:rPr>
          <w:rFonts w:cs="Arial"/>
          <w:b/>
          <w:lang w:val="es-ES"/>
        </w:rPr>
        <w:t xml:space="preserve"> </w:t>
      </w:r>
    </w:p>
    <w:p w14:paraId="2D15E5BA" w14:textId="77777777" w:rsidR="00A01919" w:rsidRPr="00EB3D94" w:rsidRDefault="00A01919" w:rsidP="00BC4866">
      <w:pPr>
        <w:jc w:val="both"/>
        <w:rPr>
          <w:rFonts w:cs="Arial"/>
          <w:lang w:val="es-ES"/>
        </w:rPr>
      </w:pPr>
    </w:p>
    <w:p w14:paraId="3C1ADB20" w14:textId="77777777" w:rsidR="00A01919" w:rsidRPr="00EB3D94" w:rsidRDefault="00A01919" w:rsidP="00BC4866">
      <w:pPr>
        <w:jc w:val="both"/>
        <w:rPr>
          <w:rFonts w:cs="Arial"/>
          <w:lang w:val="es-ES"/>
        </w:rPr>
      </w:pPr>
      <w:r w:rsidRPr="00EB3D94">
        <w:rPr>
          <w:rFonts w:cs="Arial"/>
          <w:lang w:val="es-ES"/>
        </w:rPr>
        <w:t xml:space="preserve">Los derechos y las obligaciones que dimanan de este contrato se podrán ceder por la empresa contratista a una tercera persona, siempre que las cualidades técnicas o personal de quienes cede no hayan sido razón determinante de la adjudicación del contrato ni que de la cesión no resulte una restricción efectiva de la competencia en el mercado, cuando se cumplan los requisitos siguientes: </w:t>
      </w:r>
    </w:p>
    <w:p w14:paraId="6D552A32" w14:textId="77777777" w:rsidR="00A01919" w:rsidRPr="00EB3D94" w:rsidRDefault="00A01919" w:rsidP="00BC4866">
      <w:pPr>
        <w:jc w:val="both"/>
        <w:rPr>
          <w:rFonts w:cs="Arial"/>
          <w:lang w:val="es-ES"/>
        </w:rPr>
      </w:pPr>
    </w:p>
    <w:p w14:paraId="7740BC9E" w14:textId="77777777" w:rsidR="00A01919" w:rsidRPr="00EB3D94" w:rsidRDefault="00A01919" w:rsidP="00BC4866">
      <w:pPr>
        <w:jc w:val="both"/>
        <w:rPr>
          <w:rFonts w:cs="Arial"/>
          <w:lang w:val="es-ES"/>
        </w:rPr>
      </w:pPr>
      <w:r w:rsidRPr="00EB3D94">
        <w:rPr>
          <w:rFonts w:cs="Arial"/>
          <w:lang w:val="es-ES"/>
        </w:rPr>
        <w:t xml:space="preserve">a) El órgano de contratación autorice, de forma previa y expresa, la cesión. Si transcurre el plazo de dos meses sin que se haya notificado la resolución sobre la solicitud de autorización de la cesión, esta se entenderá otorgada por silencio administrativo. </w:t>
      </w:r>
    </w:p>
    <w:p w14:paraId="0990EE5D" w14:textId="77777777" w:rsidR="00A01919" w:rsidRPr="00EB3D94" w:rsidRDefault="00A01919" w:rsidP="00BC4866">
      <w:pPr>
        <w:jc w:val="both"/>
        <w:rPr>
          <w:rFonts w:cs="Arial"/>
          <w:lang w:val="es-ES"/>
        </w:rPr>
      </w:pPr>
    </w:p>
    <w:p w14:paraId="18152E18" w14:textId="5BF955AF" w:rsidR="00A01919" w:rsidRPr="00EB3D94" w:rsidRDefault="00A01919" w:rsidP="00BC4866">
      <w:pPr>
        <w:jc w:val="both"/>
        <w:rPr>
          <w:rFonts w:cs="Arial"/>
          <w:lang w:val="es-ES"/>
        </w:rPr>
      </w:pPr>
      <w:r w:rsidRPr="00EB3D94">
        <w:rPr>
          <w:rFonts w:cs="Arial"/>
          <w:lang w:val="es-ES"/>
        </w:rPr>
        <w:t xml:space="preserve">b) La empresa cedente tenga ejecutado al menos un </w:t>
      </w:r>
      <w:r w:rsidR="001266E4" w:rsidRPr="00EB3D94">
        <w:rPr>
          <w:rFonts w:cs="Arial"/>
          <w:lang w:val="es-ES"/>
        </w:rPr>
        <w:t>20 por</w:t>
      </w:r>
      <w:r w:rsidRPr="00EB3D94">
        <w:rPr>
          <w:rFonts w:cs="Arial"/>
          <w:lang w:val="es-ES"/>
        </w:rPr>
        <w:t xml:space="preserve"> 100 del importe del contrato. Este requisito no se exige si la cesión se produce encontrándose la empresa contratista en </w:t>
      </w:r>
      <w:proofErr w:type="gramStart"/>
      <w:r w:rsidRPr="00EB3D94">
        <w:rPr>
          <w:rFonts w:cs="Arial"/>
          <w:lang w:val="es-ES"/>
        </w:rPr>
        <w:t>concurso</w:t>
      </w:r>
      <w:proofErr w:type="gramEnd"/>
      <w:r w:rsidRPr="00EB3D94">
        <w:rPr>
          <w:rFonts w:cs="Arial"/>
          <w:lang w:val="es-ES"/>
        </w:rPr>
        <w:t xml:space="preserve"> aunque se haya abierto la fase de liquidación, o ha puesto en conocimiento del juzgado </w:t>
      </w:r>
      <w:r w:rsidRPr="00EB3D94">
        <w:rPr>
          <w:rFonts w:cs="Arial"/>
          <w:lang w:val="es-ES"/>
        </w:rPr>
        <w:lastRenderedPageBreak/>
        <w:t>competente para la declaración del concurso que ha iniciado negociaciones para llegar a un acuerdo de refinanciación, o para obtener adhesiones a una propuesta anticipada de convenio, en los términos que prevé la legislación concursal.</w:t>
      </w:r>
    </w:p>
    <w:p w14:paraId="7F960D0E" w14:textId="77777777" w:rsidR="00A01919" w:rsidRPr="00EB3D94" w:rsidRDefault="00A01919" w:rsidP="00BC4866">
      <w:pPr>
        <w:jc w:val="both"/>
        <w:rPr>
          <w:rFonts w:cs="Arial"/>
          <w:lang w:val="es-ES"/>
        </w:rPr>
      </w:pPr>
    </w:p>
    <w:p w14:paraId="3A7FD716" w14:textId="4CB7C66C" w:rsidR="00A01919" w:rsidRPr="00EB3D94" w:rsidRDefault="00A01919" w:rsidP="00BC4866">
      <w:pPr>
        <w:jc w:val="both"/>
        <w:rPr>
          <w:rFonts w:cs="Arial"/>
          <w:lang w:val="es-ES"/>
        </w:rPr>
      </w:pPr>
      <w:r w:rsidRPr="00EB3D94">
        <w:rPr>
          <w:rFonts w:cs="Arial"/>
          <w:lang w:val="es-ES"/>
        </w:rPr>
        <w:t>c) La empresa cesionari</w:t>
      </w:r>
      <w:r w:rsidR="001266E4" w:rsidRPr="00EB3D94">
        <w:rPr>
          <w:rFonts w:cs="Arial"/>
          <w:lang w:val="es-ES"/>
        </w:rPr>
        <w:t>a</w:t>
      </w:r>
      <w:r w:rsidRPr="00EB3D94">
        <w:rPr>
          <w:rFonts w:cs="Arial"/>
          <w:lang w:val="es-ES"/>
        </w:rPr>
        <w:t xml:space="preserve"> tenga capacidad para contratar con la Administración, la solvencia exigible en función de la fase de ejecución del contrato, y no esté incursa en una causa de prohibición de contratar.</w:t>
      </w:r>
    </w:p>
    <w:p w14:paraId="556B2A5A" w14:textId="77777777" w:rsidR="00A01919" w:rsidRPr="00EB3D94" w:rsidRDefault="00A01919" w:rsidP="00BC4866">
      <w:pPr>
        <w:jc w:val="both"/>
        <w:rPr>
          <w:rFonts w:cs="Arial"/>
          <w:lang w:val="es-ES"/>
        </w:rPr>
      </w:pPr>
    </w:p>
    <w:p w14:paraId="0B44A3DA" w14:textId="77777777" w:rsidR="00A01919" w:rsidRPr="00EB3D94" w:rsidRDefault="00A01919" w:rsidP="00BC4866">
      <w:pPr>
        <w:jc w:val="both"/>
        <w:rPr>
          <w:rFonts w:cs="Arial"/>
          <w:lang w:val="es-ES"/>
        </w:rPr>
      </w:pPr>
      <w:r w:rsidRPr="00EB3D94">
        <w:rPr>
          <w:rFonts w:cs="Arial"/>
          <w:lang w:val="es-ES"/>
        </w:rPr>
        <w:t>d) La cesión se formalice, entre la empresa adjudicataria y la empresa cedente, en escritura pública.</w:t>
      </w:r>
    </w:p>
    <w:p w14:paraId="634E9DE9" w14:textId="77777777" w:rsidR="00A01919" w:rsidRPr="00EB3D94" w:rsidRDefault="00A01919" w:rsidP="00BC4866">
      <w:pPr>
        <w:jc w:val="both"/>
        <w:rPr>
          <w:rFonts w:cs="Arial"/>
          <w:lang w:val="es-ES"/>
        </w:rPr>
      </w:pPr>
    </w:p>
    <w:p w14:paraId="5A0CEAEE" w14:textId="77777777" w:rsidR="00A01919" w:rsidRPr="00EB3D94" w:rsidRDefault="00A01919" w:rsidP="00BC4866">
      <w:pPr>
        <w:jc w:val="both"/>
        <w:rPr>
          <w:rFonts w:cs="Arial"/>
          <w:lang w:val="es-ES"/>
        </w:rPr>
      </w:pPr>
      <w:r w:rsidRPr="00EB3D94">
        <w:rPr>
          <w:rFonts w:cs="Arial"/>
          <w:lang w:val="es-ES"/>
        </w:rPr>
        <w:t>No se podrá autorizar la cesión a una tercera persona cuando la cesión suponga una alteración sustancial de las características de la empresa contratista si estas constituyen un elemento esencial del contrato.</w:t>
      </w:r>
    </w:p>
    <w:p w14:paraId="3C9D8CE5" w14:textId="77777777" w:rsidR="00A01919" w:rsidRPr="00EB3D94" w:rsidRDefault="00A01919" w:rsidP="00BC4866">
      <w:pPr>
        <w:jc w:val="both"/>
        <w:rPr>
          <w:rFonts w:cs="Arial"/>
          <w:i/>
          <w:lang w:val="es-ES"/>
        </w:rPr>
      </w:pPr>
    </w:p>
    <w:p w14:paraId="0332FE45" w14:textId="6A220646" w:rsidR="00A01919" w:rsidRPr="00EB3D94" w:rsidRDefault="00A01919" w:rsidP="00BC4866">
      <w:pPr>
        <w:jc w:val="both"/>
        <w:rPr>
          <w:rFonts w:cs="Arial"/>
          <w:lang w:val="es-ES"/>
        </w:rPr>
      </w:pPr>
      <w:r w:rsidRPr="00EB3D94">
        <w:rPr>
          <w:rFonts w:cs="Arial"/>
          <w:lang w:val="es-ES"/>
        </w:rPr>
        <w:t>La empresa cesionari</w:t>
      </w:r>
      <w:r w:rsidR="001266E4" w:rsidRPr="00EB3D94">
        <w:rPr>
          <w:rFonts w:cs="Arial"/>
          <w:lang w:val="es-ES"/>
        </w:rPr>
        <w:t>a</w:t>
      </w:r>
      <w:r w:rsidRPr="00EB3D94">
        <w:rPr>
          <w:rFonts w:cs="Arial"/>
          <w:lang w:val="es-ES"/>
        </w:rPr>
        <w:t xml:space="preserve"> quedará subrogada en todos los derechos y las obligaciones que corresponderían a la empresa que cede el contrato.</w:t>
      </w:r>
    </w:p>
    <w:p w14:paraId="56513EB5" w14:textId="77777777" w:rsidR="00A01919" w:rsidRPr="00EB3D94" w:rsidRDefault="00A01919" w:rsidP="00BC4866">
      <w:pPr>
        <w:jc w:val="both"/>
        <w:rPr>
          <w:rFonts w:cs="Arial"/>
          <w:lang w:val="es-ES"/>
        </w:rPr>
      </w:pPr>
    </w:p>
    <w:p w14:paraId="05DF94F4" w14:textId="77777777" w:rsidR="00A01919" w:rsidRPr="00EB3D94" w:rsidRDefault="0089317B" w:rsidP="00BC4866">
      <w:pPr>
        <w:pStyle w:val="Ttol2"/>
        <w:spacing w:before="0" w:after="0"/>
        <w:jc w:val="both"/>
        <w:rPr>
          <w:rFonts w:ascii="Arial" w:hAnsi="Arial" w:cs="Arial"/>
          <w:i w:val="0"/>
          <w:sz w:val="22"/>
          <w:szCs w:val="22"/>
          <w:lang w:val="es-ES"/>
        </w:rPr>
      </w:pPr>
      <w:bookmarkStart w:id="14" w:name="_Toc512237547"/>
      <w:r w:rsidRPr="00EB3D94">
        <w:rPr>
          <w:rFonts w:ascii="Arial" w:hAnsi="Arial" w:cs="Arial"/>
          <w:i w:val="0"/>
          <w:sz w:val="22"/>
          <w:szCs w:val="22"/>
          <w:lang w:val="es-ES"/>
        </w:rPr>
        <w:t>Trein</w:t>
      </w:r>
      <w:r w:rsidR="00A01919" w:rsidRPr="00EB3D94">
        <w:rPr>
          <w:rFonts w:ascii="Arial" w:hAnsi="Arial" w:cs="Arial"/>
          <w:i w:val="0"/>
          <w:sz w:val="22"/>
          <w:szCs w:val="22"/>
          <w:lang w:val="es-ES"/>
        </w:rPr>
        <w:t xml:space="preserve">tena. </w:t>
      </w:r>
      <w:r w:rsidR="00A01919" w:rsidRPr="00EB3D94">
        <w:rPr>
          <w:rFonts w:ascii="Arial" w:hAnsi="Arial" w:cs="Arial"/>
          <w:i w:val="0"/>
          <w:sz w:val="22"/>
          <w:szCs w:val="22"/>
          <w:u w:val="single"/>
          <w:lang w:val="es-ES"/>
        </w:rPr>
        <w:t>Subcontratación</w:t>
      </w:r>
      <w:bookmarkEnd w:id="14"/>
    </w:p>
    <w:p w14:paraId="6D620E09" w14:textId="77777777" w:rsidR="00A01919" w:rsidRPr="00EB3D94" w:rsidRDefault="00A01919" w:rsidP="00BC4866">
      <w:pPr>
        <w:rPr>
          <w:lang w:val="es-ES"/>
        </w:rPr>
      </w:pPr>
    </w:p>
    <w:p w14:paraId="65C14E5A" w14:textId="77777777" w:rsidR="0089317B" w:rsidRPr="00EB3D94" w:rsidRDefault="0089317B" w:rsidP="00BC4866">
      <w:pPr>
        <w:pStyle w:val="CM3"/>
        <w:jc w:val="both"/>
        <w:rPr>
          <w:sz w:val="22"/>
          <w:szCs w:val="22"/>
          <w:lang w:val="es-ES"/>
        </w:rPr>
      </w:pPr>
      <w:r w:rsidRPr="00EB3D94">
        <w:rPr>
          <w:sz w:val="22"/>
          <w:szCs w:val="22"/>
          <w:lang w:val="es-ES"/>
        </w:rPr>
        <w:t>En este expediente no se admite la subcontratación</w:t>
      </w:r>
    </w:p>
    <w:p w14:paraId="2CB87414" w14:textId="77777777" w:rsidR="00663225" w:rsidRPr="00EB3D94" w:rsidRDefault="00663225" w:rsidP="00BC4866">
      <w:pPr>
        <w:jc w:val="both"/>
        <w:rPr>
          <w:rFonts w:cs="Arial"/>
          <w:lang w:val="es-ES"/>
        </w:rPr>
      </w:pPr>
    </w:p>
    <w:p w14:paraId="3B49E13B" w14:textId="77777777" w:rsidR="00A01919" w:rsidRPr="00EB3D94" w:rsidRDefault="00B25F0F" w:rsidP="00BC4866">
      <w:pPr>
        <w:pStyle w:val="Ttol2"/>
        <w:spacing w:before="0" w:after="0"/>
        <w:jc w:val="both"/>
        <w:rPr>
          <w:rFonts w:ascii="Arial" w:hAnsi="Arial" w:cs="Arial"/>
          <w:i w:val="0"/>
          <w:sz w:val="22"/>
          <w:szCs w:val="22"/>
          <w:lang w:val="es-ES"/>
        </w:rPr>
      </w:pPr>
      <w:bookmarkStart w:id="15" w:name="_Toc512237548"/>
      <w:proofErr w:type="spellStart"/>
      <w:r w:rsidRPr="00EB3D94">
        <w:rPr>
          <w:rFonts w:ascii="Arial" w:hAnsi="Arial" w:cs="Arial"/>
          <w:i w:val="0"/>
          <w:sz w:val="22"/>
          <w:szCs w:val="22"/>
          <w:lang w:val="es-ES"/>
        </w:rPr>
        <w:t>Trigésimapr</w:t>
      </w:r>
      <w:r w:rsidR="00841536" w:rsidRPr="00EB3D94">
        <w:rPr>
          <w:rFonts w:ascii="Arial" w:hAnsi="Arial" w:cs="Arial"/>
          <w:i w:val="0"/>
          <w:sz w:val="22"/>
          <w:szCs w:val="22"/>
          <w:lang w:val="es-ES"/>
        </w:rPr>
        <w:t>i</w:t>
      </w:r>
      <w:r w:rsidR="00A01919" w:rsidRPr="00EB3D94">
        <w:rPr>
          <w:rFonts w:ascii="Arial" w:hAnsi="Arial" w:cs="Arial"/>
          <w:i w:val="0"/>
          <w:sz w:val="22"/>
          <w:szCs w:val="22"/>
          <w:lang w:val="es-ES"/>
        </w:rPr>
        <w:t>mera</w:t>
      </w:r>
      <w:proofErr w:type="spellEnd"/>
      <w:r w:rsidR="00A01919" w:rsidRPr="00EB3D94">
        <w:rPr>
          <w:rFonts w:ascii="Arial" w:hAnsi="Arial" w:cs="Arial"/>
          <w:i w:val="0"/>
          <w:sz w:val="22"/>
          <w:szCs w:val="22"/>
          <w:lang w:val="es-ES"/>
        </w:rPr>
        <w:t>. Revisión de precios</w:t>
      </w:r>
      <w:bookmarkEnd w:id="15"/>
    </w:p>
    <w:p w14:paraId="1C527698" w14:textId="77777777" w:rsidR="00A01919" w:rsidRPr="00EB3D94" w:rsidRDefault="00A01919" w:rsidP="00BC4866">
      <w:pPr>
        <w:jc w:val="both"/>
        <w:rPr>
          <w:rFonts w:cs="Arial"/>
          <w:b/>
          <w:lang w:val="es-ES"/>
        </w:rPr>
      </w:pPr>
    </w:p>
    <w:p w14:paraId="229C56C0" w14:textId="77777777" w:rsidR="00301A25" w:rsidRPr="00EB3D94" w:rsidRDefault="00785886" w:rsidP="00BC4866">
      <w:pPr>
        <w:pStyle w:val="Default"/>
        <w:rPr>
          <w:bCs/>
          <w:color w:val="auto"/>
          <w:sz w:val="22"/>
          <w:szCs w:val="22"/>
          <w:lang w:val="es-ES"/>
        </w:rPr>
      </w:pPr>
      <w:r w:rsidRPr="00EB3D94">
        <w:rPr>
          <w:bCs/>
          <w:color w:val="auto"/>
          <w:sz w:val="22"/>
          <w:szCs w:val="22"/>
          <w:lang w:val="es-ES"/>
        </w:rPr>
        <w:t>En aplicación del establecido en el artículo 103 LCSP en este expediente no procede la revisión de precios.</w:t>
      </w:r>
    </w:p>
    <w:p w14:paraId="62B8B9B2" w14:textId="77777777" w:rsidR="00663225" w:rsidRPr="00EB3D94" w:rsidRDefault="00663225" w:rsidP="00BC4866">
      <w:pPr>
        <w:pStyle w:val="Default"/>
        <w:rPr>
          <w:bCs/>
          <w:color w:val="auto"/>
          <w:sz w:val="22"/>
          <w:szCs w:val="22"/>
          <w:lang w:val="es-ES"/>
        </w:rPr>
      </w:pPr>
    </w:p>
    <w:p w14:paraId="63B8D979" w14:textId="11551DED" w:rsidR="00841536" w:rsidRPr="00EB3D94" w:rsidRDefault="00841536" w:rsidP="00BC4866">
      <w:pPr>
        <w:pStyle w:val="Ttol1"/>
        <w:rPr>
          <w:rFonts w:cs="Arial"/>
          <w:sz w:val="22"/>
          <w:szCs w:val="22"/>
          <w:lang w:val="es-ES"/>
        </w:rPr>
      </w:pPr>
      <w:bookmarkStart w:id="16" w:name="_Toc512237549"/>
      <w:r w:rsidRPr="00EB3D94">
        <w:rPr>
          <w:rFonts w:cs="Arial"/>
          <w:sz w:val="22"/>
          <w:szCs w:val="22"/>
          <w:lang w:val="es-ES"/>
        </w:rPr>
        <w:t>VI. DISPOSICIONES RELATIVAS A LA EXTINCIÓN DEL CONTRATO</w:t>
      </w:r>
      <w:bookmarkEnd w:id="16"/>
    </w:p>
    <w:p w14:paraId="457BE1CE" w14:textId="77777777" w:rsidR="00841536" w:rsidRPr="00EB3D94" w:rsidRDefault="00841536" w:rsidP="00BC4866">
      <w:pPr>
        <w:jc w:val="both"/>
        <w:rPr>
          <w:rFonts w:cs="Arial"/>
          <w:i/>
          <w:lang w:val="es-ES"/>
        </w:rPr>
      </w:pPr>
    </w:p>
    <w:p w14:paraId="3C92766D" w14:textId="77777777" w:rsidR="00841536" w:rsidRPr="00EB3D94" w:rsidRDefault="00B25F0F" w:rsidP="00BC4866">
      <w:pPr>
        <w:pStyle w:val="Ttol2"/>
        <w:spacing w:before="0" w:after="0"/>
        <w:jc w:val="both"/>
        <w:rPr>
          <w:rFonts w:ascii="Arial" w:hAnsi="Arial" w:cs="Arial"/>
          <w:i w:val="0"/>
          <w:sz w:val="22"/>
          <w:szCs w:val="22"/>
          <w:lang w:val="es-ES"/>
        </w:rPr>
      </w:pPr>
      <w:bookmarkStart w:id="17" w:name="_Toc512237550"/>
      <w:proofErr w:type="spellStart"/>
      <w:r w:rsidRPr="00EB3D94">
        <w:rPr>
          <w:rFonts w:ascii="Arial" w:hAnsi="Arial" w:cs="Arial"/>
          <w:i w:val="0"/>
          <w:sz w:val="22"/>
          <w:szCs w:val="22"/>
          <w:lang w:val="es-ES"/>
        </w:rPr>
        <w:t>Trigésimase</w:t>
      </w:r>
      <w:r w:rsidR="00841536" w:rsidRPr="00EB3D94">
        <w:rPr>
          <w:rFonts w:ascii="Arial" w:hAnsi="Arial" w:cs="Arial"/>
          <w:i w:val="0"/>
          <w:sz w:val="22"/>
          <w:szCs w:val="22"/>
          <w:lang w:val="es-ES"/>
        </w:rPr>
        <w:t>gunda</w:t>
      </w:r>
      <w:proofErr w:type="spellEnd"/>
      <w:r w:rsidR="00841536" w:rsidRPr="00EB3D94">
        <w:rPr>
          <w:rFonts w:ascii="Arial" w:hAnsi="Arial" w:cs="Arial"/>
          <w:i w:val="0"/>
          <w:sz w:val="22"/>
          <w:szCs w:val="22"/>
          <w:lang w:val="es-ES"/>
        </w:rPr>
        <w:t xml:space="preserve">. </w:t>
      </w:r>
      <w:r w:rsidR="00841536" w:rsidRPr="00EB3D94">
        <w:rPr>
          <w:rFonts w:ascii="Arial" w:hAnsi="Arial" w:cs="Arial"/>
          <w:i w:val="0"/>
          <w:sz w:val="22"/>
          <w:szCs w:val="22"/>
          <w:u w:val="single"/>
          <w:lang w:val="es-ES"/>
        </w:rPr>
        <w:t>Recepción y liquidación</w:t>
      </w:r>
      <w:bookmarkEnd w:id="17"/>
    </w:p>
    <w:p w14:paraId="59D5FE3A" w14:textId="77777777" w:rsidR="00841536" w:rsidRPr="00EB3D94" w:rsidRDefault="00841536" w:rsidP="00BC4866">
      <w:pPr>
        <w:rPr>
          <w:lang w:val="es-ES"/>
        </w:rPr>
      </w:pPr>
    </w:p>
    <w:p w14:paraId="0186CD9E" w14:textId="77777777" w:rsidR="00841536" w:rsidRPr="00EB3D94" w:rsidRDefault="00841536" w:rsidP="00BC4866">
      <w:pPr>
        <w:jc w:val="both"/>
        <w:rPr>
          <w:rFonts w:cs="Arial"/>
          <w:lang w:val="es-ES"/>
        </w:rPr>
      </w:pPr>
      <w:r w:rsidRPr="00EB3D94">
        <w:rPr>
          <w:rFonts w:cs="Arial"/>
          <w:lang w:val="es-ES"/>
        </w:rPr>
        <w:t xml:space="preserve">La recepción y la liquidación del contrato se realizará conforme a lo que disponen los artículos 210 y 311 de la LCSP y el artículo 204 del RGLCAP. </w:t>
      </w:r>
    </w:p>
    <w:p w14:paraId="2B8AD202" w14:textId="77777777" w:rsidR="00841536" w:rsidRPr="00EB3D94" w:rsidRDefault="00841536" w:rsidP="00BC4866">
      <w:pPr>
        <w:jc w:val="both"/>
        <w:rPr>
          <w:rFonts w:cs="Arial"/>
          <w:lang w:val="es-ES"/>
        </w:rPr>
      </w:pPr>
    </w:p>
    <w:p w14:paraId="07A765A2" w14:textId="10AB4396" w:rsidR="00841536" w:rsidRPr="00EB3D94" w:rsidRDefault="00841536" w:rsidP="00BC4866">
      <w:pPr>
        <w:jc w:val="both"/>
        <w:rPr>
          <w:rFonts w:cs="Arial"/>
          <w:lang w:val="es-ES"/>
        </w:rPr>
      </w:pPr>
      <w:r w:rsidRPr="00EB3D94">
        <w:rPr>
          <w:rFonts w:cs="Arial"/>
          <w:lang w:val="es-ES"/>
        </w:rPr>
        <w:t xml:space="preserve">La Administración determinará si la prestación realizada por la empresa contratista se ajusta a las prescripciones establecidas para su ejecución </w:t>
      </w:r>
      <w:r w:rsidR="001266E4" w:rsidRPr="00EB3D94">
        <w:rPr>
          <w:rFonts w:cs="Arial"/>
          <w:lang w:val="es-ES"/>
        </w:rPr>
        <w:t>y cumplimiento</w:t>
      </w:r>
      <w:r w:rsidRPr="00EB3D94">
        <w:rPr>
          <w:rFonts w:cs="Arial"/>
          <w:lang w:val="es-ES"/>
        </w:rPr>
        <w:t xml:space="preserve"> y, si procede, requerirá la realización de las prestaciones contratadas y la enmienda de los defectos observados con ocasión de su recepción. </w:t>
      </w:r>
    </w:p>
    <w:p w14:paraId="3BF29ABB" w14:textId="77777777" w:rsidR="00841536" w:rsidRPr="00EB3D94" w:rsidRDefault="00841536" w:rsidP="00BC4866">
      <w:pPr>
        <w:jc w:val="both"/>
        <w:rPr>
          <w:rFonts w:cs="Arial"/>
          <w:lang w:val="es-ES"/>
        </w:rPr>
      </w:pPr>
    </w:p>
    <w:p w14:paraId="6526D3D5" w14:textId="77777777" w:rsidR="00841536" w:rsidRPr="00EB3D94" w:rsidRDefault="00841536" w:rsidP="00BC4866">
      <w:pPr>
        <w:jc w:val="both"/>
        <w:rPr>
          <w:rFonts w:cs="Arial"/>
          <w:lang w:val="es-ES"/>
        </w:rPr>
      </w:pPr>
      <w:r w:rsidRPr="00EB3D94">
        <w:rPr>
          <w:rFonts w:cs="Arial"/>
          <w:lang w:val="es-ES"/>
        </w:rPr>
        <w:t>Si los trabajos efectuados no se adecuan a la prestación contratada, como consecuencia de vicios o defectos imputables a la empresa contratista, podrá rechazarla de manera que quedará exenta de la obligación de pago o tendrá derecho, si procede, a la recuperación del precio satisfecho.</w:t>
      </w:r>
    </w:p>
    <w:p w14:paraId="1D997716" w14:textId="77777777" w:rsidR="00841536" w:rsidRPr="00EB3D94" w:rsidRDefault="00841536" w:rsidP="00BC4866">
      <w:pPr>
        <w:jc w:val="both"/>
        <w:rPr>
          <w:rFonts w:cs="Arial"/>
          <w:lang w:val="es-ES"/>
        </w:rPr>
      </w:pPr>
    </w:p>
    <w:p w14:paraId="237A3F44" w14:textId="4DB119CA" w:rsidR="00841536" w:rsidRPr="00EB3D94" w:rsidRDefault="00841536" w:rsidP="00BC4866">
      <w:pPr>
        <w:jc w:val="both"/>
        <w:rPr>
          <w:rFonts w:cs="Arial"/>
          <w:lang w:val="es-ES"/>
        </w:rPr>
      </w:pPr>
      <w:r w:rsidRPr="00EB3D94">
        <w:rPr>
          <w:rFonts w:cs="Arial"/>
          <w:lang w:val="es-ES"/>
        </w:rPr>
        <w:t xml:space="preserve">Los contratos de mera actividad o de medios se </w:t>
      </w:r>
      <w:r w:rsidR="001266E4" w:rsidRPr="00EB3D94">
        <w:rPr>
          <w:rFonts w:cs="Arial"/>
          <w:lang w:val="es-ES"/>
        </w:rPr>
        <w:t>extinguirán por el cumplimiento</w:t>
      </w:r>
      <w:r w:rsidRPr="00EB3D94">
        <w:rPr>
          <w:rFonts w:cs="Arial"/>
          <w:lang w:val="es-ES"/>
        </w:rPr>
        <w:t xml:space="preserve"> del plazo inicialmente previsto o las prórrogas acordadas, sin perjuicio de la prerrogativa de la Administración de depurar la responsabilidad del contratista por</w:t>
      </w:r>
      <w:r w:rsidRPr="00EB3D94">
        <w:rPr>
          <w:rFonts w:cs="Arial"/>
          <w:vanish/>
          <w:lang w:val="es-ES"/>
        </w:rPr>
        <w:t>&lt;A[por|para]&gt;</w:t>
      </w:r>
      <w:r w:rsidRPr="00EB3D94">
        <w:rPr>
          <w:rFonts w:cs="Arial"/>
          <w:lang w:val="es-ES"/>
        </w:rPr>
        <w:t xml:space="preserve"> cualquier eventual incumplimiento detectado con posterioridad</w:t>
      </w:r>
    </w:p>
    <w:p w14:paraId="23D9D6FE" w14:textId="77777777" w:rsidR="00841536" w:rsidRPr="00EB3D94" w:rsidRDefault="00841536" w:rsidP="00BC4866">
      <w:pPr>
        <w:jc w:val="both"/>
        <w:rPr>
          <w:rFonts w:cs="Arial"/>
          <w:lang w:val="es-ES"/>
        </w:rPr>
      </w:pPr>
    </w:p>
    <w:p w14:paraId="77198618" w14:textId="4392EFAB" w:rsidR="00841536" w:rsidRPr="00EB3D94" w:rsidRDefault="00841536" w:rsidP="00BC4866">
      <w:pPr>
        <w:jc w:val="both"/>
        <w:rPr>
          <w:rFonts w:cs="Arial"/>
          <w:lang w:val="es-ES"/>
        </w:rPr>
      </w:pPr>
      <w:r w:rsidRPr="00EB3D94">
        <w:rPr>
          <w:rFonts w:cs="Arial"/>
          <w:lang w:val="es-ES"/>
        </w:rPr>
        <w:t xml:space="preserve">Además, las unidades de recepción del contrato comprobarán </w:t>
      </w:r>
      <w:r w:rsidR="001266E4" w:rsidRPr="00EB3D94">
        <w:rPr>
          <w:rFonts w:cs="Arial"/>
          <w:lang w:val="es-ES"/>
        </w:rPr>
        <w:t>el cumplimiento</w:t>
      </w:r>
      <w:r w:rsidRPr="00EB3D94">
        <w:rPr>
          <w:rFonts w:cs="Arial"/>
          <w:lang w:val="es-ES"/>
        </w:rPr>
        <w:t xml:space="preserve"> efectivo de las cláusulas contractuales que establecen obligaciones del uso del catalán, haciendo referencia expresa en los certificados de recepción y de correcta ejecución.</w:t>
      </w:r>
    </w:p>
    <w:p w14:paraId="293A2CEC" w14:textId="77777777" w:rsidR="00841536" w:rsidRPr="00EB3D94" w:rsidRDefault="00841536" w:rsidP="00BC4866">
      <w:pPr>
        <w:jc w:val="both"/>
        <w:rPr>
          <w:rFonts w:cs="Arial"/>
          <w:b/>
          <w:lang w:val="es-ES"/>
        </w:rPr>
      </w:pPr>
    </w:p>
    <w:p w14:paraId="37DA2A48" w14:textId="77777777" w:rsidR="00841536" w:rsidRPr="00EB3D94" w:rsidRDefault="00B25F0F" w:rsidP="00BC4866">
      <w:pPr>
        <w:pStyle w:val="Ttol2"/>
        <w:spacing w:before="0" w:after="0"/>
        <w:jc w:val="both"/>
        <w:rPr>
          <w:rFonts w:ascii="Arial" w:hAnsi="Arial" w:cs="Arial"/>
          <w:i w:val="0"/>
          <w:sz w:val="22"/>
          <w:szCs w:val="22"/>
          <w:lang w:val="es-ES"/>
        </w:rPr>
      </w:pPr>
      <w:bookmarkStart w:id="18" w:name="_Toc512237551"/>
      <w:proofErr w:type="spellStart"/>
      <w:r w:rsidRPr="00EB3D94">
        <w:rPr>
          <w:rFonts w:ascii="Arial" w:hAnsi="Arial" w:cs="Arial"/>
          <w:i w:val="0"/>
          <w:sz w:val="22"/>
          <w:szCs w:val="22"/>
          <w:lang w:val="es-ES"/>
        </w:rPr>
        <w:lastRenderedPageBreak/>
        <w:t>Trigésimater</w:t>
      </w:r>
      <w:r w:rsidR="00841536" w:rsidRPr="00EB3D94">
        <w:rPr>
          <w:rFonts w:ascii="Arial" w:hAnsi="Arial" w:cs="Arial"/>
          <w:i w:val="0"/>
          <w:sz w:val="22"/>
          <w:szCs w:val="22"/>
          <w:lang w:val="es-ES"/>
        </w:rPr>
        <w:t>cera</w:t>
      </w:r>
      <w:proofErr w:type="spellEnd"/>
      <w:r w:rsidR="00841536" w:rsidRPr="00EB3D94">
        <w:rPr>
          <w:rFonts w:ascii="Arial" w:hAnsi="Arial" w:cs="Arial"/>
          <w:i w:val="0"/>
          <w:sz w:val="22"/>
          <w:szCs w:val="22"/>
          <w:lang w:val="es-ES"/>
        </w:rPr>
        <w:t xml:space="preserve">. </w:t>
      </w:r>
      <w:r w:rsidR="00841536" w:rsidRPr="00EB3D94">
        <w:rPr>
          <w:rFonts w:ascii="Arial" w:hAnsi="Arial" w:cs="Arial"/>
          <w:i w:val="0"/>
          <w:sz w:val="22"/>
          <w:szCs w:val="22"/>
          <w:u w:val="single"/>
          <w:lang w:val="es-ES"/>
        </w:rPr>
        <w:t>Plazo de garantía</w:t>
      </w:r>
      <w:bookmarkEnd w:id="18"/>
    </w:p>
    <w:p w14:paraId="4794F01C" w14:textId="77777777" w:rsidR="00841536" w:rsidRPr="00EB3D94" w:rsidRDefault="00841536" w:rsidP="00BC4866">
      <w:pPr>
        <w:jc w:val="both"/>
        <w:rPr>
          <w:rFonts w:cs="Arial"/>
          <w:lang w:val="es-ES"/>
        </w:rPr>
      </w:pPr>
    </w:p>
    <w:p w14:paraId="37CC47DA" w14:textId="77777777" w:rsidR="00841536" w:rsidRPr="00EB3D94" w:rsidRDefault="00EF32A5" w:rsidP="00BC4866">
      <w:pPr>
        <w:jc w:val="both"/>
        <w:rPr>
          <w:rFonts w:cs="Arial"/>
          <w:lang w:val="es-ES"/>
        </w:rPr>
      </w:pPr>
      <w:r w:rsidRPr="00EB3D94">
        <w:rPr>
          <w:rFonts w:cs="Arial"/>
          <w:lang w:val="es-ES"/>
        </w:rPr>
        <w:t>En aplicación del establecido en el artículo 210 atendiendo a la naturaleza del objeto del contrato no se establece plazo de garantía.</w:t>
      </w:r>
    </w:p>
    <w:p w14:paraId="32ED3C54" w14:textId="77777777" w:rsidR="00841536" w:rsidRPr="00EB3D94" w:rsidRDefault="00841536" w:rsidP="00BC4866">
      <w:pPr>
        <w:jc w:val="both"/>
        <w:rPr>
          <w:rFonts w:cs="Arial"/>
          <w:i/>
          <w:lang w:val="es-ES"/>
        </w:rPr>
      </w:pPr>
    </w:p>
    <w:p w14:paraId="0A06131E" w14:textId="77777777" w:rsidR="001266E4" w:rsidRPr="00EB3D94" w:rsidRDefault="001266E4" w:rsidP="00BC4866">
      <w:pPr>
        <w:jc w:val="both"/>
        <w:rPr>
          <w:rFonts w:cs="Arial"/>
          <w:i/>
          <w:lang w:val="es-ES"/>
        </w:rPr>
      </w:pPr>
    </w:p>
    <w:p w14:paraId="52303CF4" w14:textId="77777777" w:rsidR="00841536" w:rsidRPr="00EB3D94" w:rsidRDefault="00B25F0F" w:rsidP="00BC4866">
      <w:pPr>
        <w:pStyle w:val="Ttol2"/>
        <w:spacing w:before="0" w:after="0"/>
        <w:jc w:val="both"/>
        <w:rPr>
          <w:rFonts w:ascii="Arial" w:hAnsi="Arial" w:cs="Arial"/>
          <w:i w:val="0"/>
          <w:sz w:val="22"/>
          <w:szCs w:val="22"/>
          <w:lang w:val="es-ES"/>
        </w:rPr>
      </w:pPr>
      <w:bookmarkStart w:id="19" w:name="_Toc512237552"/>
      <w:proofErr w:type="spellStart"/>
      <w:r w:rsidRPr="00EB3D94">
        <w:rPr>
          <w:rFonts w:ascii="Arial" w:hAnsi="Arial" w:cs="Arial"/>
          <w:i w:val="0"/>
          <w:sz w:val="22"/>
          <w:szCs w:val="22"/>
          <w:lang w:val="es-ES"/>
        </w:rPr>
        <w:t>Trigésimacuar</w:t>
      </w:r>
      <w:r w:rsidR="00841536" w:rsidRPr="00EB3D94">
        <w:rPr>
          <w:rFonts w:ascii="Arial" w:hAnsi="Arial" w:cs="Arial"/>
          <w:i w:val="0"/>
          <w:sz w:val="22"/>
          <w:szCs w:val="22"/>
          <w:lang w:val="es-ES"/>
        </w:rPr>
        <w:t>ta</w:t>
      </w:r>
      <w:proofErr w:type="spellEnd"/>
      <w:r w:rsidR="00841536" w:rsidRPr="00EB3D94">
        <w:rPr>
          <w:rFonts w:ascii="Arial" w:hAnsi="Arial" w:cs="Arial"/>
          <w:i w:val="0"/>
          <w:sz w:val="22"/>
          <w:szCs w:val="22"/>
          <w:lang w:val="es-ES"/>
        </w:rPr>
        <w:t xml:space="preserve">. </w:t>
      </w:r>
      <w:r w:rsidR="00841536" w:rsidRPr="00EB3D94">
        <w:rPr>
          <w:rFonts w:ascii="Arial" w:hAnsi="Arial" w:cs="Arial"/>
          <w:i w:val="0"/>
          <w:sz w:val="22"/>
          <w:szCs w:val="22"/>
          <w:u w:val="single"/>
          <w:lang w:val="es-ES"/>
        </w:rPr>
        <w:t>Resolución del contrato</w:t>
      </w:r>
      <w:bookmarkEnd w:id="19"/>
    </w:p>
    <w:p w14:paraId="1F9F3FB3" w14:textId="77777777" w:rsidR="00841536" w:rsidRPr="00EB3D94" w:rsidRDefault="00841536" w:rsidP="00BC4866">
      <w:pPr>
        <w:jc w:val="both"/>
        <w:rPr>
          <w:rFonts w:cs="Arial"/>
          <w:lang w:val="es-ES"/>
        </w:rPr>
      </w:pPr>
    </w:p>
    <w:p w14:paraId="3B5B6E73" w14:textId="77777777" w:rsidR="00841536" w:rsidRPr="00EB3D94" w:rsidRDefault="00841536" w:rsidP="00BC4866">
      <w:pPr>
        <w:jc w:val="both"/>
        <w:rPr>
          <w:rFonts w:cs="Arial"/>
          <w:lang w:val="es-ES"/>
        </w:rPr>
      </w:pPr>
      <w:r w:rsidRPr="00EB3D94">
        <w:rPr>
          <w:rFonts w:cs="Arial"/>
          <w:lang w:val="es-ES"/>
        </w:rPr>
        <w:t>Son causas de resolución del contrato las siguientes:</w:t>
      </w:r>
    </w:p>
    <w:p w14:paraId="3DA90300" w14:textId="77777777" w:rsidR="00EF32A5" w:rsidRPr="00EB3D94" w:rsidRDefault="00EF32A5" w:rsidP="00BC4866">
      <w:pPr>
        <w:jc w:val="both"/>
        <w:rPr>
          <w:rFonts w:cs="Arial"/>
          <w:lang w:val="es-ES"/>
        </w:rPr>
      </w:pPr>
    </w:p>
    <w:p w14:paraId="17E4ECF2" w14:textId="77777777" w:rsidR="00841536" w:rsidRPr="00EB3D94" w:rsidRDefault="00841536" w:rsidP="00BC4866">
      <w:pPr>
        <w:pStyle w:val="Pargrafdellista"/>
        <w:numPr>
          <w:ilvl w:val="0"/>
          <w:numId w:val="29"/>
        </w:numPr>
        <w:jc w:val="both"/>
        <w:rPr>
          <w:rFonts w:cs="Arial"/>
          <w:szCs w:val="22"/>
          <w:lang w:val="es-ES"/>
        </w:rPr>
      </w:pPr>
      <w:r w:rsidRPr="00EB3D94">
        <w:rPr>
          <w:rFonts w:cs="Arial"/>
          <w:szCs w:val="22"/>
          <w:lang w:val="es-ES"/>
        </w:rPr>
        <w:t xml:space="preserve">La muerte o incapacidad sobrevenida del contratista individual o la extinción de la personalidad jurídica de la sociedad contratista, sin perjuicio de lo que prevé el artículo 98 relativo a la </w:t>
      </w:r>
      <w:r w:rsidR="00EF32A5" w:rsidRPr="00EB3D94">
        <w:rPr>
          <w:rFonts w:cs="Arial"/>
          <w:szCs w:val="22"/>
          <w:lang w:val="es-ES"/>
        </w:rPr>
        <w:t>sucesión</w:t>
      </w:r>
      <w:r w:rsidRPr="00EB3D94">
        <w:rPr>
          <w:rFonts w:cs="Arial"/>
          <w:szCs w:val="22"/>
          <w:lang w:val="es-ES"/>
        </w:rPr>
        <w:t xml:space="preserve"> del contratista.</w:t>
      </w:r>
    </w:p>
    <w:p w14:paraId="4462C081" w14:textId="77777777" w:rsidR="00841536" w:rsidRPr="00EB3D94" w:rsidRDefault="00841536" w:rsidP="00BC4866">
      <w:pPr>
        <w:pStyle w:val="Pargrafdellista"/>
        <w:ind w:left="360"/>
        <w:jc w:val="both"/>
        <w:rPr>
          <w:rFonts w:cs="Arial"/>
          <w:szCs w:val="22"/>
          <w:lang w:val="es-ES"/>
        </w:rPr>
      </w:pPr>
    </w:p>
    <w:p w14:paraId="1B7FDE5F" w14:textId="77777777" w:rsidR="00841536" w:rsidRPr="00EB3D94" w:rsidRDefault="00841536" w:rsidP="00BC4866">
      <w:pPr>
        <w:pStyle w:val="Pargrafdellista"/>
        <w:numPr>
          <w:ilvl w:val="0"/>
          <w:numId w:val="29"/>
        </w:numPr>
        <w:jc w:val="both"/>
        <w:rPr>
          <w:rFonts w:cs="Arial"/>
          <w:szCs w:val="22"/>
          <w:lang w:val="es-ES"/>
        </w:rPr>
      </w:pPr>
      <w:r w:rsidRPr="00EB3D94">
        <w:rPr>
          <w:rFonts w:cs="Arial"/>
          <w:szCs w:val="22"/>
          <w:lang w:val="es-ES"/>
        </w:rPr>
        <w:t xml:space="preserve">La declaración de concurso o la declaración de insolvencia en cualquier otro procedimiento. </w:t>
      </w:r>
    </w:p>
    <w:p w14:paraId="13829D42" w14:textId="77777777" w:rsidR="00841536" w:rsidRPr="00EB3D94" w:rsidRDefault="00841536" w:rsidP="00BC4866">
      <w:pPr>
        <w:pStyle w:val="Pargrafdellista"/>
        <w:ind w:left="360"/>
        <w:jc w:val="both"/>
        <w:rPr>
          <w:rFonts w:cs="Arial"/>
          <w:szCs w:val="22"/>
          <w:lang w:val="es-ES"/>
        </w:rPr>
      </w:pPr>
    </w:p>
    <w:p w14:paraId="14D7B00A" w14:textId="77777777" w:rsidR="00841536" w:rsidRPr="00EB3D94" w:rsidRDefault="00841536" w:rsidP="00BC4866">
      <w:pPr>
        <w:pStyle w:val="Pargrafdellista"/>
        <w:numPr>
          <w:ilvl w:val="0"/>
          <w:numId w:val="29"/>
        </w:numPr>
        <w:jc w:val="both"/>
        <w:rPr>
          <w:rFonts w:cs="Arial"/>
          <w:szCs w:val="22"/>
          <w:lang w:val="es-ES"/>
        </w:rPr>
      </w:pPr>
      <w:r w:rsidRPr="00EB3D94">
        <w:rPr>
          <w:rFonts w:cs="Arial"/>
          <w:szCs w:val="22"/>
          <w:lang w:val="es-ES"/>
        </w:rPr>
        <w:t>El mutuo acuerdo entre la Administración y el contratista.</w:t>
      </w:r>
    </w:p>
    <w:p w14:paraId="318938EA" w14:textId="77777777" w:rsidR="00841536" w:rsidRPr="00EB3D94" w:rsidRDefault="00841536" w:rsidP="00BC4866">
      <w:pPr>
        <w:pStyle w:val="Pargrafdellista"/>
        <w:ind w:left="360"/>
        <w:jc w:val="both"/>
        <w:rPr>
          <w:rFonts w:cs="Arial"/>
          <w:szCs w:val="22"/>
          <w:lang w:val="es-ES"/>
        </w:rPr>
      </w:pPr>
    </w:p>
    <w:p w14:paraId="78593535" w14:textId="798AC1C9" w:rsidR="00841536" w:rsidRPr="00EB3D94" w:rsidRDefault="00841536" w:rsidP="00BC4866">
      <w:pPr>
        <w:pStyle w:val="Pargrafdellista"/>
        <w:numPr>
          <w:ilvl w:val="0"/>
          <w:numId w:val="29"/>
        </w:numPr>
        <w:jc w:val="both"/>
        <w:rPr>
          <w:rFonts w:cs="Arial"/>
          <w:szCs w:val="22"/>
          <w:lang w:val="es-ES"/>
        </w:rPr>
      </w:pPr>
      <w:r w:rsidRPr="00EB3D94">
        <w:rPr>
          <w:rFonts w:cs="Arial"/>
          <w:szCs w:val="22"/>
          <w:lang w:val="es-ES"/>
        </w:rPr>
        <w:t xml:space="preserve">La demora en </w:t>
      </w:r>
      <w:r w:rsidR="001266E4" w:rsidRPr="00EB3D94">
        <w:rPr>
          <w:rFonts w:cs="Arial"/>
          <w:szCs w:val="22"/>
          <w:lang w:val="es-ES"/>
        </w:rPr>
        <w:t>el cumplimiento</w:t>
      </w:r>
      <w:r w:rsidRPr="00EB3D94">
        <w:rPr>
          <w:rFonts w:cs="Arial"/>
          <w:szCs w:val="22"/>
          <w:lang w:val="es-ES"/>
        </w:rPr>
        <w:t xml:space="preserve"> de los plazos por parte del contratista.</w:t>
      </w:r>
    </w:p>
    <w:p w14:paraId="115B280B" w14:textId="77777777" w:rsidR="00841536" w:rsidRPr="00EB3D94" w:rsidRDefault="00841536" w:rsidP="00BC4866">
      <w:pPr>
        <w:pStyle w:val="Pargrafdellista"/>
        <w:ind w:left="360"/>
        <w:jc w:val="both"/>
        <w:rPr>
          <w:rFonts w:cs="Arial"/>
          <w:szCs w:val="22"/>
          <w:lang w:val="es-ES"/>
        </w:rPr>
      </w:pPr>
    </w:p>
    <w:p w14:paraId="711BF626" w14:textId="00787D1E" w:rsidR="00841536" w:rsidRPr="00EB3D94" w:rsidRDefault="00841536" w:rsidP="00BC4866">
      <w:pPr>
        <w:pStyle w:val="Pargrafdellista"/>
        <w:numPr>
          <w:ilvl w:val="0"/>
          <w:numId w:val="29"/>
        </w:numPr>
        <w:jc w:val="both"/>
        <w:rPr>
          <w:rFonts w:cs="Arial"/>
          <w:szCs w:val="22"/>
          <w:lang w:val="es-ES"/>
        </w:rPr>
      </w:pPr>
      <w:r w:rsidRPr="00EB3D94">
        <w:rPr>
          <w:rFonts w:cs="Arial"/>
          <w:szCs w:val="22"/>
          <w:lang w:val="es-ES"/>
        </w:rPr>
        <w:t>La demora en el pago por parte de la Administració</w:t>
      </w:r>
      <w:r w:rsidR="001266E4" w:rsidRPr="00EB3D94">
        <w:rPr>
          <w:rFonts w:cs="Arial"/>
          <w:szCs w:val="22"/>
          <w:lang w:val="es-ES"/>
        </w:rPr>
        <w:t xml:space="preserve">n por un </w:t>
      </w:r>
      <w:r w:rsidRPr="00EB3D94">
        <w:rPr>
          <w:rFonts w:cs="Arial"/>
          <w:szCs w:val="22"/>
          <w:lang w:val="es-ES"/>
        </w:rPr>
        <w:t>plazo superior a seis meses.</w:t>
      </w:r>
    </w:p>
    <w:p w14:paraId="58BF0CEF" w14:textId="77777777" w:rsidR="00841536" w:rsidRPr="00EB3D94" w:rsidRDefault="00841536" w:rsidP="00BC4866">
      <w:pPr>
        <w:pStyle w:val="Pargrafdellista"/>
        <w:ind w:left="360"/>
        <w:jc w:val="both"/>
        <w:rPr>
          <w:rFonts w:cs="Arial"/>
          <w:szCs w:val="22"/>
          <w:lang w:val="es-ES"/>
        </w:rPr>
      </w:pPr>
    </w:p>
    <w:p w14:paraId="346013DA" w14:textId="04CCACF7" w:rsidR="00841536" w:rsidRPr="00EB3D94" w:rsidRDefault="00841536" w:rsidP="00BC4866">
      <w:pPr>
        <w:pStyle w:val="Pargrafdellista"/>
        <w:numPr>
          <w:ilvl w:val="0"/>
          <w:numId w:val="29"/>
        </w:numPr>
        <w:jc w:val="both"/>
        <w:rPr>
          <w:rFonts w:cs="Arial"/>
          <w:szCs w:val="22"/>
          <w:lang w:val="es-ES"/>
        </w:rPr>
      </w:pPr>
      <w:r w:rsidRPr="00EB3D94">
        <w:rPr>
          <w:rFonts w:cs="Arial"/>
          <w:szCs w:val="22"/>
          <w:lang w:val="es-ES"/>
        </w:rPr>
        <w:t xml:space="preserve">El incumplimiento de la obligación principal del contrato, así como el incumplimiento de las obligaciones esenciales calificadas como tales en </w:t>
      </w:r>
      <w:r w:rsidR="001266E4" w:rsidRPr="00EB3D94">
        <w:rPr>
          <w:rFonts w:cs="Arial"/>
          <w:szCs w:val="22"/>
          <w:lang w:val="es-ES"/>
        </w:rPr>
        <w:t>este pliego</w:t>
      </w:r>
      <w:r w:rsidRPr="00EB3D94">
        <w:rPr>
          <w:rFonts w:cs="Arial"/>
          <w:vanish/>
          <w:szCs w:val="22"/>
          <w:lang w:val="es-ES"/>
        </w:rPr>
        <w:t>&lt;A[pliegue|pliego]&gt;</w:t>
      </w:r>
      <w:r w:rsidRPr="00EB3D94">
        <w:rPr>
          <w:rFonts w:cs="Arial"/>
          <w:szCs w:val="22"/>
          <w:lang w:val="es-ES"/>
        </w:rPr>
        <w:t>.</w:t>
      </w:r>
    </w:p>
    <w:p w14:paraId="64E662AB" w14:textId="77777777" w:rsidR="00841536" w:rsidRPr="00EB3D94" w:rsidRDefault="00841536" w:rsidP="00BC4866">
      <w:pPr>
        <w:pStyle w:val="Pargrafdellista"/>
        <w:ind w:left="360"/>
        <w:jc w:val="both"/>
        <w:rPr>
          <w:rFonts w:cs="Arial"/>
          <w:szCs w:val="22"/>
          <w:lang w:val="es-ES"/>
        </w:rPr>
      </w:pPr>
    </w:p>
    <w:p w14:paraId="7564171B" w14:textId="0EAB2740" w:rsidR="00841536" w:rsidRPr="00EB3D94" w:rsidRDefault="00841536" w:rsidP="00BC4866">
      <w:pPr>
        <w:pStyle w:val="Pargrafdellista"/>
        <w:numPr>
          <w:ilvl w:val="0"/>
          <w:numId w:val="29"/>
        </w:numPr>
        <w:jc w:val="both"/>
        <w:rPr>
          <w:rFonts w:cs="Arial"/>
          <w:szCs w:val="22"/>
          <w:lang w:val="es-ES"/>
        </w:rPr>
      </w:pPr>
      <w:r w:rsidRPr="00EB3D94">
        <w:rPr>
          <w:rFonts w:cs="Arial"/>
          <w:szCs w:val="22"/>
          <w:lang w:val="es-ES"/>
        </w:rPr>
        <w:t xml:space="preserve">La imposibilidad de ejecutar la prestación en los términos inicialmente pactados, cuando no sea posible modificar el contrato de acuerdo con los artículos 204 y 205 de la LCSP; </w:t>
      </w:r>
      <w:r w:rsidR="001266E4" w:rsidRPr="00EB3D94">
        <w:rPr>
          <w:rFonts w:cs="Arial"/>
          <w:szCs w:val="22"/>
          <w:lang w:val="es-ES"/>
        </w:rPr>
        <w:t>o cuando</w:t>
      </w:r>
      <w:r w:rsidRPr="00EB3D94">
        <w:rPr>
          <w:rFonts w:cs="Arial"/>
          <w:vanish/>
          <w:szCs w:val="22"/>
          <w:lang w:val="es-ES"/>
        </w:rPr>
        <w:t>&lt;A[cuando|cuándo]&gt;</w:t>
      </w:r>
      <w:r w:rsidRPr="00EB3D94">
        <w:rPr>
          <w:rFonts w:cs="Arial"/>
          <w:szCs w:val="22"/>
          <w:lang w:val="es-ES"/>
        </w:rPr>
        <w:t>, dándose las circunstancias establecidas en el artículo 205 de la LCSP, las modificaciones impliquen, aislada o conjuntamente, alteraciones del precio de lo mismo, en cuantía superior, en más o menos, al 20% del precio inicial del contrato, con exclusión del IVA.</w:t>
      </w:r>
    </w:p>
    <w:p w14:paraId="1BD7509C" w14:textId="77777777" w:rsidR="00841536" w:rsidRPr="00EB3D94" w:rsidRDefault="00841536" w:rsidP="00BC4866">
      <w:pPr>
        <w:pStyle w:val="Pargrafdellista"/>
        <w:rPr>
          <w:rFonts w:cs="Arial"/>
          <w:szCs w:val="22"/>
          <w:lang w:val="es-ES"/>
        </w:rPr>
      </w:pPr>
    </w:p>
    <w:p w14:paraId="2E3C366E" w14:textId="77777777" w:rsidR="00841536" w:rsidRPr="00EB3D94" w:rsidRDefault="00841536" w:rsidP="00BC4866">
      <w:pPr>
        <w:pStyle w:val="Pargrafdellista"/>
        <w:numPr>
          <w:ilvl w:val="0"/>
          <w:numId w:val="29"/>
        </w:numPr>
        <w:jc w:val="both"/>
        <w:rPr>
          <w:rFonts w:cs="Arial"/>
          <w:szCs w:val="22"/>
          <w:lang w:val="es-ES"/>
        </w:rPr>
      </w:pPr>
      <w:r w:rsidRPr="00EB3D94">
        <w:rPr>
          <w:rFonts w:cs="Arial"/>
          <w:szCs w:val="22"/>
          <w:lang w:val="es-ES"/>
        </w:rPr>
        <w:t>El desistimiento antes de iniciar la prestación del servicio o la suspensión por causa imputable al órgano de contratación de la iniciación del contrato por plazo superior a cuatro meses a partir de la fecha señalada en lo mismo para su comienzo.</w:t>
      </w:r>
    </w:p>
    <w:p w14:paraId="5700F7EC" w14:textId="77777777" w:rsidR="00841536" w:rsidRPr="00EB3D94" w:rsidRDefault="00841536" w:rsidP="00BC4866">
      <w:pPr>
        <w:pStyle w:val="Pargrafdellista"/>
        <w:ind w:left="360"/>
        <w:jc w:val="both"/>
        <w:rPr>
          <w:rFonts w:cs="Arial"/>
          <w:szCs w:val="22"/>
          <w:lang w:val="es-ES"/>
        </w:rPr>
      </w:pPr>
    </w:p>
    <w:p w14:paraId="5B33EA08" w14:textId="77777777" w:rsidR="00841536" w:rsidRPr="00EB3D94" w:rsidRDefault="00841536" w:rsidP="00BC4866">
      <w:pPr>
        <w:pStyle w:val="Pargrafdellista"/>
        <w:numPr>
          <w:ilvl w:val="0"/>
          <w:numId w:val="29"/>
        </w:numPr>
        <w:jc w:val="both"/>
        <w:rPr>
          <w:rFonts w:cs="Arial"/>
          <w:szCs w:val="22"/>
          <w:lang w:val="es-ES"/>
        </w:rPr>
      </w:pPr>
      <w:r w:rsidRPr="00EB3D94">
        <w:rPr>
          <w:rFonts w:cs="Arial"/>
          <w:szCs w:val="22"/>
          <w:lang w:val="es-ES"/>
        </w:rPr>
        <w:t xml:space="preserve">El </w:t>
      </w:r>
      <w:proofErr w:type="gramStart"/>
      <w:r w:rsidRPr="00EB3D94">
        <w:rPr>
          <w:rFonts w:cs="Arial"/>
          <w:szCs w:val="22"/>
          <w:lang w:val="es-ES"/>
        </w:rPr>
        <w:t>desistimiento una vez iniciada</w:t>
      </w:r>
      <w:proofErr w:type="gramEnd"/>
      <w:r w:rsidRPr="00EB3D94">
        <w:rPr>
          <w:rFonts w:cs="Arial"/>
          <w:szCs w:val="22"/>
          <w:lang w:val="es-ES"/>
        </w:rPr>
        <w:t xml:space="preserve"> la prestación del servicio o la suspensión del contrato por plazo superior a ocho meses acordada por el órgano de contratación.</w:t>
      </w:r>
    </w:p>
    <w:p w14:paraId="71A611D1" w14:textId="77777777" w:rsidR="00841536" w:rsidRPr="00EB3D94" w:rsidRDefault="00841536" w:rsidP="00BC4866">
      <w:pPr>
        <w:jc w:val="both"/>
        <w:rPr>
          <w:rFonts w:cs="Arial"/>
          <w:lang w:val="es-ES"/>
        </w:rPr>
      </w:pPr>
    </w:p>
    <w:p w14:paraId="0B0661C2" w14:textId="77777777" w:rsidR="00841536" w:rsidRPr="00EB3D94" w:rsidRDefault="00841536" w:rsidP="00BC4866">
      <w:pPr>
        <w:pStyle w:val="Pargrafdellista"/>
        <w:numPr>
          <w:ilvl w:val="0"/>
          <w:numId w:val="29"/>
        </w:numPr>
        <w:jc w:val="both"/>
        <w:rPr>
          <w:rFonts w:cs="Arial"/>
          <w:szCs w:val="22"/>
          <w:lang w:val="es-ES"/>
        </w:rPr>
      </w:pPr>
      <w:r w:rsidRPr="00EB3D94">
        <w:rPr>
          <w:rFonts w:cs="Arial"/>
          <w:szCs w:val="22"/>
          <w:lang w:val="es-ES"/>
        </w:rPr>
        <w:t>El impago, durante la ejecución del contrato, de los salarios por parte del contratista a los trabajadores que estuvieran participando en la misma, o el incumplimiento de las condiciones establecidas en los Convenios colectivos en vigor para estos trabajadores durante la ejecución del contrato.</w:t>
      </w:r>
    </w:p>
    <w:p w14:paraId="0EE1196F" w14:textId="77777777" w:rsidR="00841536" w:rsidRPr="00EB3D94" w:rsidRDefault="00841536" w:rsidP="00BC4866">
      <w:pPr>
        <w:pStyle w:val="Pargrafdellista"/>
        <w:ind w:left="360"/>
        <w:jc w:val="both"/>
        <w:rPr>
          <w:rFonts w:cs="Arial"/>
          <w:szCs w:val="22"/>
          <w:lang w:val="es-ES"/>
        </w:rPr>
      </w:pPr>
    </w:p>
    <w:p w14:paraId="6C997583" w14:textId="77777777" w:rsidR="00841536" w:rsidRPr="00EB3D94" w:rsidRDefault="00841536" w:rsidP="00BC4866">
      <w:pPr>
        <w:pStyle w:val="Pargrafdellista"/>
        <w:numPr>
          <w:ilvl w:val="0"/>
          <w:numId w:val="29"/>
        </w:numPr>
        <w:jc w:val="both"/>
        <w:rPr>
          <w:rFonts w:cs="Arial"/>
          <w:szCs w:val="22"/>
          <w:lang w:val="es-ES"/>
        </w:rPr>
      </w:pPr>
      <w:r w:rsidRPr="00EB3D94">
        <w:rPr>
          <w:rFonts w:cs="Arial"/>
          <w:szCs w:val="22"/>
          <w:lang w:val="es-ES"/>
        </w:rPr>
        <w:t xml:space="preserve">En caso de un contrato </w:t>
      </w:r>
      <w:proofErr w:type="gramStart"/>
      <w:r w:rsidRPr="00EB3D94">
        <w:rPr>
          <w:rFonts w:cs="Arial"/>
          <w:szCs w:val="22"/>
          <w:lang w:val="es-ES"/>
        </w:rPr>
        <w:t>complementario  por</w:t>
      </w:r>
      <w:proofErr w:type="gramEnd"/>
      <w:r w:rsidRPr="00EB3D94">
        <w:rPr>
          <w:rFonts w:cs="Arial"/>
          <w:szCs w:val="22"/>
          <w:lang w:val="es-ES"/>
        </w:rPr>
        <w:t xml:space="preserve"> resolución del contrato principal</w:t>
      </w:r>
    </w:p>
    <w:p w14:paraId="563E19A6" w14:textId="77777777" w:rsidR="00841536" w:rsidRPr="00EB3D94" w:rsidRDefault="00841536" w:rsidP="00BC4866">
      <w:pPr>
        <w:jc w:val="both"/>
        <w:rPr>
          <w:rFonts w:cs="Arial"/>
          <w:lang w:val="es-ES"/>
        </w:rPr>
      </w:pPr>
    </w:p>
    <w:p w14:paraId="276AE746" w14:textId="77777777" w:rsidR="00841536" w:rsidRPr="00EB3D94" w:rsidRDefault="00841536" w:rsidP="00BC4866">
      <w:pPr>
        <w:jc w:val="both"/>
        <w:rPr>
          <w:rFonts w:cs="Arial"/>
          <w:lang w:val="es-ES"/>
        </w:rPr>
      </w:pPr>
      <w:r w:rsidRPr="00EB3D94">
        <w:rPr>
          <w:rFonts w:cs="Arial"/>
          <w:lang w:val="es-ES"/>
        </w:rPr>
        <w:t>La aplicación y los efectos de estas causas de resolución son las que se establezcan en los artículos 212, 213 y 313 de la LCSP.</w:t>
      </w:r>
    </w:p>
    <w:p w14:paraId="4B372678" w14:textId="77777777" w:rsidR="00841536" w:rsidRPr="00EB3D94" w:rsidRDefault="00841536" w:rsidP="00BC4866">
      <w:pPr>
        <w:jc w:val="both"/>
        <w:rPr>
          <w:rFonts w:cs="Arial"/>
          <w:lang w:val="es-ES"/>
        </w:rPr>
      </w:pPr>
    </w:p>
    <w:p w14:paraId="1DCBB2B8" w14:textId="77777777" w:rsidR="00841536" w:rsidRPr="00EB3D94" w:rsidRDefault="00841536" w:rsidP="00BC4866">
      <w:pPr>
        <w:jc w:val="both"/>
        <w:rPr>
          <w:rFonts w:cs="Arial"/>
          <w:szCs w:val="22"/>
          <w:lang w:val="es-ES"/>
        </w:rPr>
      </w:pPr>
      <w:r w:rsidRPr="00EB3D94">
        <w:rPr>
          <w:rFonts w:cs="Arial"/>
          <w:lang w:val="es-ES"/>
        </w:rPr>
        <w:t xml:space="preserve">En todos los casos, la resolución del contrato se llevará a cabo siguiendo el procedimiento establecido </w:t>
      </w:r>
      <w:r w:rsidRPr="00EB3D94">
        <w:rPr>
          <w:rFonts w:cs="Arial"/>
          <w:szCs w:val="22"/>
          <w:lang w:val="es-ES"/>
        </w:rPr>
        <w:t>en el artículo 191 de la LCSP y en el artículo 109 del RGLCAP.</w:t>
      </w:r>
    </w:p>
    <w:p w14:paraId="2A94109D" w14:textId="77777777" w:rsidR="000406BA" w:rsidRPr="00EB3D94" w:rsidRDefault="000406BA" w:rsidP="00BC4866">
      <w:pPr>
        <w:pStyle w:val="Default"/>
        <w:rPr>
          <w:color w:val="auto"/>
          <w:sz w:val="22"/>
          <w:szCs w:val="22"/>
          <w:lang w:val="es-ES"/>
        </w:rPr>
      </w:pPr>
    </w:p>
    <w:p w14:paraId="0D4E33BA" w14:textId="77777777" w:rsidR="00EE7784" w:rsidRPr="00EB3D94" w:rsidRDefault="00EE7784" w:rsidP="00BC4866">
      <w:pPr>
        <w:pStyle w:val="Ttol1"/>
        <w:rPr>
          <w:rFonts w:cs="Arial"/>
          <w:sz w:val="22"/>
          <w:szCs w:val="22"/>
          <w:lang w:val="es-ES"/>
        </w:rPr>
      </w:pPr>
      <w:bookmarkStart w:id="20" w:name="_Toc512237553"/>
      <w:r w:rsidRPr="00EB3D94">
        <w:rPr>
          <w:rFonts w:cs="Arial"/>
          <w:sz w:val="22"/>
          <w:szCs w:val="22"/>
          <w:lang w:val="es-ES"/>
        </w:rPr>
        <w:lastRenderedPageBreak/>
        <w:t>VII. RECURSOS, MEDIDAS PROVISIONALES Y SUPUESTOS ESPECIALES DE NULIDAD CONTRACTUAL</w:t>
      </w:r>
      <w:bookmarkEnd w:id="20"/>
    </w:p>
    <w:p w14:paraId="0C230E23" w14:textId="77777777" w:rsidR="00EE7784" w:rsidRPr="00EB3D94" w:rsidRDefault="00EE7784" w:rsidP="00BC4866">
      <w:pPr>
        <w:jc w:val="both"/>
        <w:rPr>
          <w:rFonts w:cs="Arial"/>
          <w:b/>
          <w:szCs w:val="22"/>
          <w:lang w:val="es-ES"/>
        </w:rPr>
      </w:pPr>
    </w:p>
    <w:p w14:paraId="37E20498" w14:textId="77777777" w:rsidR="00EE7784" w:rsidRPr="00EB3D94" w:rsidRDefault="00B25F0F" w:rsidP="00BC4866">
      <w:pPr>
        <w:pStyle w:val="Ttol2"/>
        <w:spacing w:before="0" w:after="0"/>
        <w:jc w:val="both"/>
        <w:rPr>
          <w:rFonts w:ascii="Arial" w:hAnsi="Arial" w:cs="Arial"/>
          <w:i w:val="0"/>
          <w:sz w:val="22"/>
          <w:szCs w:val="22"/>
          <w:lang w:val="es-ES"/>
        </w:rPr>
      </w:pPr>
      <w:bookmarkStart w:id="21" w:name="_Toc512237554"/>
      <w:proofErr w:type="spellStart"/>
      <w:r w:rsidRPr="00EB3D94">
        <w:rPr>
          <w:rFonts w:ascii="Arial" w:hAnsi="Arial" w:cs="Arial"/>
          <w:i w:val="0"/>
          <w:sz w:val="22"/>
          <w:szCs w:val="22"/>
          <w:lang w:val="es-ES"/>
        </w:rPr>
        <w:t>Trigésimaqui</w:t>
      </w:r>
      <w:r w:rsidR="00EE7784" w:rsidRPr="00EB3D94">
        <w:rPr>
          <w:rFonts w:ascii="Arial" w:hAnsi="Arial" w:cs="Arial"/>
          <w:i w:val="0"/>
          <w:sz w:val="22"/>
          <w:szCs w:val="22"/>
          <w:lang w:val="es-ES"/>
        </w:rPr>
        <w:t>nta</w:t>
      </w:r>
      <w:proofErr w:type="spellEnd"/>
      <w:r w:rsidR="00EE7784" w:rsidRPr="00EB3D94">
        <w:rPr>
          <w:rFonts w:ascii="Arial" w:hAnsi="Arial" w:cs="Arial"/>
          <w:i w:val="0"/>
          <w:sz w:val="22"/>
          <w:szCs w:val="22"/>
          <w:lang w:val="es-ES"/>
        </w:rPr>
        <w:t xml:space="preserve">. </w:t>
      </w:r>
      <w:r w:rsidR="00EE7784" w:rsidRPr="00EB3D94">
        <w:rPr>
          <w:rFonts w:ascii="Arial" w:hAnsi="Arial" w:cs="Arial"/>
          <w:i w:val="0"/>
          <w:sz w:val="22"/>
          <w:szCs w:val="22"/>
          <w:u w:val="single"/>
          <w:lang w:val="es-ES"/>
        </w:rPr>
        <w:t>Régimen de recursos</w:t>
      </w:r>
      <w:bookmarkEnd w:id="21"/>
      <w:r w:rsidR="00EE7784" w:rsidRPr="00EB3D94">
        <w:rPr>
          <w:rFonts w:ascii="Arial" w:hAnsi="Arial" w:cs="Arial"/>
          <w:i w:val="0"/>
          <w:sz w:val="22"/>
          <w:szCs w:val="22"/>
          <w:lang w:val="es-ES"/>
        </w:rPr>
        <w:t xml:space="preserve"> </w:t>
      </w:r>
    </w:p>
    <w:p w14:paraId="74D717AD" w14:textId="77777777" w:rsidR="00EE7784" w:rsidRPr="00EB3D94" w:rsidRDefault="00EE7784" w:rsidP="00BC4866">
      <w:pPr>
        <w:jc w:val="both"/>
        <w:rPr>
          <w:rFonts w:cs="Arial"/>
          <w:b/>
          <w:szCs w:val="22"/>
          <w:lang w:val="es-ES"/>
        </w:rPr>
      </w:pPr>
    </w:p>
    <w:p w14:paraId="7AB44D97" w14:textId="00828896" w:rsidR="00EE7784" w:rsidRPr="00EB3D94" w:rsidRDefault="00BD52A4" w:rsidP="00BC4866">
      <w:pPr>
        <w:jc w:val="both"/>
        <w:rPr>
          <w:rFonts w:cs="Arial"/>
          <w:szCs w:val="22"/>
          <w:lang w:val="es-ES"/>
        </w:rPr>
      </w:pPr>
      <w:r w:rsidRPr="00EB3D94">
        <w:rPr>
          <w:rFonts w:cs="Arial"/>
          <w:szCs w:val="22"/>
          <w:u w:val="single"/>
          <w:lang w:val="es-ES"/>
        </w:rPr>
        <w:t>Dado que se trata de un contrato</w:t>
      </w:r>
      <w:r w:rsidR="00EE7784" w:rsidRPr="00EB3D94">
        <w:rPr>
          <w:rFonts w:cs="Arial"/>
          <w:szCs w:val="22"/>
          <w:u w:val="single"/>
          <w:lang w:val="es-ES"/>
        </w:rPr>
        <w:t xml:space="preserve"> de servicios de </w:t>
      </w:r>
      <w:r w:rsidR="00356776" w:rsidRPr="00EB3D94">
        <w:rPr>
          <w:rFonts w:cs="Arial"/>
          <w:szCs w:val="22"/>
          <w:u w:val="single"/>
          <w:lang w:val="es-ES"/>
        </w:rPr>
        <w:t>valor estimado</w:t>
      </w:r>
      <w:r w:rsidR="00EE7784" w:rsidRPr="00EB3D94">
        <w:rPr>
          <w:rFonts w:cs="Arial"/>
          <w:szCs w:val="22"/>
          <w:u w:val="single"/>
          <w:lang w:val="es-ES"/>
        </w:rPr>
        <w:t xml:space="preserve"> superior a 100.000 euros:</w:t>
      </w:r>
    </w:p>
    <w:p w14:paraId="7211A2E6" w14:textId="77777777" w:rsidR="00EE7784" w:rsidRPr="00EB3D94" w:rsidRDefault="00EE7784" w:rsidP="00BC4866">
      <w:pPr>
        <w:jc w:val="both"/>
        <w:rPr>
          <w:rFonts w:cs="Arial"/>
          <w:b/>
          <w:szCs w:val="22"/>
          <w:lang w:val="es-ES"/>
        </w:rPr>
      </w:pPr>
    </w:p>
    <w:p w14:paraId="29A333F0" w14:textId="66F846AD" w:rsidR="00EE7784" w:rsidRPr="00EB3D94" w:rsidRDefault="00B25F0F" w:rsidP="00BC4866">
      <w:pPr>
        <w:jc w:val="both"/>
        <w:rPr>
          <w:rFonts w:cs="Arial"/>
          <w:szCs w:val="22"/>
          <w:lang w:val="es-ES"/>
        </w:rPr>
      </w:pPr>
      <w:r w:rsidRPr="00EB3D94">
        <w:rPr>
          <w:rFonts w:cs="Arial"/>
          <w:b/>
          <w:szCs w:val="22"/>
          <w:lang w:val="es-ES"/>
        </w:rPr>
        <w:t>35</w:t>
      </w:r>
      <w:r w:rsidR="00EE7784" w:rsidRPr="00EB3D94">
        <w:rPr>
          <w:rFonts w:cs="Arial"/>
          <w:b/>
          <w:szCs w:val="22"/>
          <w:lang w:val="es-ES"/>
        </w:rPr>
        <w:t>.1</w:t>
      </w:r>
      <w:r w:rsidR="00EE7784" w:rsidRPr="00EB3D94">
        <w:rPr>
          <w:rFonts w:cs="Arial"/>
          <w:szCs w:val="22"/>
          <w:lang w:val="es-ES"/>
        </w:rPr>
        <w:t xml:space="preserve"> Son susceptibles de recurso especial en materia de contratación, de acuerdo con el artículo 44 de la LCSP, los anuncios de licitación, </w:t>
      </w:r>
      <w:r w:rsidR="00356776" w:rsidRPr="00EB3D94">
        <w:rPr>
          <w:rFonts w:cs="Arial"/>
          <w:szCs w:val="22"/>
          <w:lang w:val="es-ES"/>
        </w:rPr>
        <w:t>los pliegos</w:t>
      </w:r>
      <w:r w:rsidR="00EE7784" w:rsidRPr="00EB3D94">
        <w:rPr>
          <w:rFonts w:cs="Arial"/>
          <w:szCs w:val="22"/>
          <w:lang w:val="es-ES"/>
        </w:rPr>
        <w:t xml:space="preserve"> y los documentos contractuales que establezcan las condiciones que </w:t>
      </w:r>
      <w:r w:rsidR="00A25938" w:rsidRPr="00EB3D94">
        <w:rPr>
          <w:rFonts w:cs="Arial"/>
          <w:szCs w:val="22"/>
          <w:lang w:val="es-ES"/>
        </w:rPr>
        <w:t xml:space="preserve">deben </w:t>
      </w:r>
      <w:r w:rsidR="00EE7784" w:rsidRPr="00EB3D94">
        <w:rPr>
          <w:rFonts w:cs="Arial"/>
          <w:szCs w:val="22"/>
          <w:lang w:val="es-ES"/>
        </w:rPr>
        <w:t>regir la contratación; los actos de trámite que decidan directa o indirectamente sobre la adjudicación, determinen la imposibilidad de continuar el procedimiento o produzcan indefensión o perjuicio irreparable a derechos o intereses legítimos; los acuerdos de adjudicación del contrato; y las modificaciones del contrato basadas en el incumplimiento del establecido en los artículos 204 y 205 de la LCSP, para entender que la modificación tendría que haber sido objeto de una nueva adjudicación.</w:t>
      </w:r>
    </w:p>
    <w:p w14:paraId="750C44B1" w14:textId="77777777" w:rsidR="00EE7784" w:rsidRPr="00EB3D94" w:rsidRDefault="00EE7784" w:rsidP="00BC4866">
      <w:pPr>
        <w:jc w:val="both"/>
        <w:rPr>
          <w:rFonts w:cs="Arial"/>
          <w:szCs w:val="22"/>
          <w:lang w:val="es-ES"/>
        </w:rPr>
      </w:pPr>
    </w:p>
    <w:p w14:paraId="72B43794" w14:textId="63486834" w:rsidR="00EE7784" w:rsidRPr="00EB3D94" w:rsidRDefault="00EE7784" w:rsidP="00BC4866">
      <w:pPr>
        <w:jc w:val="both"/>
        <w:rPr>
          <w:rFonts w:cs="Arial"/>
          <w:bCs/>
          <w:iCs/>
          <w:szCs w:val="22"/>
          <w:lang w:val="es-ES"/>
        </w:rPr>
      </w:pPr>
      <w:r w:rsidRPr="00EB3D94">
        <w:rPr>
          <w:rFonts w:cs="Arial"/>
          <w:szCs w:val="22"/>
          <w:lang w:val="es-ES"/>
        </w:rPr>
        <w:t xml:space="preserve">Este recurso tiene carácter potestativo, es gratuito para los recurrentes, se podrá interponer </w:t>
      </w:r>
      <w:r w:rsidRPr="00EB3D94">
        <w:rPr>
          <w:rFonts w:cs="Arial"/>
          <w:bCs/>
          <w:iCs/>
          <w:szCs w:val="22"/>
          <w:lang w:val="es-ES"/>
        </w:rPr>
        <w:t>ante el Tribunal Catalán de Contratos del Sector Público</w:t>
      </w:r>
      <w:r w:rsidRPr="00EB3D94">
        <w:rPr>
          <w:rFonts w:cs="Arial"/>
          <w:szCs w:val="22"/>
          <w:lang w:val="es-ES"/>
        </w:rPr>
        <w:t xml:space="preserve">, previa o alternativamente, a la interposición del recurso contencioso administrativo, de conformidad con la Ley 29/1998, de 13 de junio, reguladora de la jurisdicción contenciosa administrativa, </w:t>
      </w:r>
      <w:r w:rsidRPr="00EB3D94">
        <w:rPr>
          <w:rFonts w:cs="Arial"/>
          <w:bCs/>
          <w:iCs/>
          <w:szCs w:val="22"/>
          <w:lang w:val="es-ES"/>
        </w:rPr>
        <w:t xml:space="preserve">y se </w:t>
      </w:r>
      <w:r w:rsidR="00356776" w:rsidRPr="00EB3D94">
        <w:rPr>
          <w:rFonts w:cs="Arial"/>
          <w:bCs/>
          <w:iCs/>
          <w:szCs w:val="22"/>
          <w:lang w:val="es-ES"/>
        </w:rPr>
        <w:t>regirá por</w:t>
      </w:r>
      <w:r w:rsidRPr="00EB3D94">
        <w:rPr>
          <w:rFonts w:cs="Arial"/>
          <w:bCs/>
          <w:iCs/>
          <w:szCs w:val="22"/>
          <w:lang w:val="es-ES"/>
        </w:rPr>
        <w:t xml:space="preserve"> </w:t>
      </w:r>
      <w:r w:rsidR="00356776" w:rsidRPr="00EB3D94">
        <w:rPr>
          <w:rFonts w:cs="Arial"/>
          <w:bCs/>
          <w:iCs/>
          <w:szCs w:val="22"/>
          <w:lang w:val="es-ES"/>
        </w:rPr>
        <w:t>lo</w:t>
      </w:r>
      <w:r w:rsidRPr="00EB3D94">
        <w:rPr>
          <w:rFonts w:cs="Arial"/>
          <w:bCs/>
          <w:iCs/>
          <w:szCs w:val="22"/>
          <w:lang w:val="es-ES"/>
        </w:rPr>
        <w:t xml:space="preserve"> que disponen los artículos 44 y siguientes de la LCSP y el Real decreto 814/2015, de 11 de septiembre, por el cual se aprueba el Reglamento de los procedimientos especiales de revisión de decisiones en materia contractual y de organización del Tribunal Administrativo Central de Recursos Contractuales. </w:t>
      </w:r>
    </w:p>
    <w:p w14:paraId="06C51D95" w14:textId="77777777" w:rsidR="00EE7784" w:rsidRPr="00EB3D94" w:rsidRDefault="00EE7784" w:rsidP="00BC4866">
      <w:pPr>
        <w:jc w:val="both"/>
        <w:rPr>
          <w:rFonts w:cs="Arial"/>
          <w:bCs/>
          <w:i/>
          <w:iCs/>
          <w:szCs w:val="22"/>
          <w:lang w:val="es-ES"/>
        </w:rPr>
      </w:pPr>
    </w:p>
    <w:p w14:paraId="530C977F" w14:textId="77777777" w:rsidR="00EE7784" w:rsidRPr="00EB3D94" w:rsidRDefault="00EE7784" w:rsidP="00BC4866">
      <w:pPr>
        <w:jc w:val="both"/>
        <w:rPr>
          <w:rFonts w:cs="Arial"/>
          <w:szCs w:val="22"/>
          <w:lang w:val="es-ES"/>
        </w:rPr>
      </w:pPr>
      <w:r w:rsidRPr="00EB3D94">
        <w:rPr>
          <w:rFonts w:cs="Arial"/>
          <w:szCs w:val="22"/>
          <w:lang w:val="es-ES"/>
        </w:rPr>
        <w:t>Contra los actos susceptibles de recurso especial no procede la interposición de recursos administrativos ordinarios.</w:t>
      </w:r>
    </w:p>
    <w:p w14:paraId="251CD016" w14:textId="77777777" w:rsidR="00EE7784" w:rsidRPr="00EB3D94" w:rsidRDefault="00EE7784" w:rsidP="00BC4866">
      <w:pPr>
        <w:jc w:val="both"/>
        <w:rPr>
          <w:rFonts w:cs="Arial"/>
          <w:szCs w:val="22"/>
          <w:lang w:val="es-ES"/>
        </w:rPr>
      </w:pPr>
    </w:p>
    <w:p w14:paraId="5D679383" w14:textId="77777777" w:rsidR="00EE7784" w:rsidRPr="00EB3D94" w:rsidRDefault="00B25F0F" w:rsidP="00BC4866">
      <w:pPr>
        <w:jc w:val="both"/>
        <w:rPr>
          <w:rFonts w:cs="Arial"/>
          <w:szCs w:val="22"/>
          <w:lang w:val="es-ES"/>
        </w:rPr>
      </w:pPr>
      <w:r w:rsidRPr="00EB3D94">
        <w:rPr>
          <w:rFonts w:cs="Arial"/>
          <w:b/>
          <w:szCs w:val="22"/>
          <w:lang w:val="es-ES"/>
        </w:rPr>
        <w:t>35</w:t>
      </w:r>
      <w:r w:rsidR="00EE7784" w:rsidRPr="00EB3D94">
        <w:rPr>
          <w:rFonts w:cs="Arial"/>
          <w:b/>
          <w:szCs w:val="22"/>
          <w:lang w:val="es-ES"/>
        </w:rPr>
        <w:t xml:space="preserve">.2 </w:t>
      </w:r>
      <w:r w:rsidR="00EE7784" w:rsidRPr="00EB3D94">
        <w:rPr>
          <w:rFonts w:cs="Arial"/>
          <w:szCs w:val="22"/>
          <w:lang w:val="es-ES"/>
        </w:rPr>
        <w:t>Contra los actos que adopte el órgano de contratación en relación con los efectos, la modificación y la extinción de este contrato que no sean susceptibles de recurso especial en materia de contratación, procederá la interposición del recurso administrativo ordinario que corresponda de acuerdo con lo que establece la Ley 26/2010, del 3 de agosto, del régimen jurídico y de procedimiento de las administraciones públicas de Cataluña, y la Ley 39/2015, de 1 de octubre, del procedimiento administrativo común de las administraciones públicas; o del recurso contencioso administrativo, de conformidad con lo que dispone la Ley 29/1998, de 13 de julio, reguladora de la jurisdicción contenciosa administrativa.</w:t>
      </w:r>
    </w:p>
    <w:p w14:paraId="6992F948" w14:textId="77777777" w:rsidR="00EE7784" w:rsidRPr="00EB3D94" w:rsidRDefault="00EE7784" w:rsidP="00BC4866">
      <w:pPr>
        <w:jc w:val="both"/>
        <w:rPr>
          <w:rFonts w:cs="Arial"/>
          <w:i/>
          <w:szCs w:val="22"/>
          <w:lang w:val="es-ES"/>
        </w:rPr>
      </w:pPr>
    </w:p>
    <w:p w14:paraId="46722030" w14:textId="77777777" w:rsidR="00EE7784" w:rsidRPr="00EB3D94" w:rsidRDefault="00B25F0F" w:rsidP="00BC4866">
      <w:pPr>
        <w:tabs>
          <w:tab w:val="left" w:pos="0"/>
          <w:tab w:val="left" w:pos="680"/>
          <w:tab w:val="left" w:pos="1134"/>
          <w:tab w:val="left" w:pos="5040"/>
        </w:tabs>
        <w:jc w:val="both"/>
        <w:rPr>
          <w:rFonts w:cs="Arial"/>
          <w:szCs w:val="22"/>
          <w:lang w:val="es-ES"/>
        </w:rPr>
      </w:pPr>
      <w:r w:rsidRPr="00EB3D94">
        <w:rPr>
          <w:rFonts w:cs="Arial"/>
          <w:b/>
          <w:szCs w:val="22"/>
          <w:lang w:val="es-ES"/>
        </w:rPr>
        <w:t>35</w:t>
      </w:r>
      <w:r w:rsidR="00EE7784" w:rsidRPr="00EB3D94">
        <w:rPr>
          <w:rFonts w:cs="Arial"/>
          <w:b/>
          <w:szCs w:val="22"/>
          <w:lang w:val="es-ES"/>
        </w:rPr>
        <w:t xml:space="preserve">.3 </w:t>
      </w:r>
      <w:r w:rsidR="00EE7784" w:rsidRPr="00EB3D94">
        <w:rPr>
          <w:rFonts w:cs="Arial"/>
          <w:szCs w:val="22"/>
          <w:lang w:val="es-ES"/>
        </w:rPr>
        <w:t>Los acuerdos que adopte el órgano de contratación en el ejercicio de las prerrogativas de la Administración son susceptibles de recurso potestativo de reposición, de conformidad con lo que dispone la Ley 26/2010, del 3 de agosto, del régimen jurídico y de procedimiento de las administraciones públicas de Cataluña, y la legislación básica del procedimiento administrativo común, o de recurso contencioso administrativo, de conformidad con lo que dispone la Ley 29/1998, de 13 de julio, reguladora de la jurisdicción contenciosa administrativa.</w:t>
      </w:r>
    </w:p>
    <w:p w14:paraId="2349B3E5" w14:textId="77777777" w:rsidR="00EE7784" w:rsidRPr="00EB3D94" w:rsidRDefault="00EE7784" w:rsidP="00BC4866">
      <w:pPr>
        <w:jc w:val="both"/>
        <w:rPr>
          <w:rFonts w:cs="Arial"/>
          <w:b/>
          <w:szCs w:val="22"/>
          <w:lang w:val="es-ES"/>
        </w:rPr>
      </w:pPr>
    </w:p>
    <w:p w14:paraId="5D872597" w14:textId="77777777" w:rsidR="00EE7784" w:rsidRPr="00EB3D94" w:rsidRDefault="00B25F0F" w:rsidP="00BC4866">
      <w:pPr>
        <w:jc w:val="both"/>
        <w:rPr>
          <w:rFonts w:cs="Arial"/>
          <w:b/>
          <w:szCs w:val="22"/>
          <w:lang w:val="es-ES"/>
        </w:rPr>
      </w:pPr>
      <w:bookmarkStart w:id="22" w:name="_Toc512237555"/>
      <w:proofErr w:type="spellStart"/>
      <w:r w:rsidRPr="00EB3D94">
        <w:rPr>
          <w:rStyle w:val="Ttol2Car"/>
          <w:rFonts w:ascii="Arial" w:hAnsi="Arial" w:cs="Arial"/>
          <w:i w:val="0"/>
          <w:sz w:val="22"/>
          <w:szCs w:val="22"/>
          <w:lang w:val="es-ES"/>
        </w:rPr>
        <w:t>Trigésimas</w:t>
      </w:r>
      <w:r w:rsidR="00EE7784" w:rsidRPr="00EB3D94">
        <w:rPr>
          <w:rStyle w:val="Ttol2Car"/>
          <w:rFonts w:ascii="Arial" w:hAnsi="Arial" w:cs="Arial"/>
          <w:i w:val="0"/>
          <w:sz w:val="22"/>
          <w:szCs w:val="22"/>
          <w:lang w:val="es-ES"/>
        </w:rPr>
        <w:t>exta</w:t>
      </w:r>
      <w:proofErr w:type="spellEnd"/>
      <w:r w:rsidR="00EE7784" w:rsidRPr="00EB3D94">
        <w:rPr>
          <w:rStyle w:val="Ttol2Car"/>
          <w:rFonts w:ascii="Arial" w:hAnsi="Arial" w:cs="Arial"/>
          <w:i w:val="0"/>
          <w:sz w:val="22"/>
          <w:szCs w:val="22"/>
          <w:lang w:val="es-ES"/>
        </w:rPr>
        <w:t xml:space="preserve">. </w:t>
      </w:r>
      <w:r w:rsidR="00EE7784" w:rsidRPr="00EB3D94">
        <w:rPr>
          <w:rStyle w:val="Ttol2Car"/>
          <w:rFonts w:ascii="Arial" w:hAnsi="Arial" w:cs="Arial"/>
          <w:i w:val="0"/>
          <w:sz w:val="22"/>
          <w:szCs w:val="22"/>
          <w:u w:val="single"/>
          <w:lang w:val="es-ES"/>
        </w:rPr>
        <w:t>Arbitraje</w:t>
      </w:r>
      <w:bookmarkEnd w:id="22"/>
    </w:p>
    <w:p w14:paraId="24BA040C" w14:textId="77777777" w:rsidR="00EE7784" w:rsidRPr="00EB3D94" w:rsidRDefault="00EE7784" w:rsidP="00BC4866">
      <w:pPr>
        <w:jc w:val="both"/>
        <w:rPr>
          <w:rFonts w:cs="Arial"/>
          <w:b/>
          <w:szCs w:val="22"/>
          <w:lang w:val="es-ES"/>
        </w:rPr>
      </w:pPr>
    </w:p>
    <w:p w14:paraId="0F3A134F" w14:textId="5A0C57F8" w:rsidR="00EE7784" w:rsidRPr="00EB3D94" w:rsidRDefault="00EE7784" w:rsidP="00BC4866">
      <w:pPr>
        <w:jc w:val="both"/>
        <w:rPr>
          <w:rFonts w:cs="Arial"/>
          <w:szCs w:val="22"/>
          <w:lang w:val="es-ES"/>
        </w:rPr>
      </w:pPr>
      <w:r w:rsidRPr="00EB3D94">
        <w:rPr>
          <w:rFonts w:cs="Arial"/>
          <w:szCs w:val="22"/>
          <w:lang w:val="es-ES"/>
        </w:rPr>
        <w:t xml:space="preserve">Sin perjuicio de lo que establece la cláusula </w:t>
      </w:r>
      <w:r w:rsidR="00D037A6" w:rsidRPr="00EB3D94">
        <w:rPr>
          <w:rFonts w:cs="Arial"/>
          <w:szCs w:val="22"/>
          <w:lang w:val="es-ES"/>
        </w:rPr>
        <w:t>treinta-quin</w:t>
      </w:r>
      <w:r w:rsidRPr="00EB3D94">
        <w:rPr>
          <w:rFonts w:cs="Arial"/>
          <w:szCs w:val="22"/>
          <w:lang w:val="es-ES"/>
        </w:rPr>
        <w:t xml:space="preserve">ta, se podrá acordar el sometimiento a arbitraje de la solución de todas o alguna de las controversias que puedan surgir entre la administración contratante y la/s empresa/s </w:t>
      </w:r>
      <w:proofErr w:type="spellStart"/>
      <w:r w:rsidRPr="00EB3D94">
        <w:rPr>
          <w:rFonts w:cs="Arial"/>
          <w:szCs w:val="22"/>
          <w:lang w:val="es-ES"/>
        </w:rPr>
        <w:t>contractista</w:t>
      </w:r>
      <w:proofErr w:type="spellEnd"/>
      <w:r w:rsidRPr="00EB3D94">
        <w:rPr>
          <w:rFonts w:cs="Arial"/>
          <w:szCs w:val="22"/>
          <w:lang w:val="es-ES"/>
        </w:rPr>
        <w:t xml:space="preserve">/s, siempre que se trate de materias de libre disposición conforme a derecho y, específicamente, sobre los efectos, </w:t>
      </w:r>
      <w:r w:rsidR="00A73C0F" w:rsidRPr="00EB3D94">
        <w:rPr>
          <w:rFonts w:cs="Arial"/>
          <w:szCs w:val="22"/>
          <w:lang w:val="es-ES"/>
        </w:rPr>
        <w:t>el cumplimiento</w:t>
      </w:r>
      <w:r w:rsidRPr="00EB3D94">
        <w:rPr>
          <w:rFonts w:cs="Arial"/>
          <w:szCs w:val="22"/>
          <w:lang w:val="es-ES"/>
        </w:rPr>
        <w:t xml:space="preserve"> y la extinción de este contrato, de conformidad con lo que dispone la Ley 60/2003, de 23 de diciembre, de Arbitraje. </w:t>
      </w:r>
    </w:p>
    <w:p w14:paraId="42037419" w14:textId="77777777" w:rsidR="00EE7784" w:rsidRPr="00EB3D94" w:rsidRDefault="00EE7784" w:rsidP="00BC4866">
      <w:pPr>
        <w:jc w:val="both"/>
        <w:rPr>
          <w:rFonts w:cs="Arial"/>
          <w:b/>
          <w:szCs w:val="22"/>
          <w:lang w:val="es-ES"/>
        </w:rPr>
      </w:pPr>
    </w:p>
    <w:p w14:paraId="1989B7FA" w14:textId="77777777" w:rsidR="00EE7784" w:rsidRPr="00EB3D94" w:rsidRDefault="00B25F0F" w:rsidP="00BC4866">
      <w:pPr>
        <w:pStyle w:val="Ttol2"/>
        <w:spacing w:before="0" w:after="0"/>
        <w:jc w:val="both"/>
        <w:rPr>
          <w:rFonts w:ascii="Arial" w:hAnsi="Arial" w:cs="Arial"/>
          <w:i w:val="0"/>
          <w:sz w:val="22"/>
          <w:szCs w:val="22"/>
          <w:lang w:val="es-ES"/>
        </w:rPr>
      </w:pPr>
      <w:bookmarkStart w:id="23" w:name="_Toc512237556"/>
      <w:proofErr w:type="spellStart"/>
      <w:r w:rsidRPr="00EB3D94">
        <w:rPr>
          <w:rFonts w:ascii="Arial" w:hAnsi="Arial" w:cs="Arial"/>
          <w:i w:val="0"/>
          <w:sz w:val="22"/>
          <w:szCs w:val="22"/>
          <w:lang w:val="es-ES"/>
        </w:rPr>
        <w:lastRenderedPageBreak/>
        <w:t>Trigésimasé</w:t>
      </w:r>
      <w:r w:rsidR="00BD52A4" w:rsidRPr="00EB3D94">
        <w:rPr>
          <w:rFonts w:ascii="Arial" w:hAnsi="Arial" w:cs="Arial"/>
          <w:i w:val="0"/>
          <w:sz w:val="22"/>
          <w:szCs w:val="22"/>
          <w:lang w:val="es-ES"/>
        </w:rPr>
        <w:t>ptima</w:t>
      </w:r>
      <w:proofErr w:type="spellEnd"/>
      <w:r w:rsidR="00EE7784" w:rsidRPr="00EB3D94">
        <w:rPr>
          <w:rFonts w:ascii="Arial" w:hAnsi="Arial" w:cs="Arial"/>
          <w:i w:val="0"/>
          <w:sz w:val="22"/>
          <w:szCs w:val="22"/>
          <w:lang w:val="es-ES"/>
        </w:rPr>
        <w:t xml:space="preserve">. </w:t>
      </w:r>
      <w:r w:rsidR="00EE7784" w:rsidRPr="00EB3D94">
        <w:rPr>
          <w:rFonts w:ascii="Arial" w:hAnsi="Arial" w:cs="Arial"/>
          <w:i w:val="0"/>
          <w:sz w:val="22"/>
          <w:szCs w:val="22"/>
          <w:u w:val="single"/>
          <w:lang w:val="es-ES"/>
        </w:rPr>
        <w:t>Medidas cautelares</w:t>
      </w:r>
      <w:bookmarkEnd w:id="23"/>
    </w:p>
    <w:p w14:paraId="5363C3F1" w14:textId="77777777" w:rsidR="00EE7784" w:rsidRPr="00EB3D94" w:rsidRDefault="00EE7784" w:rsidP="00BC4866">
      <w:pPr>
        <w:keepNext/>
        <w:shd w:val="clear" w:color="auto" w:fill="FFFFFF"/>
        <w:jc w:val="both"/>
        <w:outlineLvl w:val="1"/>
        <w:rPr>
          <w:rFonts w:cs="Arial"/>
          <w:szCs w:val="22"/>
          <w:lang w:val="es-ES"/>
        </w:rPr>
      </w:pPr>
    </w:p>
    <w:p w14:paraId="3560D163" w14:textId="77777777" w:rsidR="00EE7784" w:rsidRPr="00EB3D94" w:rsidRDefault="00EE7784" w:rsidP="00BC4866">
      <w:pPr>
        <w:jc w:val="both"/>
        <w:rPr>
          <w:rFonts w:cs="Arial"/>
          <w:szCs w:val="22"/>
          <w:lang w:val="es-ES"/>
        </w:rPr>
      </w:pPr>
      <w:r w:rsidRPr="00EB3D94">
        <w:rPr>
          <w:rFonts w:cs="Arial"/>
          <w:szCs w:val="22"/>
          <w:lang w:val="es-ES"/>
        </w:rPr>
        <w:t>Antes de interponer el recurso especial en materia de contratación las personas legitimadas para interponerlo podrán solicitar delante del órgano competente para su resolución</w:t>
      </w:r>
      <w:r w:rsidRPr="00EB3D94">
        <w:rPr>
          <w:rFonts w:cs="Arial"/>
          <w:bCs/>
          <w:szCs w:val="22"/>
          <w:lang w:val="es-ES"/>
        </w:rPr>
        <w:t xml:space="preserve"> la adopción de medidas cautelares</w:t>
      </w:r>
      <w:r w:rsidRPr="00EB3D94">
        <w:rPr>
          <w:rFonts w:cs="Arial"/>
          <w:szCs w:val="22"/>
          <w:lang w:val="es-ES"/>
        </w:rPr>
        <w:t>, de conformidad con lo que establece el artículo 49 de la LCSP y el Real decreto 814/2015, de 11 de septiembre, ya mencionado.</w:t>
      </w:r>
    </w:p>
    <w:p w14:paraId="5E4D9ED3" w14:textId="77777777" w:rsidR="00B25F0F" w:rsidRPr="00EB3D94" w:rsidRDefault="00B25F0F" w:rsidP="00BC4866">
      <w:pPr>
        <w:jc w:val="both"/>
        <w:rPr>
          <w:rFonts w:cs="Arial"/>
          <w:b/>
          <w:szCs w:val="22"/>
          <w:lang w:val="es-ES"/>
        </w:rPr>
      </w:pPr>
    </w:p>
    <w:p w14:paraId="62D2F904" w14:textId="77777777" w:rsidR="00EE7784" w:rsidRPr="00EB3D94" w:rsidRDefault="00B25F0F" w:rsidP="00BC4866">
      <w:pPr>
        <w:pStyle w:val="Ttol2"/>
        <w:spacing w:before="0" w:after="0"/>
        <w:jc w:val="both"/>
        <w:rPr>
          <w:rFonts w:ascii="Arial" w:hAnsi="Arial" w:cs="Arial"/>
          <w:i w:val="0"/>
          <w:sz w:val="22"/>
          <w:szCs w:val="22"/>
          <w:u w:val="single"/>
          <w:lang w:val="es-ES"/>
        </w:rPr>
      </w:pPr>
      <w:bookmarkStart w:id="24" w:name="_Toc512237557"/>
      <w:proofErr w:type="spellStart"/>
      <w:r w:rsidRPr="00EB3D94">
        <w:rPr>
          <w:rFonts w:ascii="Arial" w:hAnsi="Arial" w:cs="Arial"/>
          <w:i w:val="0"/>
          <w:sz w:val="22"/>
          <w:szCs w:val="22"/>
          <w:lang w:val="es-ES"/>
        </w:rPr>
        <w:t>Trigésimaoc</w:t>
      </w:r>
      <w:r w:rsidR="00BD52A4" w:rsidRPr="00EB3D94">
        <w:rPr>
          <w:rFonts w:ascii="Arial" w:hAnsi="Arial" w:cs="Arial"/>
          <w:i w:val="0"/>
          <w:sz w:val="22"/>
          <w:szCs w:val="22"/>
          <w:lang w:val="es-ES"/>
        </w:rPr>
        <w:t>tava</w:t>
      </w:r>
      <w:proofErr w:type="spellEnd"/>
      <w:r w:rsidR="00EE7784" w:rsidRPr="00EB3D94">
        <w:rPr>
          <w:rFonts w:ascii="Arial" w:hAnsi="Arial" w:cs="Arial"/>
          <w:i w:val="0"/>
          <w:sz w:val="22"/>
          <w:szCs w:val="22"/>
          <w:lang w:val="es-ES"/>
        </w:rPr>
        <w:t xml:space="preserve">. </w:t>
      </w:r>
      <w:r w:rsidR="00EE7784" w:rsidRPr="00EB3D94">
        <w:rPr>
          <w:rFonts w:ascii="Arial" w:hAnsi="Arial" w:cs="Arial"/>
          <w:i w:val="0"/>
          <w:sz w:val="22"/>
          <w:szCs w:val="22"/>
          <w:u w:val="single"/>
          <w:lang w:val="es-ES"/>
        </w:rPr>
        <w:t>Régimen de invalidez</w:t>
      </w:r>
      <w:bookmarkEnd w:id="24"/>
    </w:p>
    <w:p w14:paraId="52A7EBAA" w14:textId="77777777" w:rsidR="00EE7784" w:rsidRPr="00EB3D94" w:rsidRDefault="00EE7784" w:rsidP="00BC4866">
      <w:pPr>
        <w:jc w:val="both"/>
        <w:rPr>
          <w:rFonts w:cs="Arial"/>
          <w:szCs w:val="22"/>
          <w:lang w:val="es-ES"/>
        </w:rPr>
      </w:pPr>
    </w:p>
    <w:p w14:paraId="0F08B11A" w14:textId="77777777" w:rsidR="00EE7784" w:rsidRPr="00EB3D94" w:rsidRDefault="00EE7784" w:rsidP="00BC4866">
      <w:pPr>
        <w:jc w:val="both"/>
        <w:rPr>
          <w:rFonts w:cs="Arial"/>
          <w:szCs w:val="22"/>
          <w:lang w:val="es-ES"/>
        </w:rPr>
      </w:pPr>
      <w:r w:rsidRPr="00EB3D94">
        <w:rPr>
          <w:rFonts w:cs="Arial"/>
          <w:szCs w:val="22"/>
          <w:lang w:val="es-ES"/>
        </w:rPr>
        <w:t>Este contrato está sometido al régimen de invalidez previsto en los artículos 38 a 43 de la LCSP.</w:t>
      </w:r>
    </w:p>
    <w:p w14:paraId="5B7EEBD7" w14:textId="77777777" w:rsidR="00EE7784" w:rsidRPr="00EB3D94" w:rsidRDefault="00EE7784" w:rsidP="00BC4866">
      <w:pPr>
        <w:jc w:val="both"/>
        <w:rPr>
          <w:rFonts w:cs="Arial"/>
          <w:szCs w:val="22"/>
          <w:lang w:val="es-ES"/>
        </w:rPr>
      </w:pPr>
    </w:p>
    <w:p w14:paraId="2F2A7631" w14:textId="77777777" w:rsidR="00EE7784" w:rsidRPr="00EB3D94" w:rsidRDefault="00B25F0F" w:rsidP="00BC4866">
      <w:pPr>
        <w:pStyle w:val="Ttol2"/>
        <w:spacing w:before="0" w:after="0"/>
        <w:jc w:val="both"/>
        <w:rPr>
          <w:rFonts w:ascii="Arial" w:hAnsi="Arial" w:cs="Arial"/>
          <w:i w:val="0"/>
          <w:sz w:val="22"/>
          <w:szCs w:val="22"/>
          <w:lang w:val="es-ES"/>
        </w:rPr>
      </w:pPr>
      <w:bookmarkStart w:id="25" w:name="_Toc512237558"/>
      <w:proofErr w:type="spellStart"/>
      <w:r w:rsidRPr="00EB3D94">
        <w:rPr>
          <w:rFonts w:ascii="Arial" w:hAnsi="Arial" w:cs="Arial"/>
          <w:i w:val="0"/>
          <w:sz w:val="22"/>
          <w:szCs w:val="22"/>
          <w:lang w:val="es-ES"/>
        </w:rPr>
        <w:t>Trigésimanovena</w:t>
      </w:r>
      <w:proofErr w:type="spellEnd"/>
      <w:r w:rsidR="00EE7784" w:rsidRPr="00EB3D94">
        <w:rPr>
          <w:rFonts w:ascii="Arial" w:hAnsi="Arial" w:cs="Arial"/>
          <w:i w:val="0"/>
          <w:sz w:val="22"/>
          <w:szCs w:val="22"/>
          <w:lang w:val="es-ES"/>
        </w:rPr>
        <w:t xml:space="preserve">. </w:t>
      </w:r>
      <w:r w:rsidR="00EE7784" w:rsidRPr="00EB3D94">
        <w:rPr>
          <w:rFonts w:ascii="Arial" w:hAnsi="Arial" w:cs="Arial"/>
          <w:i w:val="0"/>
          <w:sz w:val="22"/>
          <w:szCs w:val="22"/>
          <w:u w:val="single"/>
          <w:lang w:val="es-ES"/>
        </w:rPr>
        <w:t>Jurisdicción competente</w:t>
      </w:r>
      <w:bookmarkEnd w:id="25"/>
    </w:p>
    <w:p w14:paraId="0B04FC89" w14:textId="77777777" w:rsidR="00EE7784" w:rsidRPr="00EB3D94" w:rsidRDefault="00EE7784" w:rsidP="00BC4866">
      <w:pPr>
        <w:jc w:val="both"/>
        <w:rPr>
          <w:rFonts w:cs="Arial"/>
          <w:b/>
          <w:szCs w:val="22"/>
          <w:lang w:val="es-ES"/>
        </w:rPr>
      </w:pPr>
    </w:p>
    <w:p w14:paraId="5958D93A" w14:textId="77777777" w:rsidR="00EE7784" w:rsidRPr="00EB3D94" w:rsidRDefault="00EE7784" w:rsidP="00BC4866">
      <w:pPr>
        <w:jc w:val="both"/>
        <w:rPr>
          <w:rFonts w:cs="Arial"/>
          <w:szCs w:val="22"/>
          <w:lang w:val="es-ES"/>
        </w:rPr>
      </w:pPr>
      <w:r w:rsidRPr="00EB3D94">
        <w:rPr>
          <w:rFonts w:cs="Arial"/>
          <w:szCs w:val="22"/>
          <w:lang w:val="es-ES"/>
        </w:rPr>
        <w:t>El orden jurisdiccional contencioso administrativo es el competente para la resolución de las cuestiones litigiosas que se planteen en relación con la preparación, la adjudicación, los efectos, la modificación y la extinción de este contrato.</w:t>
      </w:r>
    </w:p>
    <w:p w14:paraId="40926E85" w14:textId="77777777" w:rsidR="00BE2378" w:rsidRPr="00EB3D94" w:rsidRDefault="00BE2378" w:rsidP="00BC4866">
      <w:pPr>
        <w:jc w:val="both"/>
        <w:rPr>
          <w:rFonts w:cs="Arial"/>
          <w:szCs w:val="22"/>
          <w:lang w:val="es-ES"/>
        </w:rPr>
      </w:pPr>
    </w:p>
    <w:p w14:paraId="4CA6C619" w14:textId="77777777" w:rsidR="00A95367" w:rsidRPr="00EB3D94" w:rsidRDefault="00A95367" w:rsidP="00BC4866">
      <w:pPr>
        <w:jc w:val="both"/>
        <w:rPr>
          <w:rFonts w:cs="Arial"/>
          <w:szCs w:val="22"/>
          <w:lang w:val="es-ES"/>
        </w:rPr>
      </w:pPr>
      <w:r w:rsidRPr="00EB3D94">
        <w:rPr>
          <w:rFonts w:cs="Arial"/>
          <w:b/>
          <w:szCs w:val="22"/>
          <w:lang w:val="es-ES"/>
        </w:rPr>
        <w:t>Cuarentena.</w:t>
      </w:r>
      <w:r w:rsidRPr="00EB3D94">
        <w:rPr>
          <w:rFonts w:cs="Arial"/>
          <w:szCs w:val="22"/>
          <w:lang w:val="es-ES"/>
        </w:rPr>
        <w:t xml:space="preserve"> </w:t>
      </w:r>
      <w:r w:rsidRPr="00EB3D94">
        <w:rPr>
          <w:rFonts w:cs="Arial"/>
          <w:b/>
          <w:bCs/>
          <w:iCs/>
          <w:szCs w:val="22"/>
          <w:u w:val="single"/>
          <w:lang w:val="es-ES"/>
        </w:rPr>
        <w:t>Régimen jurídico</w:t>
      </w:r>
    </w:p>
    <w:p w14:paraId="350A887F" w14:textId="77777777" w:rsidR="00A95367" w:rsidRPr="00EB3D94" w:rsidRDefault="00A95367" w:rsidP="00BC4866">
      <w:pPr>
        <w:jc w:val="both"/>
        <w:rPr>
          <w:rFonts w:cs="Arial"/>
          <w:szCs w:val="22"/>
          <w:lang w:val="es-ES"/>
        </w:rPr>
      </w:pPr>
    </w:p>
    <w:p w14:paraId="70233AB0" w14:textId="29EB83B9" w:rsidR="00BE2378" w:rsidRPr="00EB3D94" w:rsidRDefault="00BE2378" w:rsidP="00BC4866">
      <w:pPr>
        <w:jc w:val="both"/>
        <w:rPr>
          <w:rFonts w:cs="Arial"/>
          <w:lang w:val="es-ES"/>
        </w:rPr>
      </w:pPr>
      <w:r w:rsidRPr="00EB3D94">
        <w:rPr>
          <w:rFonts w:cs="Arial"/>
          <w:lang w:val="es-ES"/>
        </w:rPr>
        <w:t>Este contrato tiene carácter privado</w:t>
      </w:r>
      <w:r w:rsidR="00196BA3" w:rsidRPr="00EB3D94">
        <w:rPr>
          <w:rFonts w:cs="Arial"/>
          <w:lang w:val="es-ES"/>
        </w:rPr>
        <w:t xml:space="preserve">. Se </w:t>
      </w:r>
      <w:r w:rsidR="00A73C0F" w:rsidRPr="00EB3D94">
        <w:rPr>
          <w:rFonts w:cs="Arial"/>
          <w:lang w:val="es-ES"/>
        </w:rPr>
        <w:t>rige por</w:t>
      </w:r>
      <w:r w:rsidRPr="00EB3D94">
        <w:rPr>
          <w:rFonts w:cs="Arial"/>
          <w:lang w:val="es-ES"/>
        </w:rPr>
        <w:t xml:space="preserve"> la normativa </w:t>
      </w:r>
      <w:r w:rsidR="00196BA3" w:rsidRPr="00EB3D94">
        <w:rPr>
          <w:rFonts w:cs="Arial"/>
          <w:lang w:val="es-ES"/>
        </w:rPr>
        <w:t>detallada a continuación</w:t>
      </w:r>
      <w:r w:rsidRPr="00EB3D94">
        <w:rPr>
          <w:rFonts w:cs="Arial"/>
          <w:lang w:val="es-ES"/>
        </w:rPr>
        <w:t>:</w:t>
      </w:r>
    </w:p>
    <w:p w14:paraId="128F67E1" w14:textId="77777777" w:rsidR="00BE2378" w:rsidRPr="00EB3D94" w:rsidRDefault="00BE2378" w:rsidP="00BC4866">
      <w:pPr>
        <w:jc w:val="both"/>
        <w:rPr>
          <w:rFonts w:cs="Arial"/>
          <w:lang w:val="es-ES"/>
        </w:rPr>
      </w:pPr>
    </w:p>
    <w:p w14:paraId="2290D29F" w14:textId="06372B2D" w:rsidR="00BE2378" w:rsidRPr="00EB3D94" w:rsidRDefault="00BE2378" w:rsidP="00BC4866">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60"/>
        <w:jc w:val="both"/>
        <w:rPr>
          <w:rFonts w:cs="Arial"/>
          <w:snapToGrid w:val="0"/>
          <w:lang w:val="es-ES"/>
        </w:rPr>
      </w:pPr>
      <w:r w:rsidRPr="00EB3D94">
        <w:rPr>
          <w:rFonts w:cs="Arial"/>
          <w:snapToGrid w:val="0"/>
          <w:lang w:val="es-ES"/>
        </w:rPr>
        <w:t xml:space="preserve">a) </w:t>
      </w:r>
      <w:r w:rsidR="00196BA3" w:rsidRPr="00EB3D94">
        <w:rPr>
          <w:rFonts w:cs="Arial"/>
          <w:lang w:val="es-ES"/>
        </w:rPr>
        <w:t>En aplicación del establecido en el artículo 26.2 se rige, en cuanto a su preparación y adjudicación, en defecto de normas específicas, por las Secciones 1.ª y 2.ª. del Cap</w:t>
      </w:r>
      <w:r w:rsidR="00A73C0F" w:rsidRPr="00EB3D94">
        <w:rPr>
          <w:rFonts w:cs="Arial"/>
          <w:lang w:val="es-ES"/>
        </w:rPr>
        <w:t>ítulo</w:t>
      </w:r>
      <w:r w:rsidR="00196BA3" w:rsidRPr="00EB3D94">
        <w:rPr>
          <w:rFonts w:cs="Arial"/>
          <w:lang w:val="es-ES"/>
        </w:rPr>
        <w:t xml:space="preserve"> I del Título I del Libro Segundo de la</w:t>
      </w:r>
      <w:r w:rsidR="00196BA3" w:rsidRPr="00EB3D94">
        <w:rPr>
          <w:rFonts w:cs="Arial"/>
          <w:snapToGrid w:val="0"/>
          <w:lang w:val="es-ES"/>
        </w:rPr>
        <w:t xml:space="preserve"> </w:t>
      </w:r>
      <w:r w:rsidRPr="00EB3D94">
        <w:rPr>
          <w:rFonts w:cs="Arial"/>
          <w:snapToGrid w:val="0"/>
          <w:lang w:val="es-ES"/>
        </w:rPr>
        <w:t>Ley 9/2017, de 8 de noviembre, d</w:t>
      </w:r>
      <w:r w:rsidR="00196BA3" w:rsidRPr="00EB3D94">
        <w:rPr>
          <w:rFonts w:cs="Arial"/>
          <w:snapToGrid w:val="0"/>
          <w:lang w:val="es-ES"/>
        </w:rPr>
        <w:t xml:space="preserve">e contratos del sector público (LCSP), con carácter general </w:t>
      </w:r>
      <w:r w:rsidR="00A73C0F" w:rsidRPr="00EB3D94">
        <w:rPr>
          <w:rFonts w:cs="Arial"/>
          <w:snapToGrid w:val="0"/>
          <w:lang w:val="es-ES"/>
        </w:rPr>
        <w:t>y por</w:t>
      </w:r>
      <w:r w:rsidR="00196BA3" w:rsidRPr="00EB3D94">
        <w:rPr>
          <w:rFonts w:cs="Arial"/>
          <w:snapToGrid w:val="0"/>
          <w:lang w:val="es-ES"/>
        </w:rPr>
        <w:t xml:space="preserve"> sus disposiciones de desarrollo, aplicándose supletoriamente las restantes normas de derecho administrativo o, en su caso, las normas de derecho privado, según corresponda. En aquello </w:t>
      </w:r>
      <w:proofErr w:type="gramStart"/>
      <w:r w:rsidR="00196BA3" w:rsidRPr="00EB3D94">
        <w:rPr>
          <w:rFonts w:cs="Arial"/>
          <w:snapToGrid w:val="0"/>
          <w:lang w:val="es-ES"/>
        </w:rPr>
        <w:t>que</w:t>
      </w:r>
      <w:proofErr w:type="gramEnd"/>
      <w:r w:rsidR="00196BA3" w:rsidRPr="00EB3D94">
        <w:rPr>
          <w:rFonts w:cs="Arial"/>
          <w:snapToGrid w:val="0"/>
          <w:lang w:val="es-ES"/>
        </w:rPr>
        <w:t xml:space="preserve"> con respecto a sus efectos, modificación y extinción, se revolvió por el derecho privado.</w:t>
      </w:r>
    </w:p>
    <w:p w14:paraId="28ECD3DD" w14:textId="77777777" w:rsidR="009124F1" w:rsidRPr="00EB3D94" w:rsidRDefault="009124F1" w:rsidP="00BC4866">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60"/>
        <w:jc w:val="both"/>
        <w:rPr>
          <w:rFonts w:cs="Arial"/>
          <w:snapToGrid w:val="0"/>
          <w:lang w:val="es-ES"/>
        </w:rPr>
      </w:pPr>
    </w:p>
    <w:p w14:paraId="20887E4F" w14:textId="77777777" w:rsidR="00BE2378" w:rsidRPr="00EB3D94" w:rsidRDefault="00BE2378" w:rsidP="00BC4866">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60"/>
        <w:jc w:val="both"/>
        <w:rPr>
          <w:rFonts w:cs="Arial"/>
          <w:snapToGrid w:val="0"/>
          <w:lang w:val="es-ES"/>
        </w:rPr>
      </w:pPr>
      <w:r w:rsidRPr="00EB3D94">
        <w:rPr>
          <w:rFonts w:cs="Arial"/>
          <w:snapToGrid w:val="0"/>
          <w:lang w:val="es-ES"/>
        </w:rPr>
        <w:t>b) Decreto Ley 3/2016, de 31 de mayo, de medidas urgentes en materia de contratación pública.</w:t>
      </w:r>
    </w:p>
    <w:p w14:paraId="2F6258F1" w14:textId="77777777" w:rsidR="00BE2378" w:rsidRPr="00EB3D94" w:rsidRDefault="00BE2378" w:rsidP="00BC4866">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60"/>
        <w:jc w:val="both"/>
        <w:rPr>
          <w:rFonts w:cs="Arial"/>
          <w:snapToGrid w:val="0"/>
          <w:lang w:val="es-ES"/>
        </w:rPr>
      </w:pPr>
    </w:p>
    <w:p w14:paraId="6AFAF0E3" w14:textId="77777777" w:rsidR="00BE2378" w:rsidRPr="00EB3D94" w:rsidRDefault="00BE2378" w:rsidP="00BC4866">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60"/>
        <w:jc w:val="both"/>
        <w:rPr>
          <w:rFonts w:cs="Arial"/>
          <w:snapToGrid w:val="0"/>
          <w:lang w:val="es-ES"/>
        </w:rPr>
      </w:pPr>
      <w:r w:rsidRPr="00EB3D94">
        <w:rPr>
          <w:rFonts w:cs="Arial"/>
          <w:snapToGrid w:val="0"/>
          <w:lang w:val="es-ES"/>
        </w:rPr>
        <w:t xml:space="preserve">c) Real decreto 817/2009, de 8 de mayo, por el cual se desarrolla parcialmente la Ley 30/2007, de 30 de octubre, de contratos del sector público (de ahora en adelante, RD 817/2009). </w:t>
      </w:r>
    </w:p>
    <w:p w14:paraId="37F81E6A" w14:textId="77777777" w:rsidR="00BE2378" w:rsidRPr="00EB3D94" w:rsidRDefault="00BE2378" w:rsidP="00BC4866">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60"/>
        <w:jc w:val="both"/>
        <w:rPr>
          <w:rFonts w:cs="Arial"/>
          <w:snapToGrid w:val="0"/>
          <w:lang w:val="es-ES"/>
        </w:rPr>
      </w:pPr>
    </w:p>
    <w:p w14:paraId="44B39C5A" w14:textId="77777777" w:rsidR="00BE2378" w:rsidRPr="00EB3D94" w:rsidRDefault="00BE2378" w:rsidP="00BC4866">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60"/>
        <w:jc w:val="both"/>
        <w:rPr>
          <w:rFonts w:cs="Arial"/>
          <w:snapToGrid w:val="0"/>
          <w:lang w:val="es-ES"/>
        </w:rPr>
      </w:pPr>
      <w:r w:rsidRPr="00EB3D94">
        <w:rPr>
          <w:rFonts w:cs="Arial"/>
          <w:snapToGrid w:val="0"/>
          <w:lang w:val="es-ES"/>
        </w:rPr>
        <w:t>d) Reglamento general de la Ley de contratos de las administraciones públicas</w:t>
      </w:r>
      <w:r w:rsidRPr="00EB3D94">
        <w:rPr>
          <w:rFonts w:cs="Arial"/>
          <w:lang w:val="es-ES"/>
        </w:rPr>
        <w:t xml:space="preserve"> aprobado por el </w:t>
      </w:r>
      <w:r w:rsidRPr="00EB3D94">
        <w:rPr>
          <w:rFonts w:cs="Arial"/>
          <w:snapToGrid w:val="0"/>
          <w:lang w:val="es-ES"/>
        </w:rPr>
        <w:t>Real decreto 1098/2001, de 12 de octubre, en todo aquello no modificado ni derogado por las disposiciones mencionadas anteriormente (de ahora en adelante, RGLCAP).</w:t>
      </w:r>
    </w:p>
    <w:p w14:paraId="39820C5A" w14:textId="77777777" w:rsidR="00BE2378" w:rsidRPr="00EB3D94" w:rsidRDefault="00BE2378" w:rsidP="00BC4866">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60"/>
        <w:jc w:val="both"/>
        <w:rPr>
          <w:rFonts w:cs="Arial"/>
          <w:snapToGrid w:val="0"/>
          <w:lang w:val="es-ES"/>
        </w:rPr>
      </w:pPr>
    </w:p>
    <w:p w14:paraId="4D20A280" w14:textId="77777777" w:rsidR="00BE2378" w:rsidRPr="00EB3D94" w:rsidRDefault="009124F1" w:rsidP="00BC4866">
      <w:pPr>
        <w:autoSpaceDE w:val="0"/>
        <w:autoSpaceDN w:val="0"/>
        <w:adjustRightInd w:val="0"/>
        <w:ind w:left="260"/>
        <w:jc w:val="both"/>
        <w:rPr>
          <w:rFonts w:cs="Arial"/>
          <w:lang w:val="es-ES"/>
        </w:rPr>
      </w:pPr>
      <w:r w:rsidRPr="00EB3D94">
        <w:rPr>
          <w:rFonts w:cs="Arial"/>
          <w:lang w:val="es-ES"/>
        </w:rPr>
        <w:t>e) Orden ECF/224/2002, de 4 de junio, relativa a la coordinación de la gestión de tesorería de las entidades autónomas y empresas públicas de la Generalitat de Catalunya.</w:t>
      </w:r>
    </w:p>
    <w:p w14:paraId="7806DF1D" w14:textId="77777777" w:rsidR="009124F1" w:rsidRPr="00EB3D94" w:rsidRDefault="009124F1" w:rsidP="00BC4866">
      <w:pPr>
        <w:autoSpaceDE w:val="0"/>
        <w:autoSpaceDN w:val="0"/>
        <w:adjustRightInd w:val="0"/>
        <w:ind w:left="260"/>
        <w:jc w:val="both"/>
        <w:rPr>
          <w:rFonts w:cs="Arial"/>
          <w:lang w:val="es-ES"/>
        </w:rPr>
      </w:pPr>
    </w:p>
    <w:p w14:paraId="3AAA5AD7" w14:textId="607E22D4" w:rsidR="00BE2378" w:rsidRPr="00EB3D94" w:rsidRDefault="00BE2378" w:rsidP="00BC4866">
      <w:pPr>
        <w:autoSpaceDE w:val="0"/>
        <w:autoSpaceDN w:val="0"/>
        <w:adjustRightInd w:val="0"/>
        <w:ind w:left="260"/>
        <w:jc w:val="both"/>
        <w:rPr>
          <w:rFonts w:cs="Arial"/>
          <w:lang w:val="es-ES"/>
        </w:rPr>
      </w:pPr>
      <w:r w:rsidRPr="00EB3D94">
        <w:rPr>
          <w:rFonts w:cs="Arial"/>
          <w:lang w:val="es-ES"/>
        </w:rPr>
        <w:t xml:space="preserve">Adicionalmente, también se </w:t>
      </w:r>
      <w:r w:rsidR="00A73C0F" w:rsidRPr="00EB3D94">
        <w:rPr>
          <w:rFonts w:cs="Arial"/>
          <w:lang w:val="es-ES"/>
        </w:rPr>
        <w:t>rige por</w:t>
      </w:r>
      <w:r w:rsidRPr="00EB3D94">
        <w:rPr>
          <w:rFonts w:cs="Arial"/>
          <w:lang w:val="es-ES"/>
        </w:rPr>
        <w:t xml:space="preserve"> las normas aplicables a los contratos del sector público en el ámbito de Cataluña </w:t>
      </w:r>
      <w:r w:rsidR="00A73C0F" w:rsidRPr="00EB3D94">
        <w:rPr>
          <w:rFonts w:cs="Arial"/>
          <w:lang w:val="es-ES"/>
        </w:rPr>
        <w:t>y por</w:t>
      </w:r>
      <w:r w:rsidRPr="00EB3D94">
        <w:rPr>
          <w:rFonts w:cs="Arial"/>
          <w:lang w:val="es-ES"/>
        </w:rPr>
        <w:t xml:space="preserve"> su normativa sectorial que resulte de aplicación.</w:t>
      </w:r>
    </w:p>
    <w:p w14:paraId="346BB4F6" w14:textId="77777777" w:rsidR="00BE2378" w:rsidRPr="00EB3D94" w:rsidRDefault="00BE2378" w:rsidP="00BC4866">
      <w:pPr>
        <w:autoSpaceDE w:val="0"/>
        <w:autoSpaceDN w:val="0"/>
        <w:adjustRightInd w:val="0"/>
        <w:ind w:left="260"/>
        <w:jc w:val="both"/>
        <w:rPr>
          <w:rFonts w:cs="Arial"/>
          <w:lang w:val="es-ES"/>
        </w:rPr>
      </w:pPr>
    </w:p>
    <w:p w14:paraId="230A0674" w14:textId="77777777" w:rsidR="00BE2378" w:rsidRPr="00EB3D94" w:rsidRDefault="00BE2378" w:rsidP="00BC4866">
      <w:pPr>
        <w:autoSpaceDE w:val="0"/>
        <w:autoSpaceDN w:val="0"/>
        <w:adjustRightInd w:val="0"/>
        <w:ind w:left="260"/>
        <w:jc w:val="both"/>
        <w:rPr>
          <w:rFonts w:cs="Arial"/>
          <w:lang w:val="es-ES"/>
        </w:rPr>
      </w:pPr>
      <w:r w:rsidRPr="00EB3D94">
        <w:rPr>
          <w:rFonts w:cs="Arial"/>
          <w:lang w:val="es-ES"/>
        </w:rPr>
        <w:t>Supletoriamente al contrato le resultan de aplicación las normas de derecho administrativo y, en su defecto, las normas de derecho privado.</w:t>
      </w:r>
    </w:p>
    <w:p w14:paraId="52A655C0" w14:textId="77777777" w:rsidR="00BE2378" w:rsidRPr="00EB3D94" w:rsidRDefault="00BE2378" w:rsidP="00BC4866">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60"/>
        <w:jc w:val="both"/>
        <w:rPr>
          <w:rFonts w:cs="Arial"/>
          <w:lang w:val="es-ES"/>
        </w:rPr>
      </w:pPr>
    </w:p>
    <w:p w14:paraId="523476C6" w14:textId="1E38448D" w:rsidR="00BE2378" w:rsidRPr="00EB3D94" w:rsidRDefault="00BE2378" w:rsidP="00BC4866">
      <w:pPr>
        <w:ind w:left="260"/>
        <w:jc w:val="both"/>
        <w:rPr>
          <w:rFonts w:cs="Arial"/>
          <w:lang w:val="es-ES"/>
        </w:rPr>
      </w:pPr>
      <w:r w:rsidRPr="00EB3D94">
        <w:rPr>
          <w:rFonts w:cs="Arial"/>
          <w:lang w:val="es-ES"/>
        </w:rPr>
        <w:t>El desconocimiento de las cláusulas del contrato en cualquiera de sus términos, de los otros documentos contractuales que forman parte y también de las instrucciones u otras normas que resulten de aplicación en la ejecución de la cosa pactada, no exime la empresa adjudicataria de la obligación de c</w:t>
      </w:r>
      <w:r w:rsidR="00A73C0F" w:rsidRPr="00EB3D94">
        <w:rPr>
          <w:rFonts w:cs="Arial"/>
          <w:lang w:val="es-ES"/>
        </w:rPr>
        <w:t>u</w:t>
      </w:r>
      <w:r w:rsidRPr="00EB3D94">
        <w:rPr>
          <w:rFonts w:cs="Arial"/>
          <w:lang w:val="es-ES"/>
        </w:rPr>
        <w:t>mplir</w:t>
      </w:r>
      <w:r w:rsidR="00A73C0F" w:rsidRPr="00EB3D94">
        <w:rPr>
          <w:rFonts w:cs="Arial"/>
          <w:lang w:val="es-ES"/>
        </w:rPr>
        <w:t>la</w:t>
      </w:r>
      <w:r w:rsidRPr="00EB3D94">
        <w:rPr>
          <w:rFonts w:cs="Arial"/>
          <w:lang w:val="es-ES"/>
        </w:rPr>
        <w:t>s.</w:t>
      </w:r>
    </w:p>
    <w:p w14:paraId="41BD6378" w14:textId="77777777" w:rsidR="00A95367" w:rsidRPr="00EB3D94" w:rsidRDefault="00A95367" w:rsidP="00BC4866">
      <w:pPr>
        <w:jc w:val="both"/>
        <w:rPr>
          <w:rFonts w:cs="Arial"/>
          <w:szCs w:val="22"/>
          <w:lang w:val="es-ES"/>
        </w:rPr>
      </w:pPr>
    </w:p>
    <w:p w14:paraId="199DCEC2" w14:textId="1142F922" w:rsidR="002A2B68" w:rsidRPr="00EB3D94" w:rsidRDefault="002A2B68" w:rsidP="00BC4866">
      <w:pPr>
        <w:jc w:val="both"/>
        <w:rPr>
          <w:rFonts w:cs="Arial"/>
          <w:lang w:val="es-ES"/>
        </w:rPr>
      </w:pPr>
      <w:proofErr w:type="gramStart"/>
      <w:r w:rsidRPr="00EB3D94">
        <w:rPr>
          <w:rFonts w:cs="Arial"/>
          <w:lang w:val="es-ES"/>
        </w:rPr>
        <w:lastRenderedPageBreak/>
        <w:t>Además</w:t>
      </w:r>
      <w:proofErr w:type="gramEnd"/>
      <w:r w:rsidRPr="00EB3D94">
        <w:rPr>
          <w:rFonts w:cs="Arial"/>
          <w:lang w:val="es-ES"/>
        </w:rPr>
        <w:t xml:space="preserve"> el contrato </w:t>
      </w:r>
      <w:r w:rsidR="00A73C0F" w:rsidRPr="00EB3D94">
        <w:rPr>
          <w:rFonts w:cs="Arial"/>
          <w:lang w:val="es-ES"/>
        </w:rPr>
        <w:t>se</w:t>
      </w:r>
      <w:r w:rsidRPr="00EB3D94">
        <w:rPr>
          <w:rFonts w:cs="Arial"/>
          <w:lang w:val="es-ES"/>
        </w:rPr>
        <w:t xml:space="preserve"> </w:t>
      </w:r>
      <w:r w:rsidR="00A73C0F" w:rsidRPr="00EB3D94">
        <w:rPr>
          <w:rFonts w:cs="Arial"/>
          <w:lang w:val="es-ES"/>
        </w:rPr>
        <w:t>rige por este pliego</w:t>
      </w:r>
      <w:r w:rsidRPr="00EB3D94">
        <w:rPr>
          <w:rFonts w:cs="Arial"/>
          <w:lang w:val="es-ES"/>
        </w:rPr>
        <w:t xml:space="preserve"> de cláusulas administrativas el cual se considera parte integrante del contrato.</w:t>
      </w:r>
    </w:p>
    <w:p w14:paraId="5611ABFC" w14:textId="77777777" w:rsidR="002A2B68" w:rsidRPr="00EB3D94" w:rsidRDefault="002A2B68" w:rsidP="00BC4866">
      <w:pPr>
        <w:jc w:val="both"/>
        <w:rPr>
          <w:rFonts w:cs="Arial"/>
          <w:szCs w:val="22"/>
          <w:lang w:val="es-ES"/>
        </w:rPr>
      </w:pPr>
    </w:p>
    <w:p w14:paraId="7EFFD5A2" w14:textId="77777777" w:rsidR="00EE7784" w:rsidRPr="00EB3D94" w:rsidRDefault="00EE7784" w:rsidP="00BC4866">
      <w:pPr>
        <w:jc w:val="both"/>
        <w:rPr>
          <w:rFonts w:cs="Arial"/>
          <w:szCs w:val="22"/>
          <w:lang w:val="es-ES"/>
        </w:rPr>
      </w:pPr>
      <w:r w:rsidRPr="00EB3D94">
        <w:rPr>
          <w:rFonts w:cs="Arial"/>
          <w:szCs w:val="22"/>
          <w:lang w:val="es-ES"/>
        </w:rPr>
        <w:t xml:space="preserve">Barcelona, </w:t>
      </w:r>
      <w:r w:rsidR="00663225" w:rsidRPr="00EB3D94">
        <w:rPr>
          <w:rFonts w:cs="Arial"/>
          <w:szCs w:val="22"/>
          <w:lang w:val="es-ES"/>
        </w:rPr>
        <w:t>2</w:t>
      </w:r>
      <w:r w:rsidR="00E86396" w:rsidRPr="00EB3D94">
        <w:rPr>
          <w:rFonts w:cs="Arial"/>
          <w:szCs w:val="22"/>
          <w:lang w:val="es-ES"/>
        </w:rPr>
        <w:t>3</w:t>
      </w:r>
      <w:r w:rsidR="00663225" w:rsidRPr="00EB3D94">
        <w:rPr>
          <w:rFonts w:cs="Arial"/>
          <w:szCs w:val="22"/>
          <w:lang w:val="es-ES"/>
        </w:rPr>
        <w:t xml:space="preserve"> de abril de 2025</w:t>
      </w:r>
    </w:p>
    <w:p w14:paraId="37B3A80E" w14:textId="77777777" w:rsidR="000406BA" w:rsidRPr="00EB3D94" w:rsidRDefault="000406BA" w:rsidP="00BC4866">
      <w:pPr>
        <w:pStyle w:val="Default"/>
        <w:rPr>
          <w:color w:val="auto"/>
          <w:sz w:val="22"/>
          <w:szCs w:val="22"/>
          <w:lang w:val="es-ES"/>
        </w:rPr>
      </w:pPr>
    </w:p>
    <w:p w14:paraId="0242F2D6" w14:textId="77777777" w:rsidR="0096253E" w:rsidRPr="00EB3D94" w:rsidRDefault="0096253E" w:rsidP="00BC4866">
      <w:pPr>
        <w:pStyle w:val="Default"/>
        <w:jc w:val="both"/>
        <w:rPr>
          <w:color w:val="auto"/>
          <w:sz w:val="22"/>
          <w:szCs w:val="22"/>
          <w:lang w:val="es-ES"/>
        </w:rPr>
      </w:pPr>
    </w:p>
    <w:p w14:paraId="5D6AB5BC" w14:textId="77777777" w:rsidR="0089317B" w:rsidRPr="00EB3D94" w:rsidRDefault="0089317B" w:rsidP="00BC4866">
      <w:pPr>
        <w:pStyle w:val="Default"/>
        <w:jc w:val="both"/>
        <w:rPr>
          <w:color w:val="auto"/>
          <w:sz w:val="22"/>
          <w:szCs w:val="22"/>
          <w:lang w:val="es-ES"/>
        </w:rPr>
      </w:pPr>
    </w:p>
    <w:p w14:paraId="61CADDC4" w14:textId="77777777" w:rsidR="0089317B" w:rsidRPr="00EB3D94" w:rsidRDefault="0089317B" w:rsidP="00BC4866">
      <w:pPr>
        <w:pStyle w:val="Default"/>
        <w:jc w:val="both"/>
        <w:rPr>
          <w:color w:val="auto"/>
          <w:sz w:val="22"/>
          <w:szCs w:val="22"/>
          <w:lang w:val="es-ES"/>
        </w:rPr>
      </w:pPr>
    </w:p>
    <w:p w14:paraId="3EAA8B55" w14:textId="515C440C" w:rsidR="00CA0195" w:rsidRPr="00EB3D94" w:rsidRDefault="00CA0195" w:rsidP="00BC4866">
      <w:pPr>
        <w:pStyle w:val="Default"/>
        <w:rPr>
          <w:color w:val="auto"/>
          <w:sz w:val="22"/>
          <w:szCs w:val="22"/>
          <w:lang w:val="es-ES"/>
        </w:rPr>
      </w:pPr>
    </w:p>
    <w:p w14:paraId="2FB021A2" w14:textId="77777777" w:rsidR="00C4287B" w:rsidRPr="00EB3D94" w:rsidRDefault="005F3EF4" w:rsidP="00BC4866">
      <w:pPr>
        <w:outlineLvl w:val="0"/>
        <w:rPr>
          <w:b/>
          <w:sz w:val="16"/>
          <w:szCs w:val="16"/>
          <w:highlight w:val="yellow"/>
          <w:lang w:val="es-ES"/>
        </w:rPr>
      </w:pPr>
      <w:r w:rsidRPr="00EB3D94">
        <w:rPr>
          <w:b/>
          <w:szCs w:val="22"/>
          <w:lang w:val="es-ES"/>
        </w:rPr>
        <w:t xml:space="preserve">Anexo 1 </w:t>
      </w:r>
      <w:r w:rsidR="00C4287B" w:rsidRPr="00EB3D94">
        <w:rPr>
          <w:rFonts w:cs="Arial"/>
          <w:b/>
          <w:szCs w:val="22"/>
          <w:lang w:val="es-ES"/>
        </w:rPr>
        <w:t xml:space="preserve">– </w:t>
      </w:r>
      <w:r w:rsidR="00C4287B" w:rsidRPr="00EB3D94">
        <w:rPr>
          <w:rFonts w:cs="Arial"/>
          <w:b/>
          <w:szCs w:val="22"/>
          <w:u w:val="single"/>
          <w:lang w:val="es-ES"/>
        </w:rPr>
        <w:t xml:space="preserve">Relación de Entidades Públicas que actualmente ya están incorporadas en el sistema de cash </w:t>
      </w:r>
      <w:proofErr w:type="spellStart"/>
      <w:r w:rsidR="00C4287B" w:rsidRPr="00EB3D94">
        <w:rPr>
          <w:rFonts w:cs="Arial"/>
          <w:b/>
          <w:szCs w:val="22"/>
          <w:u w:val="single"/>
          <w:lang w:val="es-ES"/>
        </w:rPr>
        <w:t>pooling</w:t>
      </w:r>
      <w:proofErr w:type="spellEnd"/>
      <w:r w:rsidR="00C4287B" w:rsidRPr="00EB3D94">
        <w:rPr>
          <w:rFonts w:cs="Arial"/>
          <w:b/>
          <w:szCs w:val="22"/>
          <w:u w:val="single"/>
          <w:lang w:val="es-ES"/>
        </w:rPr>
        <w:t xml:space="preserve">. </w:t>
      </w:r>
    </w:p>
    <w:p w14:paraId="130710F5" w14:textId="77777777" w:rsidR="00C4287B" w:rsidRPr="00EB3D94" w:rsidRDefault="00C4287B" w:rsidP="00BC4866">
      <w:pPr>
        <w:jc w:val="both"/>
        <w:rPr>
          <w:rFonts w:cs="Arial"/>
          <w:szCs w:val="22"/>
          <w:highlight w:val="yellow"/>
          <w:lang w:val="es-ES"/>
        </w:rPr>
      </w:pPr>
    </w:p>
    <w:p w14:paraId="112236F6" w14:textId="77777777" w:rsidR="00C4287B" w:rsidRPr="00EB3D94" w:rsidRDefault="00C4287B" w:rsidP="00BC4866">
      <w:pPr>
        <w:jc w:val="both"/>
        <w:rPr>
          <w:rFonts w:cs="Arial"/>
          <w:sz w:val="20"/>
          <w:highlight w:val="yellow"/>
          <w:lang w:val="es-ES"/>
        </w:rPr>
      </w:pPr>
    </w:p>
    <w:p w14:paraId="68A3386E" w14:textId="77777777" w:rsidR="00D540F5" w:rsidRPr="00EB3D94" w:rsidRDefault="00D540F5" w:rsidP="00D540F5">
      <w:pPr>
        <w:rPr>
          <w:u w:val="double"/>
          <w:lang w:val="es-ES"/>
        </w:rPr>
      </w:pPr>
      <w:r w:rsidRPr="00EB3D94">
        <w:rPr>
          <w:u w:val="double"/>
          <w:lang w:val="es-ES"/>
        </w:rPr>
        <w:t>Detalle de las Entidades Públicas incorporadas al modelo actualmente:</w:t>
      </w:r>
    </w:p>
    <w:p w14:paraId="58B8D596" w14:textId="77777777" w:rsidR="00D540F5" w:rsidRPr="00EB3D94" w:rsidRDefault="00D540F5" w:rsidP="00D540F5">
      <w:pPr>
        <w:rPr>
          <w:u w:val="double"/>
          <w:lang w:val="es-ES"/>
        </w:rPr>
      </w:pPr>
    </w:p>
    <w:tbl>
      <w:tblPr>
        <w:tblW w:w="17520" w:type="dxa"/>
        <w:tblCellMar>
          <w:left w:w="70" w:type="dxa"/>
          <w:right w:w="70" w:type="dxa"/>
        </w:tblCellMar>
        <w:tblLook w:val="04A0" w:firstRow="1" w:lastRow="0" w:firstColumn="1" w:lastColumn="0" w:noHBand="0" w:noVBand="1"/>
      </w:tblPr>
      <w:tblGrid>
        <w:gridCol w:w="8760"/>
        <w:gridCol w:w="8760"/>
      </w:tblGrid>
      <w:tr w:rsidR="00EB3D94" w:rsidRPr="00EB3D94" w14:paraId="4025FFC6" w14:textId="77777777" w:rsidTr="0001199B">
        <w:trPr>
          <w:trHeight w:val="290"/>
        </w:trPr>
        <w:tc>
          <w:tcPr>
            <w:tcW w:w="8760" w:type="dxa"/>
            <w:tcBorders>
              <w:top w:val="nil"/>
              <w:left w:val="nil"/>
              <w:bottom w:val="nil"/>
              <w:right w:val="nil"/>
            </w:tcBorders>
            <w:shd w:val="clear" w:color="000000" w:fill="FFFFFF"/>
            <w:vAlign w:val="bottom"/>
          </w:tcPr>
          <w:p w14:paraId="61803486" w14:textId="13033665" w:rsidR="002C2C3E" w:rsidRPr="00EB3D94" w:rsidRDefault="002C2C3E" w:rsidP="002C2C3E">
            <w:pPr>
              <w:rPr>
                <w:rFonts w:cs="Calibri"/>
                <w:lang w:val="es-ES"/>
              </w:rPr>
            </w:pPr>
            <w:r w:rsidRPr="00EB3D94">
              <w:rPr>
                <w:rFonts w:cs="Calibri"/>
              </w:rPr>
              <w:t>Aeroports Públics de Catalunya, SL</w:t>
            </w:r>
          </w:p>
        </w:tc>
        <w:tc>
          <w:tcPr>
            <w:tcW w:w="8760" w:type="dxa"/>
            <w:tcBorders>
              <w:top w:val="nil"/>
              <w:left w:val="nil"/>
              <w:bottom w:val="nil"/>
              <w:right w:val="nil"/>
            </w:tcBorders>
            <w:shd w:val="clear" w:color="000000" w:fill="FFFFFF"/>
            <w:noWrap/>
            <w:vAlign w:val="bottom"/>
            <w:hideMark/>
          </w:tcPr>
          <w:p w14:paraId="45E6BE79" w14:textId="707F5F84" w:rsidR="002C2C3E" w:rsidRPr="00EB3D94" w:rsidRDefault="002C2C3E" w:rsidP="002C2C3E">
            <w:pPr>
              <w:rPr>
                <w:rFonts w:cs="Calibri"/>
                <w:lang w:val="es-ES"/>
              </w:rPr>
            </w:pPr>
            <w:r w:rsidRPr="00EB3D94">
              <w:rPr>
                <w:rFonts w:cs="Calibri"/>
                <w:lang w:val="es-ES"/>
              </w:rPr>
              <w:t>Aeropuertos Públicos de Cataluña, SL</w:t>
            </w:r>
          </w:p>
        </w:tc>
      </w:tr>
      <w:tr w:rsidR="00EB3D94" w:rsidRPr="00EB3D94" w14:paraId="74C666FF" w14:textId="77777777" w:rsidTr="0001199B">
        <w:trPr>
          <w:trHeight w:val="290"/>
        </w:trPr>
        <w:tc>
          <w:tcPr>
            <w:tcW w:w="8760" w:type="dxa"/>
            <w:tcBorders>
              <w:top w:val="nil"/>
              <w:left w:val="nil"/>
              <w:bottom w:val="nil"/>
              <w:right w:val="nil"/>
            </w:tcBorders>
            <w:shd w:val="clear" w:color="000000" w:fill="FFFFFF"/>
            <w:vAlign w:val="bottom"/>
          </w:tcPr>
          <w:p w14:paraId="5ED60C2B" w14:textId="7D4A701E" w:rsidR="002C2C3E" w:rsidRPr="00EB3D94" w:rsidRDefault="002C2C3E" w:rsidP="002C2C3E">
            <w:pPr>
              <w:rPr>
                <w:rFonts w:cs="Calibri"/>
                <w:lang w:val="es-ES"/>
              </w:rPr>
            </w:pPr>
            <w:r w:rsidRPr="00EB3D94">
              <w:rPr>
                <w:rFonts w:cs="Calibri"/>
              </w:rPr>
              <w:t>Agència Catalana de Cooperació al Desenvolupament</w:t>
            </w:r>
          </w:p>
        </w:tc>
        <w:tc>
          <w:tcPr>
            <w:tcW w:w="8760" w:type="dxa"/>
            <w:tcBorders>
              <w:top w:val="nil"/>
              <w:left w:val="nil"/>
              <w:bottom w:val="nil"/>
              <w:right w:val="nil"/>
            </w:tcBorders>
            <w:shd w:val="clear" w:color="000000" w:fill="FFFFFF"/>
            <w:noWrap/>
            <w:vAlign w:val="bottom"/>
            <w:hideMark/>
          </w:tcPr>
          <w:p w14:paraId="0CD22447" w14:textId="0E6BF656" w:rsidR="002C2C3E" w:rsidRPr="00EB3D94" w:rsidRDefault="002C2C3E" w:rsidP="002C2C3E">
            <w:pPr>
              <w:rPr>
                <w:rFonts w:cs="Calibri"/>
                <w:lang w:val="es-ES"/>
              </w:rPr>
            </w:pPr>
            <w:r w:rsidRPr="00EB3D94">
              <w:rPr>
                <w:rFonts w:cs="Calibri"/>
                <w:lang w:val="es-ES"/>
              </w:rPr>
              <w:t>Agencia Catalana de Cooperación al Desarrollo</w:t>
            </w:r>
          </w:p>
        </w:tc>
      </w:tr>
      <w:tr w:rsidR="00EB3D94" w:rsidRPr="00EB3D94" w14:paraId="569E235B" w14:textId="77777777" w:rsidTr="0001199B">
        <w:trPr>
          <w:trHeight w:val="290"/>
        </w:trPr>
        <w:tc>
          <w:tcPr>
            <w:tcW w:w="8760" w:type="dxa"/>
            <w:tcBorders>
              <w:top w:val="nil"/>
              <w:left w:val="nil"/>
              <w:bottom w:val="nil"/>
              <w:right w:val="nil"/>
            </w:tcBorders>
            <w:shd w:val="clear" w:color="000000" w:fill="FFFFFF"/>
            <w:vAlign w:val="bottom"/>
          </w:tcPr>
          <w:p w14:paraId="42DD011F" w14:textId="2BBC2E47" w:rsidR="002C2C3E" w:rsidRPr="00EB3D94" w:rsidRDefault="002C2C3E" w:rsidP="002C2C3E">
            <w:pPr>
              <w:rPr>
                <w:rFonts w:cs="Calibri"/>
                <w:lang w:val="es-ES"/>
              </w:rPr>
            </w:pPr>
            <w:r w:rsidRPr="00EB3D94">
              <w:rPr>
                <w:rFonts w:cs="Calibri"/>
              </w:rPr>
              <w:t>Agència Catalana de la Joventut</w:t>
            </w:r>
          </w:p>
        </w:tc>
        <w:tc>
          <w:tcPr>
            <w:tcW w:w="8760" w:type="dxa"/>
            <w:tcBorders>
              <w:top w:val="nil"/>
              <w:left w:val="nil"/>
              <w:bottom w:val="nil"/>
              <w:right w:val="nil"/>
            </w:tcBorders>
            <w:shd w:val="clear" w:color="000000" w:fill="FFFFFF"/>
            <w:noWrap/>
            <w:vAlign w:val="bottom"/>
            <w:hideMark/>
          </w:tcPr>
          <w:p w14:paraId="7A6A2F1B" w14:textId="549DC009" w:rsidR="002C2C3E" w:rsidRPr="00EB3D94" w:rsidRDefault="002C2C3E" w:rsidP="002C2C3E">
            <w:pPr>
              <w:rPr>
                <w:rFonts w:cs="Calibri"/>
                <w:lang w:val="es-ES"/>
              </w:rPr>
            </w:pPr>
            <w:r w:rsidRPr="00EB3D94">
              <w:rPr>
                <w:rFonts w:cs="Calibri"/>
                <w:lang w:val="es-ES"/>
              </w:rPr>
              <w:t>Agencia Catalana de la Juventud</w:t>
            </w:r>
          </w:p>
        </w:tc>
      </w:tr>
      <w:tr w:rsidR="00EB3D94" w:rsidRPr="00EB3D94" w14:paraId="4313FAC2" w14:textId="77777777" w:rsidTr="0001199B">
        <w:trPr>
          <w:trHeight w:val="290"/>
        </w:trPr>
        <w:tc>
          <w:tcPr>
            <w:tcW w:w="8760" w:type="dxa"/>
            <w:tcBorders>
              <w:top w:val="nil"/>
              <w:left w:val="nil"/>
              <w:bottom w:val="nil"/>
              <w:right w:val="nil"/>
            </w:tcBorders>
            <w:shd w:val="clear" w:color="000000" w:fill="FFFFFF"/>
            <w:vAlign w:val="bottom"/>
          </w:tcPr>
          <w:p w14:paraId="701E7369" w14:textId="6D482B8A" w:rsidR="002C2C3E" w:rsidRPr="00EB3D94" w:rsidRDefault="002C2C3E" w:rsidP="002C2C3E">
            <w:pPr>
              <w:rPr>
                <w:rFonts w:cs="Calibri"/>
                <w:lang w:val="es-ES"/>
              </w:rPr>
            </w:pPr>
            <w:r w:rsidRPr="00EB3D94">
              <w:rPr>
                <w:rFonts w:cs="Calibri"/>
              </w:rPr>
              <w:t>Agència Catalana de l'Aigua (ACA)</w:t>
            </w:r>
          </w:p>
        </w:tc>
        <w:tc>
          <w:tcPr>
            <w:tcW w:w="8760" w:type="dxa"/>
            <w:tcBorders>
              <w:top w:val="nil"/>
              <w:left w:val="nil"/>
              <w:bottom w:val="nil"/>
              <w:right w:val="nil"/>
            </w:tcBorders>
            <w:shd w:val="clear" w:color="000000" w:fill="FFFFFF"/>
            <w:noWrap/>
            <w:vAlign w:val="bottom"/>
            <w:hideMark/>
          </w:tcPr>
          <w:p w14:paraId="0BBF4057" w14:textId="3380D2A9" w:rsidR="002C2C3E" w:rsidRPr="00EB3D94" w:rsidRDefault="002C2C3E" w:rsidP="002C2C3E">
            <w:pPr>
              <w:rPr>
                <w:rFonts w:cs="Calibri"/>
                <w:lang w:val="es-ES"/>
              </w:rPr>
            </w:pPr>
            <w:r w:rsidRPr="00EB3D94">
              <w:rPr>
                <w:rFonts w:cs="Calibri"/>
                <w:lang w:val="es-ES"/>
              </w:rPr>
              <w:t>Agencia Catalana del Agua (ACA)</w:t>
            </w:r>
          </w:p>
        </w:tc>
      </w:tr>
      <w:tr w:rsidR="00EB3D94" w:rsidRPr="00EB3D94" w14:paraId="2382F0C1" w14:textId="77777777" w:rsidTr="0001199B">
        <w:trPr>
          <w:trHeight w:val="290"/>
        </w:trPr>
        <w:tc>
          <w:tcPr>
            <w:tcW w:w="8760" w:type="dxa"/>
            <w:tcBorders>
              <w:top w:val="nil"/>
              <w:left w:val="nil"/>
              <w:bottom w:val="nil"/>
              <w:right w:val="nil"/>
            </w:tcBorders>
            <w:shd w:val="clear" w:color="000000" w:fill="FFFFFF"/>
            <w:vAlign w:val="bottom"/>
          </w:tcPr>
          <w:p w14:paraId="05845EA3" w14:textId="04BB2D7F" w:rsidR="002C2C3E" w:rsidRPr="00EB3D94" w:rsidRDefault="002C2C3E" w:rsidP="002C2C3E">
            <w:pPr>
              <w:rPr>
                <w:rFonts w:cs="Calibri"/>
                <w:lang w:val="es-ES"/>
              </w:rPr>
            </w:pPr>
            <w:r w:rsidRPr="00EB3D94">
              <w:rPr>
                <w:rFonts w:cs="Calibri"/>
              </w:rPr>
              <w:t>Agència Catalana de Turisme</w:t>
            </w:r>
          </w:p>
        </w:tc>
        <w:tc>
          <w:tcPr>
            <w:tcW w:w="8760" w:type="dxa"/>
            <w:tcBorders>
              <w:top w:val="nil"/>
              <w:left w:val="nil"/>
              <w:bottom w:val="nil"/>
              <w:right w:val="nil"/>
            </w:tcBorders>
            <w:shd w:val="clear" w:color="000000" w:fill="FFFFFF"/>
            <w:noWrap/>
            <w:vAlign w:val="bottom"/>
            <w:hideMark/>
          </w:tcPr>
          <w:p w14:paraId="7087C44F" w14:textId="5B3E7110" w:rsidR="002C2C3E" w:rsidRPr="00EB3D94" w:rsidRDefault="002C2C3E" w:rsidP="002C2C3E">
            <w:pPr>
              <w:rPr>
                <w:rFonts w:cs="Calibri"/>
                <w:lang w:val="es-ES"/>
              </w:rPr>
            </w:pPr>
            <w:r w:rsidRPr="00EB3D94">
              <w:rPr>
                <w:rFonts w:cs="Calibri"/>
                <w:lang w:val="es-ES"/>
              </w:rPr>
              <w:t>Agencia Catalana de Turismo</w:t>
            </w:r>
          </w:p>
        </w:tc>
      </w:tr>
      <w:tr w:rsidR="00EB3D94" w:rsidRPr="00EB3D94" w14:paraId="46250B25" w14:textId="77777777" w:rsidTr="0001199B">
        <w:trPr>
          <w:trHeight w:val="290"/>
        </w:trPr>
        <w:tc>
          <w:tcPr>
            <w:tcW w:w="8760" w:type="dxa"/>
            <w:tcBorders>
              <w:top w:val="nil"/>
              <w:left w:val="nil"/>
              <w:bottom w:val="nil"/>
              <w:right w:val="nil"/>
            </w:tcBorders>
            <w:shd w:val="clear" w:color="000000" w:fill="FFFFFF"/>
            <w:vAlign w:val="bottom"/>
          </w:tcPr>
          <w:p w14:paraId="2CE84CC1" w14:textId="1BCD0508" w:rsidR="002C2C3E" w:rsidRPr="00EB3D94" w:rsidRDefault="002C2C3E" w:rsidP="002C2C3E">
            <w:pPr>
              <w:rPr>
                <w:rFonts w:cs="Calibri"/>
                <w:lang w:val="es-ES"/>
              </w:rPr>
            </w:pPr>
            <w:r w:rsidRPr="00EB3D94">
              <w:rPr>
                <w:rFonts w:cs="Calibri"/>
              </w:rPr>
              <w:t>Agència Catalana del Consum</w:t>
            </w:r>
          </w:p>
        </w:tc>
        <w:tc>
          <w:tcPr>
            <w:tcW w:w="8760" w:type="dxa"/>
            <w:tcBorders>
              <w:top w:val="nil"/>
              <w:left w:val="nil"/>
              <w:bottom w:val="nil"/>
              <w:right w:val="nil"/>
            </w:tcBorders>
            <w:shd w:val="clear" w:color="000000" w:fill="FFFFFF"/>
            <w:noWrap/>
            <w:vAlign w:val="bottom"/>
            <w:hideMark/>
          </w:tcPr>
          <w:p w14:paraId="715ADEDF" w14:textId="422F554D" w:rsidR="002C2C3E" w:rsidRPr="00EB3D94" w:rsidRDefault="002C2C3E" w:rsidP="002C2C3E">
            <w:pPr>
              <w:rPr>
                <w:rFonts w:cs="Calibri"/>
                <w:lang w:val="es-ES"/>
              </w:rPr>
            </w:pPr>
            <w:r w:rsidRPr="00EB3D94">
              <w:rPr>
                <w:rFonts w:cs="Calibri"/>
                <w:lang w:val="es-ES"/>
              </w:rPr>
              <w:t>Agencia Catalana del Consumo</w:t>
            </w:r>
          </w:p>
        </w:tc>
      </w:tr>
      <w:tr w:rsidR="00EB3D94" w:rsidRPr="00EB3D94" w14:paraId="4D6BEAA8" w14:textId="77777777" w:rsidTr="0001199B">
        <w:trPr>
          <w:trHeight w:val="290"/>
        </w:trPr>
        <w:tc>
          <w:tcPr>
            <w:tcW w:w="8760" w:type="dxa"/>
            <w:tcBorders>
              <w:top w:val="nil"/>
              <w:left w:val="nil"/>
              <w:bottom w:val="nil"/>
              <w:right w:val="nil"/>
            </w:tcBorders>
            <w:shd w:val="clear" w:color="000000" w:fill="FFFFFF"/>
            <w:vAlign w:val="bottom"/>
          </w:tcPr>
          <w:p w14:paraId="2357FC99" w14:textId="2346B79C" w:rsidR="002C2C3E" w:rsidRPr="00EB3D94" w:rsidRDefault="002C2C3E" w:rsidP="002C2C3E">
            <w:pPr>
              <w:rPr>
                <w:rFonts w:cs="Calibri"/>
                <w:lang w:val="es-ES"/>
              </w:rPr>
            </w:pPr>
            <w:r w:rsidRPr="00EB3D94">
              <w:rPr>
                <w:rFonts w:cs="Calibri"/>
              </w:rPr>
              <w:t>Agència Catalana del Patrimoni Cultural</w:t>
            </w:r>
          </w:p>
        </w:tc>
        <w:tc>
          <w:tcPr>
            <w:tcW w:w="8760" w:type="dxa"/>
            <w:tcBorders>
              <w:top w:val="nil"/>
              <w:left w:val="nil"/>
              <w:bottom w:val="nil"/>
              <w:right w:val="nil"/>
            </w:tcBorders>
            <w:shd w:val="clear" w:color="000000" w:fill="FFFFFF"/>
            <w:noWrap/>
            <w:vAlign w:val="bottom"/>
            <w:hideMark/>
          </w:tcPr>
          <w:p w14:paraId="16296748" w14:textId="66D56386" w:rsidR="002C2C3E" w:rsidRPr="00EB3D94" w:rsidRDefault="002C2C3E" w:rsidP="002C2C3E">
            <w:pPr>
              <w:rPr>
                <w:rFonts w:cs="Calibri"/>
                <w:lang w:val="es-ES"/>
              </w:rPr>
            </w:pPr>
            <w:r w:rsidRPr="00EB3D94">
              <w:rPr>
                <w:rFonts w:cs="Calibri"/>
                <w:lang w:val="es-ES"/>
              </w:rPr>
              <w:t>Agencia Catalana del Patrimonio Cultural</w:t>
            </w:r>
          </w:p>
        </w:tc>
      </w:tr>
      <w:tr w:rsidR="00EB3D94" w:rsidRPr="00EB3D94" w14:paraId="2698F91E" w14:textId="77777777" w:rsidTr="0001199B">
        <w:trPr>
          <w:trHeight w:val="290"/>
        </w:trPr>
        <w:tc>
          <w:tcPr>
            <w:tcW w:w="8760" w:type="dxa"/>
            <w:tcBorders>
              <w:top w:val="nil"/>
              <w:left w:val="nil"/>
              <w:bottom w:val="nil"/>
              <w:right w:val="nil"/>
            </w:tcBorders>
            <w:shd w:val="clear" w:color="000000" w:fill="FFFFFF"/>
            <w:vAlign w:val="bottom"/>
          </w:tcPr>
          <w:p w14:paraId="7E3D599F" w14:textId="6AFE9BE2" w:rsidR="002C2C3E" w:rsidRPr="00EB3D94" w:rsidRDefault="002C2C3E" w:rsidP="002C2C3E">
            <w:pPr>
              <w:rPr>
                <w:rFonts w:cs="Calibri"/>
                <w:lang w:val="es-ES"/>
              </w:rPr>
            </w:pPr>
            <w:r w:rsidRPr="00EB3D94">
              <w:rPr>
                <w:rFonts w:cs="Calibri"/>
              </w:rPr>
              <w:t>Agència de Gestió d'Ajuts Universitaris i de Recerca (AGAUR)</w:t>
            </w:r>
          </w:p>
        </w:tc>
        <w:tc>
          <w:tcPr>
            <w:tcW w:w="8760" w:type="dxa"/>
            <w:tcBorders>
              <w:top w:val="nil"/>
              <w:left w:val="nil"/>
              <w:bottom w:val="nil"/>
              <w:right w:val="nil"/>
            </w:tcBorders>
            <w:shd w:val="clear" w:color="000000" w:fill="FFFFFF"/>
            <w:noWrap/>
            <w:vAlign w:val="bottom"/>
            <w:hideMark/>
          </w:tcPr>
          <w:p w14:paraId="4015FD08" w14:textId="01824929" w:rsidR="002C2C3E" w:rsidRPr="00EB3D94" w:rsidRDefault="002C2C3E" w:rsidP="002C2C3E">
            <w:pPr>
              <w:rPr>
                <w:rFonts w:cs="Calibri"/>
                <w:lang w:val="es-ES"/>
              </w:rPr>
            </w:pPr>
            <w:r w:rsidRPr="00EB3D94">
              <w:rPr>
                <w:rFonts w:cs="Calibri"/>
                <w:lang w:val="es-ES"/>
              </w:rPr>
              <w:t>Agencia de Gestión de Ayudas Universitarias y de Investigación</w:t>
            </w:r>
            <w:r w:rsidRPr="00EB3D94">
              <w:rPr>
                <w:rFonts w:cs="Calibri"/>
                <w:vanish/>
                <w:lang w:val="es-ES"/>
              </w:rPr>
              <w:t>&lt;A[Investigación|Búsqueda]&gt;</w:t>
            </w:r>
            <w:r w:rsidRPr="00EB3D94">
              <w:rPr>
                <w:rFonts w:cs="Calibri"/>
                <w:lang w:val="es-ES"/>
              </w:rPr>
              <w:t xml:space="preserve"> (AGAUR)</w:t>
            </w:r>
          </w:p>
        </w:tc>
      </w:tr>
      <w:tr w:rsidR="00EB3D94" w:rsidRPr="00EB3D94" w14:paraId="083D1FEC" w14:textId="77777777" w:rsidTr="0001199B">
        <w:trPr>
          <w:trHeight w:val="290"/>
        </w:trPr>
        <w:tc>
          <w:tcPr>
            <w:tcW w:w="8760" w:type="dxa"/>
            <w:tcBorders>
              <w:top w:val="nil"/>
              <w:left w:val="nil"/>
              <w:bottom w:val="nil"/>
              <w:right w:val="nil"/>
            </w:tcBorders>
            <w:shd w:val="clear" w:color="000000" w:fill="FFFFFF"/>
            <w:vAlign w:val="bottom"/>
          </w:tcPr>
          <w:p w14:paraId="3D125C78" w14:textId="44AF207E" w:rsidR="002C2C3E" w:rsidRPr="00EB3D94" w:rsidRDefault="002C2C3E" w:rsidP="002C2C3E">
            <w:pPr>
              <w:rPr>
                <w:rFonts w:cs="Calibri"/>
                <w:lang w:val="es-ES"/>
              </w:rPr>
            </w:pPr>
            <w:r w:rsidRPr="00EB3D94">
              <w:rPr>
                <w:rFonts w:cs="Calibri"/>
              </w:rPr>
              <w:t>Agència de l'Habitatge de Catalunya</w:t>
            </w:r>
          </w:p>
        </w:tc>
        <w:tc>
          <w:tcPr>
            <w:tcW w:w="8760" w:type="dxa"/>
            <w:tcBorders>
              <w:top w:val="nil"/>
              <w:left w:val="nil"/>
              <w:bottom w:val="nil"/>
              <w:right w:val="nil"/>
            </w:tcBorders>
            <w:shd w:val="clear" w:color="000000" w:fill="FFFFFF"/>
            <w:noWrap/>
            <w:vAlign w:val="bottom"/>
            <w:hideMark/>
          </w:tcPr>
          <w:p w14:paraId="5599CC3D" w14:textId="12A41DA7" w:rsidR="002C2C3E" w:rsidRPr="00EB3D94" w:rsidRDefault="002C2C3E" w:rsidP="002C2C3E">
            <w:pPr>
              <w:rPr>
                <w:rFonts w:cs="Calibri"/>
                <w:lang w:val="es-ES"/>
              </w:rPr>
            </w:pPr>
            <w:r w:rsidRPr="00EB3D94">
              <w:rPr>
                <w:rFonts w:cs="Calibri"/>
                <w:lang w:val="es-ES"/>
              </w:rPr>
              <w:t>Agencia de la Vivienda de Cataluña</w:t>
            </w:r>
          </w:p>
        </w:tc>
      </w:tr>
      <w:tr w:rsidR="00EB3D94" w:rsidRPr="00EB3D94" w14:paraId="57BAA43C" w14:textId="77777777" w:rsidTr="0001199B">
        <w:trPr>
          <w:trHeight w:val="290"/>
        </w:trPr>
        <w:tc>
          <w:tcPr>
            <w:tcW w:w="8760" w:type="dxa"/>
            <w:tcBorders>
              <w:top w:val="nil"/>
              <w:left w:val="nil"/>
              <w:bottom w:val="nil"/>
              <w:right w:val="nil"/>
            </w:tcBorders>
            <w:shd w:val="clear" w:color="000000" w:fill="FFFFFF"/>
            <w:vAlign w:val="bottom"/>
          </w:tcPr>
          <w:p w14:paraId="2F5064F8" w14:textId="0D7E5120" w:rsidR="002C2C3E" w:rsidRPr="00EB3D94" w:rsidRDefault="002C2C3E" w:rsidP="002C2C3E">
            <w:pPr>
              <w:rPr>
                <w:rFonts w:cs="Calibri"/>
                <w:lang w:val="es-ES"/>
              </w:rPr>
            </w:pPr>
            <w:r w:rsidRPr="00EB3D94">
              <w:rPr>
                <w:rFonts w:cs="Calibri"/>
              </w:rPr>
              <w:t>Agència de Qualitat i Avaluació Sanitàries de Catalunya</w:t>
            </w:r>
          </w:p>
        </w:tc>
        <w:tc>
          <w:tcPr>
            <w:tcW w:w="8760" w:type="dxa"/>
            <w:tcBorders>
              <w:top w:val="nil"/>
              <w:left w:val="nil"/>
              <w:bottom w:val="nil"/>
              <w:right w:val="nil"/>
            </w:tcBorders>
            <w:shd w:val="clear" w:color="000000" w:fill="FFFFFF"/>
            <w:noWrap/>
            <w:vAlign w:val="bottom"/>
            <w:hideMark/>
          </w:tcPr>
          <w:p w14:paraId="2BFE5975" w14:textId="04724868" w:rsidR="002C2C3E" w:rsidRPr="00EB3D94" w:rsidRDefault="002C2C3E" w:rsidP="002C2C3E">
            <w:pPr>
              <w:rPr>
                <w:rFonts w:cs="Calibri"/>
                <w:lang w:val="es-ES"/>
              </w:rPr>
            </w:pPr>
            <w:r w:rsidRPr="00EB3D94">
              <w:rPr>
                <w:rFonts w:cs="Calibri"/>
                <w:lang w:val="es-ES"/>
              </w:rPr>
              <w:t>Agencia de Calidad y Evaluación Sanitarias de Cataluña</w:t>
            </w:r>
          </w:p>
        </w:tc>
      </w:tr>
      <w:tr w:rsidR="00EB3D94" w:rsidRPr="00EB3D94" w14:paraId="3B4EFED9" w14:textId="77777777" w:rsidTr="0001199B">
        <w:trPr>
          <w:trHeight w:val="290"/>
        </w:trPr>
        <w:tc>
          <w:tcPr>
            <w:tcW w:w="8760" w:type="dxa"/>
            <w:tcBorders>
              <w:top w:val="nil"/>
              <w:left w:val="nil"/>
              <w:bottom w:val="nil"/>
              <w:right w:val="nil"/>
            </w:tcBorders>
            <w:shd w:val="clear" w:color="000000" w:fill="FFFFFF"/>
            <w:vAlign w:val="bottom"/>
          </w:tcPr>
          <w:p w14:paraId="04BD5DA1" w14:textId="41FAF9D0" w:rsidR="002C2C3E" w:rsidRPr="00EB3D94" w:rsidRDefault="002C2C3E" w:rsidP="002C2C3E">
            <w:pPr>
              <w:rPr>
                <w:rFonts w:cs="Calibri"/>
                <w:lang w:val="es-ES"/>
              </w:rPr>
            </w:pPr>
            <w:r w:rsidRPr="00EB3D94">
              <w:rPr>
                <w:rFonts w:cs="Calibri"/>
              </w:rPr>
              <w:t>Agència de Residus de Catalunya</w:t>
            </w:r>
          </w:p>
        </w:tc>
        <w:tc>
          <w:tcPr>
            <w:tcW w:w="8760" w:type="dxa"/>
            <w:tcBorders>
              <w:top w:val="nil"/>
              <w:left w:val="nil"/>
              <w:bottom w:val="nil"/>
              <w:right w:val="nil"/>
            </w:tcBorders>
            <w:shd w:val="clear" w:color="000000" w:fill="FFFFFF"/>
            <w:noWrap/>
            <w:vAlign w:val="bottom"/>
            <w:hideMark/>
          </w:tcPr>
          <w:p w14:paraId="2E3B7D9F" w14:textId="3A3E57DC" w:rsidR="002C2C3E" w:rsidRPr="00EB3D94" w:rsidRDefault="002C2C3E" w:rsidP="002C2C3E">
            <w:pPr>
              <w:rPr>
                <w:rFonts w:cs="Calibri"/>
                <w:lang w:val="es-ES"/>
              </w:rPr>
            </w:pPr>
            <w:r w:rsidRPr="00EB3D94">
              <w:rPr>
                <w:rFonts w:cs="Calibri"/>
                <w:lang w:val="es-ES"/>
              </w:rPr>
              <w:t>Agencia de Residuos de Cataluña</w:t>
            </w:r>
          </w:p>
        </w:tc>
      </w:tr>
      <w:tr w:rsidR="00EB3D94" w:rsidRPr="00EB3D94" w14:paraId="1C51DE73" w14:textId="77777777" w:rsidTr="0001199B">
        <w:trPr>
          <w:trHeight w:val="290"/>
        </w:trPr>
        <w:tc>
          <w:tcPr>
            <w:tcW w:w="8760" w:type="dxa"/>
            <w:tcBorders>
              <w:top w:val="nil"/>
              <w:left w:val="nil"/>
              <w:bottom w:val="nil"/>
              <w:right w:val="nil"/>
            </w:tcBorders>
            <w:shd w:val="clear" w:color="000000" w:fill="FFFFFF"/>
            <w:vAlign w:val="bottom"/>
          </w:tcPr>
          <w:p w14:paraId="58C85B10" w14:textId="544E7B73" w:rsidR="002C2C3E" w:rsidRPr="00EB3D94" w:rsidRDefault="002C2C3E" w:rsidP="002C2C3E">
            <w:pPr>
              <w:rPr>
                <w:rFonts w:cs="Calibri"/>
                <w:lang w:val="es-ES"/>
              </w:rPr>
            </w:pPr>
            <w:r w:rsidRPr="00EB3D94">
              <w:rPr>
                <w:rFonts w:cs="Calibri"/>
              </w:rPr>
              <w:t>Agència per a la Competitivitat de l’Empresa</w:t>
            </w:r>
          </w:p>
        </w:tc>
        <w:tc>
          <w:tcPr>
            <w:tcW w:w="8760" w:type="dxa"/>
            <w:tcBorders>
              <w:top w:val="nil"/>
              <w:left w:val="nil"/>
              <w:bottom w:val="nil"/>
              <w:right w:val="nil"/>
            </w:tcBorders>
            <w:shd w:val="clear" w:color="000000" w:fill="FFFFFF"/>
            <w:noWrap/>
            <w:vAlign w:val="bottom"/>
            <w:hideMark/>
          </w:tcPr>
          <w:p w14:paraId="6093AC9D" w14:textId="6FBDA0A2" w:rsidR="002C2C3E" w:rsidRPr="00EB3D94" w:rsidRDefault="002C2C3E" w:rsidP="002C2C3E">
            <w:pPr>
              <w:rPr>
                <w:rFonts w:cs="Calibri"/>
                <w:lang w:val="es-ES"/>
              </w:rPr>
            </w:pPr>
            <w:r w:rsidRPr="00EB3D94">
              <w:rPr>
                <w:rFonts w:cs="Calibri"/>
                <w:lang w:val="es-ES"/>
              </w:rPr>
              <w:t>Agencia para la Competitividad de la Empresa</w:t>
            </w:r>
          </w:p>
        </w:tc>
      </w:tr>
      <w:tr w:rsidR="00EB3D94" w:rsidRPr="00EB3D94" w14:paraId="39130874" w14:textId="77777777" w:rsidTr="0001199B">
        <w:trPr>
          <w:trHeight w:val="290"/>
        </w:trPr>
        <w:tc>
          <w:tcPr>
            <w:tcW w:w="8760" w:type="dxa"/>
            <w:tcBorders>
              <w:top w:val="nil"/>
              <w:left w:val="nil"/>
              <w:bottom w:val="nil"/>
              <w:right w:val="nil"/>
            </w:tcBorders>
            <w:shd w:val="clear" w:color="000000" w:fill="FFFFFF"/>
            <w:vAlign w:val="bottom"/>
          </w:tcPr>
          <w:p w14:paraId="3CB57E3B" w14:textId="61E2D147" w:rsidR="002C2C3E" w:rsidRPr="00EB3D94" w:rsidRDefault="002C2C3E" w:rsidP="002C2C3E">
            <w:pPr>
              <w:rPr>
                <w:rFonts w:cs="Calibri"/>
                <w:lang w:val="es-ES"/>
              </w:rPr>
            </w:pPr>
            <w:r w:rsidRPr="00EB3D94">
              <w:rPr>
                <w:rFonts w:cs="Calibri"/>
              </w:rPr>
              <w:t>Agència per a la Qualitat del Sistema Universitari de Catalunya</w:t>
            </w:r>
          </w:p>
        </w:tc>
        <w:tc>
          <w:tcPr>
            <w:tcW w:w="8760" w:type="dxa"/>
            <w:tcBorders>
              <w:top w:val="nil"/>
              <w:left w:val="nil"/>
              <w:bottom w:val="nil"/>
              <w:right w:val="nil"/>
            </w:tcBorders>
            <w:shd w:val="clear" w:color="000000" w:fill="FFFFFF"/>
            <w:noWrap/>
            <w:vAlign w:val="bottom"/>
            <w:hideMark/>
          </w:tcPr>
          <w:p w14:paraId="0BCFAC56" w14:textId="195A6A87" w:rsidR="002C2C3E" w:rsidRPr="00EB3D94" w:rsidRDefault="002C2C3E" w:rsidP="002C2C3E">
            <w:pPr>
              <w:rPr>
                <w:rFonts w:cs="Calibri"/>
                <w:lang w:val="es-ES"/>
              </w:rPr>
            </w:pPr>
            <w:r w:rsidRPr="00EB3D94">
              <w:rPr>
                <w:rFonts w:cs="Calibri"/>
                <w:lang w:val="es-ES"/>
              </w:rPr>
              <w:t>Agencia para la Calidad del Sistema Universitario de Cataluña</w:t>
            </w:r>
          </w:p>
        </w:tc>
      </w:tr>
      <w:tr w:rsidR="00EB3D94" w:rsidRPr="00EB3D94" w14:paraId="46396C52" w14:textId="77777777" w:rsidTr="0001199B">
        <w:trPr>
          <w:trHeight w:val="290"/>
        </w:trPr>
        <w:tc>
          <w:tcPr>
            <w:tcW w:w="8760" w:type="dxa"/>
            <w:tcBorders>
              <w:top w:val="nil"/>
              <w:left w:val="nil"/>
              <w:bottom w:val="nil"/>
              <w:right w:val="nil"/>
            </w:tcBorders>
            <w:shd w:val="clear" w:color="000000" w:fill="FFFFFF"/>
            <w:vAlign w:val="bottom"/>
          </w:tcPr>
          <w:p w14:paraId="54ECC84A" w14:textId="55837D37" w:rsidR="002C2C3E" w:rsidRPr="00EB3D94" w:rsidRDefault="002C2C3E" w:rsidP="002C2C3E">
            <w:pPr>
              <w:rPr>
                <w:rFonts w:cs="Calibri"/>
                <w:lang w:val="es-ES"/>
              </w:rPr>
            </w:pPr>
            <w:r w:rsidRPr="00EB3D94">
              <w:rPr>
                <w:rFonts w:cs="Calibri"/>
              </w:rPr>
              <w:t>Agència Pública de Formació i Qualificació Professionals de Catalunya</w:t>
            </w:r>
          </w:p>
        </w:tc>
        <w:tc>
          <w:tcPr>
            <w:tcW w:w="8760" w:type="dxa"/>
            <w:tcBorders>
              <w:top w:val="nil"/>
              <w:left w:val="nil"/>
              <w:bottom w:val="nil"/>
              <w:right w:val="nil"/>
            </w:tcBorders>
            <w:shd w:val="clear" w:color="000000" w:fill="FFFFFF"/>
            <w:noWrap/>
            <w:vAlign w:val="bottom"/>
            <w:hideMark/>
          </w:tcPr>
          <w:p w14:paraId="2A38203C" w14:textId="19B87853" w:rsidR="002C2C3E" w:rsidRPr="00EB3D94" w:rsidRDefault="002C2C3E" w:rsidP="002C2C3E">
            <w:pPr>
              <w:rPr>
                <w:rFonts w:cs="Calibri"/>
                <w:lang w:val="es-ES"/>
              </w:rPr>
            </w:pPr>
            <w:r w:rsidRPr="00EB3D94">
              <w:rPr>
                <w:rFonts w:cs="Calibri"/>
                <w:lang w:val="es-ES"/>
              </w:rPr>
              <w:t>Agencia Pública de Formación y Calificación Profesionales de Cataluña</w:t>
            </w:r>
          </w:p>
        </w:tc>
      </w:tr>
      <w:tr w:rsidR="00EB3D94" w:rsidRPr="00EB3D94" w14:paraId="4C5B5D5D" w14:textId="77777777" w:rsidTr="0001199B">
        <w:trPr>
          <w:trHeight w:val="290"/>
        </w:trPr>
        <w:tc>
          <w:tcPr>
            <w:tcW w:w="8760" w:type="dxa"/>
            <w:tcBorders>
              <w:top w:val="nil"/>
              <w:left w:val="nil"/>
              <w:bottom w:val="nil"/>
              <w:right w:val="nil"/>
            </w:tcBorders>
            <w:shd w:val="clear" w:color="000000" w:fill="FFFFFF"/>
            <w:vAlign w:val="bottom"/>
          </w:tcPr>
          <w:p w14:paraId="38D4A2CF" w14:textId="30677A74" w:rsidR="002C2C3E" w:rsidRPr="00EB3D94" w:rsidRDefault="002C2C3E" w:rsidP="002C2C3E">
            <w:pPr>
              <w:rPr>
                <w:rFonts w:cs="Calibri"/>
                <w:lang w:val="es-ES"/>
              </w:rPr>
            </w:pPr>
            <w:r w:rsidRPr="00EB3D94">
              <w:rPr>
                <w:rFonts w:cs="Calibri"/>
              </w:rPr>
              <w:t>Agència Tributària de Catalunya</w:t>
            </w:r>
          </w:p>
        </w:tc>
        <w:tc>
          <w:tcPr>
            <w:tcW w:w="8760" w:type="dxa"/>
            <w:tcBorders>
              <w:top w:val="nil"/>
              <w:left w:val="nil"/>
              <w:bottom w:val="nil"/>
              <w:right w:val="nil"/>
            </w:tcBorders>
            <w:shd w:val="clear" w:color="000000" w:fill="FFFFFF"/>
            <w:noWrap/>
            <w:vAlign w:val="bottom"/>
            <w:hideMark/>
          </w:tcPr>
          <w:p w14:paraId="23FD6D6B" w14:textId="1ACCAB4F" w:rsidR="002C2C3E" w:rsidRPr="00EB3D94" w:rsidRDefault="002C2C3E" w:rsidP="002C2C3E">
            <w:pPr>
              <w:rPr>
                <w:rFonts w:cs="Calibri"/>
                <w:lang w:val="es-ES"/>
              </w:rPr>
            </w:pPr>
            <w:r w:rsidRPr="00EB3D94">
              <w:rPr>
                <w:rFonts w:cs="Calibri"/>
                <w:lang w:val="es-ES"/>
              </w:rPr>
              <w:t>Agencia Tributaria de Cataluña</w:t>
            </w:r>
          </w:p>
        </w:tc>
      </w:tr>
      <w:tr w:rsidR="00EB3D94" w:rsidRPr="00EB3D94" w14:paraId="3962870E" w14:textId="77777777" w:rsidTr="0001199B">
        <w:trPr>
          <w:trHeight w:val="290"/>
        </w:trPr>
        <w:tc>
          <w:tcPr>
            <w:tcW w:w="8760" w:type="dxa"/>
            <w:tcBorders>
              <w:top w:val="nil"/>
              <w:left w:val="nil"/>
              <w:bottom w:val="nil"/>
              <w:right w:val="nil"/>
            </w:tcBorders>
            <w:shd w:val="clear" w:color="000000" w:fill="FFFFFF"/>
            <w:vAlign w:val="bottom"/>
          </w:tcPr>
          <w:p w14:paraId="71E5717F" w14:textId="0CD174F5" w:rsidR="002C2C3E" w:rsidRPr="00EB3D94" w:rsidRDefault="002C2C3E" w:rsidP="002C2C3E">
            <w:pPr>
              <w:rPr>
                <w:rFonts w:cs="Calibri"/>
                <w:lang w:val="es-ES"/>
              </w:rPr>
            </w:pPr>
            <w:r w:rsidRPr="00EB3D94">
              <w:rPr>
                <w:rFonts w:cs="Calibri"/>
              </w:rPr>
              <w:t>Autoritat Catalana de la Competència</w:t>
            </w:r>
          </w:p>
        </w:tc>
        <w:tc>
          <w:tcPr>
            <w:tcW w:w="8760" w:type="dxa"/>
            <w:tcBorders>
              <w:top w:val="nil"/>
              <w:left w:val="nil"/>
              <w:bottom w:val="nil"/>
              <w:right w:val="nil"/>
            </w:tcBorders>
            <w:shd w:val="clear" w:color="000000" w:fill="FFFFFF"/>
            <w:noWrap/>
            <w:vAlign w:val="bottom"/>
            <w:hideMark/>
          </w:tcPr>
          <w:p w14:paraId="68199B2A" w14:textId="5076A003" w:rsidR="002C2C3E" w:rsidRPr="00EB3D94" w:rsidRDefault="002C2C3E" w:rsidP="002C2C3E">
            <w:pPr>
              <w:rPr>
                <w:rFonts w:cs="Calibri"/>
                <w:lang w:val="es-ES"/>
              </w:rPr>
            </w:pPr>
            <w:r w:rsidRPr="00EB3D94">
              <w:rPr>
                <w:rFonts w:cs="Calibri"/>
                <w:lang w:val="es-ES"/>
              </w:rPr>
              <w:t>Autoridad Catalana de la Competencia</w:t>
            </w:r>
          </w:p>
        </w:tc>
      </w:tr>
      <w:tr w:rsidR="00EB3D94" w:rsidRPr="00EB3D94" w14:paraId="2B15CFD8" w14:textId="77777777" w:rsidTr="0001199B">
        <w:trPr>
          <w:trHeight w:val="290"/>
        </w:trPr>
        <w:tc>
          <w:tcPr>
            <w:tcW w:w="8760" w:type="dxa"/>
            <w:tcBorders>
              <w:top w:val="nil"/>
              <w:left w:val="nil"/>
              <w:bottom w:val="nil"/>
              <w:right w:val="nil"/>
            </w:tcBorders>
            <w:shd w:val="clear" w:color="000000" w:fill="FFFFFF"/>
            <w:vAlign w:val="bottom"/>
          </w:tcPr>
          <w:p w14:paraId="56BC0525" w14:textId="5A80930D" w:rsidR="002C2C3E" w:rsidRPr="00EB3D94" w:rsidRDefault="002C2C3E" w:rsidP="002C2C3E">
            <w:pPr>
              <w:rPr>
                <w:rFonts w:cs="Calibri"/>
                <w:lang w:val="es-ES"/>
              </w:rPr>
            </w:pPr>
            <w:r w:rsidRPr="00EB3D94">
              <w:rPr>
                <w:rFonts w:cs="Calibri"/>
              </w:rPr>
              <w:t>Autoritat del Transport Metropolità, de Barcelona</w:t>
            </w:r>
          </w:p>
        </w:tc>
        <w:tc>
          <w:tcPr>
            <w:tcW w:w="8760" w:type="dxa"/>
            <w:tcBorders>
              <w:top w:val="nil"/>
              <w:left w:val="nil"/>
              <w:bottom w:val="nil"/>
              <w:right w:val="nil"/>
            </w:tcBorders>
            <w:shd w:val="clear" w:color="000000" w:fill="FFFFFF"/>
            <w:noWrap/>
            <w:vAlign w:val="bottom"/>
            <w:hideMark/>
          </w:tcPr>
          <w:p w14:paraId="13E3F40A" w14:textId="0A40103F" w:rsidR="002C2C3E" w:rsidRPr="00EB3D94" w:rsidRDefault="002C2C3E" w:rsidP="002C2C3E">
            <w:pPr>
              <w:rPr>
                <w:rFonts w:cs="Calibri"/>
                <w:lang w:val="es-ES"/>
              </w:rPr>
            </w:pPr>
            <w:r w:rsidRPr="00EB3D94">
              <w:rPr>
                <w:rFonts w:cs="Calibri"/>
                <w:lang w:val="es-ES"/>
              </w:rPr>
              <w:t>Autoridad del Transporte Metropolitano, de Barcelona</w:t>
            </w:r>
          </w:p>
        </w:tc>
      </w:tr>
      <w:tr w:rsidR="00EB3D94" w:rsidRPr="00EB3D94" w14:paraId="0AFFFE78" w14:textId="77777777" w:rsidTr="0001199B">
        <w:trPr>
          <w:trHeight w:val="290"/>
        </w:trPr>
        <w:tc>
          <w:tcPr>
            <w:tcW w:w="8760" w:type="dxa"/>
            <w:tcBorders>
              <w:top w:val="nil"/>
              <w:left w:val="nil"/>
              <w:bottom w:val="nil"/>
              <w:right w:val="nil"/>
            </w:tcBorders>
            <w:shd w:val="clear" w:color="000000" w:fill="FFFFFF"/>
            <w:vAlign w:val="bottom"/>
          </w:tcPr>
          <w:p w14:paraId="52CFBA67" w14:textId="11962E78" w:rsidR="002C2C3E" w:rsidRPr="00EB3D94" w:rsidRDefault="002C2C3E" w:rsidP="002C2C3E">
            <w:pPr>
              <w:rPr>
                <w:rFonts w:cs="Calibri"/>
                <w:lang w:val="es-ES"/>
              </w:rPr>
            </w:pPr>
            <w:r w:rsidRPr="00EB3D94">
              <w:rPr>
                <w:rFonts w:cs="Calibri"/>
              </w:rPr>
              <w:t>Banc de Sang i Teixits</w:t>
            </w:r>
          </w:p>
        </w:tc>
        <w:tc>
          <w:tcPr>
            <w:tcW w:w="8760" w:type="dxa"/>
            <w:tcBorders>
              <w:top w:val="nil"/>
              <w:left w:val="nil"/>
              <w:bottom w:val="nil"/>
              <w:right w:val="nil"/>
            </w:tcBorders>
            <w:shd w:val="clear" w:color="000000" w:fill="FFFFFF"/>
            <w:noWrap/>
            <w:vAlign w:val="bottom"/>
            <w:hideMark/>
          </w:tcPr>
          <w:p w14:paraId="7ED34B63" w14:textId="061E487E" w:rsidR="002C2C3E" w:rsidRPr="00EB3D94" w:rsidRDefault="002C2C3E" w:rsidP="002C2C3E">
            <w:pPr>
              <w:rPr>
                <w:rFonts w:cs="Calibri"/>
                <w:lang w:val="es-ES"/>
              </w:rPr>
            </w:pPr>
            <w:r w:rsidRPr="00EB3D94">
              <w:rPr>
                <w:rFonts w:cs="Calibri"/>
                <w:lang w:val="es-ES"/>
              </w:rPr>
              <w:t>Banco de Sangre y Tejidos</w:t>
            </w:r>
          </w:p>
        </w:tc>
      </w:tr>
      <w:tr w:rsidR="00EB3D94" w:rsidRPr="00EB3D94" w14:paraId="254395C4" w14:textId="77777777" w:rsidTr="0001199B">
        <w:trPr>
          <w:trHeight w:val="290"/>
        </w:trPr>
        <w:tc>
          <w:tcPr>
            <w:tcW w:w="8760" w:type="dxa"/>
            <w:tcBorders>
              <w:top w:val="nil"/>
              <w:left w:val="nil"/>
              <w:bottom w:val="nil"/>
              <w:right w:val="nil"/>
            </w:tcBorders>
            <w:shd w:val="clear" w:color="000000" w:fill="FFFFFF"/>
            <w:vAlign w:val="bottom"/>
          </w:tcPr>
          <w:p w14:paraId="4DF4AC47" w14:textId="498175C7" w:rsidR="002C2C3E" w:rsidRPr="00EB3D94" w:rsidRDefault="002C2C3E" w:rsidP="002C2C3E">
            <w:pPr>
              <w:rPr>
                <w:rFonts w:cs="Calibri"/>
                <w:lang w:val="es-ES"/>
              </w:rPr>
            </w:pPr>
            <w:r w:rsidRPr="00EB3D94">
              <w:rPr>
                <w:rFonts w:cs="Calibri"/>
              </w:rPr>
              <w:t>Biblioteca de Catalunya</w:t>
            </w:r>
          </w:p>
        </w:tc>
        <w:tc>
          <w:tcPr>
            <w:tcW w:w="8760" w:type="dxa"/>
            <w:tcBorders>
              <w:top w:val="nil"/>
              <w:left w:val="nil"/>
              <w:bottom w:val="nil"/>
              <w:right w:val="nil"/>
            </w:tcBorders>
            <w:shd w:val="clear" w:color="000000" w:fill="FFFFFF"/>
            <w:noWrap/>
            <w:vAlign w:val="bottom"/>
            <w:hideMark/>
          </w:tcPr>
          <w:p w14:paraId="19D1EB7B" w14:textId="062ED6D7" w:rsidR="002C2C3E" w:rsidRPr="00EB3D94" w:rsidRDefault="002C2C3E" w:rsidP="002C2C3E">
            <w:pPr>
              <w:rPr>
                <w:rFonts w:cs="Calibri"/>
                <w:lang w:val="es-ES"/>
              </w:rPr>
            </w:pPr>
            <w:r w:rsidRPr="00EB3D94">
              <w:rPr>
                <w:rFonts w:cs="Calibri"/>
                <w:lang w:val="es-ES"/>
              </w:rPr>
              <w:t>Biblioteca de Cataluña</w:t>
            </w:r>
          </w:p>
        </w:tc>
      </w:tr>
      <w:tr w:rsidR="00EB3D94" w:rsidRPr="00EB3D94" w14:paraId="0E6AFB00" w14:textId="77777777" w:rsidTr="0001199B">
        <w:trPr>
          <w:trHeight w:val="290"/>
        </w:trPr>
        <w:tc>
          <w:tcPr>
            <w:tcW w:w="8760" w:type="dxa"/>
            <w:tcBorders>
              <w:top w:val="nil"/>
              <w:left w:val="nil"/>
              <w:bottom w:val="nil"/>
              <w:right w:val="nil"/>
            </w:tcBorders>
            <w:shd w:val="clear" w:color="000000" w:fill="FFFFFF"/>
            <w:vAlign w:val="bottom"/>
          </w:tcPr>
          <w:p w14:paraId="1D3297EE" w14:textId="06903860" w:rsidR="002C2C3E" w:rsidRPr="00EB3D94" w:rsidRDefault="002C2C3E" w:rsidP="002C2C3E">
            <w:pPr>
              <w:rPr>
                <w:rFonts w:cs="Calibri"/>
                <w:lang w:val="es-ES"/>
              </w:rPr>
            </w:pPr>
            <w:r w:rsidRPr="00EB3D94">
              <w:rPr>
                <w:rFonts w:cs="Calibri"/>
              </w:rPr>
              <w:t>Centrals i Infraestructures per a la Mobilitat i les Activitats Logístiques, SAU (CIMALSA)</w:t>
            </w:r>
          </w:p>
        </w:tc>
        <w:tc>
          <w:tcPr>
            <w:tcW w:w="8760" w:type="dxa"/>
            <w:tcBorders>
              <w:top w:val="nil"/>
              <w:left w:val="nil"/>
              <w:bottom w:val="nil"/>
              <w:right w:val="nil"/>
            </w:tcBorders>
            <w:shd w:val="clear" w:color="000000" w:fill="FFFFFF"/>
            <w:noWrap/>
            <w:vAlign w:val="bottom"/>
            <w:hideMark/>
          </w:tcPr>
          <w:p w14:paraId="2CD55001" w14:textId="3E820625" w:rsidR="002C2C3E" w:rsidRPr="00EB3D94" w:rsidRDefault="002C2C3E" w:rsidP="002C2C3E">
            <w:pPr>
              <w:rPr>
                <w:rFonts w:cs="Calibri"/>
                <w:lang w:val="es-ES"/>
              </w:rPr>
            </w:pPr>
            <w:r w:rsidRPr="00EB3D94">
              <w:rPr>
                <w:rFonts w:cs="Calibri"/>
                <w:lang w:val="es-ES"/>
              </w:rPr>
              <w:t>Centrales e Infraestructuras para la Movilidad y las Actividades Logísticas, SAU (CIMALSA)</w:t>
            </w:r>
          </w:p>
        </w:tc>
      </w:tr>
      <w:tr w:rsidR="00EB3D94" w:rsidRPr="00EB3D94" w14:paraId="65CF9AA4" w14:textId="77777777" w:rsidTr="0001199B">
        <w:trPr>
          <w:trHeight w:val="290"/>
        </w:trPr>
        <w:tc>
          <w:tcPr>
            <w:tcW w:w="8760" w:type="dxa"/>
            <w:tcBorders>
              <w:top w:val="nil"/>
              <w:left w:val="nil"/>
              <w:bottom w:val="nil"/>
              <w:right w:val="nil"/>
            </w:tcBorders>
            <w:shd w:val="clear" w:color="000000" w:fill="FFFFFF"/>
            <w:vAlign w:val="bottom"/>
          </w:tcPr>
          <w:p w14:paraId="190BFDA1" w14:textId="65CF6F9F" w:rsidR="002C2C3E" w:rsidRPr="00EB3D94" w:rsidRDefault="002C2C3E" w:rsidP="002C2C3E">
            <w:pPr>
              <w:rPr>
                <w:rFonts w:cs="Calibri"/>
                <w:lang w:val="es-ES"/>
              </w:rPr>
            </w:pPr>
            <w:r w:rsidRPr="00EB3D94">
              <w:rPr>
                <w:rFonts w:cs="Calibri"/>
              </w:rPr>
              <w:t>Centre d'Alt Rendiment Esportiu (CAR)</w:t>
            </w:r>
          </w:p>
        </w:tc>
        <w:tc>
          <w:tcPr>
            <w:tcW w:w="8760" w:type="dxa"/>
            <w:tcBorders>
              <w:top w:val="nil"/>
              <w:left w:val="nil"/>
              <w:bottom w:val="nil"/>
              <w:right w:val="nil"/>
            </w:tcBorders>
            <w:shd w:val="clear" w:color="000000" w:fill="FFFFFF"/>
            <w:noWrap/>
            <w:vAlign w:val="bottom"/>
            <w:hideMark/>
          </w:tcPr>
          <w:p w14:paraId="392BF12A" w14:textId="38FB3AD0" w:rsidR="002C2C3E" w:rsidRPr="00EB3D94" w:rsidRDefault="002C2C3E" w:rsidP="002C2C3E">
            <w:pPr>
              <w:rPr>
                <w:rFonts w:cs="Calibri"/>
                <w:lang w:val="es-ES"/>
              </w:rPr>
            </w:pPr>
            <w:r w:rsidRPr="00EB3D94">
              <w:rPr>
                <w:rFonts w:cs="Calibri"/>
                <w:lang w:val="es-ES"/>
              </w:rPr>
              <w:t>Centro de Alto Rendimiento Deportivo (CARO)</w:t>
            </w:r>
          </w:p>
        </w:tc>
      </w:tr>
      <w:tr w:rsidR="00EB3D94" w:rsidRPr="00EB3D94" w14:paraId="25F35FBA" w14:textId="77777777" w:rsidTr="0001199B">
        <w:trPr>
          <w:trHeight w:val="290"/>
        </w:trPr>
        <w:tc>
          <w:tcPr>
            <w:tcW w:w="8760" w:type="dxa"/>
            <w:tcBorders>
              <w:top w:val="nil"/>
              <w:left w:val="nil"/>
              <w:bottom w:val="nil"/>
              <w:right w:val="nil"/>
            </w:tcBorders>
            <w:shd w:val="clear" w:color="000000" w:fill="FFFFFF"/>
            <w:vAlign w:val="bottom"/>
          </w:tcPr>
          <w:p w14:paraId="37D4AD5C" w14:textId="61FA222B" w:rsidR="002C2C3E" w:rsidRPr="00EB3D94" w:rsidRDefault="002C2C3E" w:rsidP="002C2C3E">
            <w:pPr>
              <w:rPr>
                <w:rFonts w:cs="Calibri"/>
                <w:lang w:val="es-ES"/>
              </w:rPr>
            </w:pPr>
            <w:r w:rsidRPr="00EB3D94">
              <w:rPr>
                <w:rFonts w:cs="Calibri"/>
              </w:rPr>
              <w:t>Centre de la Propietat Forestal</w:t>
            </w:r>
          </w:p>
        </w:tc>
        <w:tc>
          <w:tcPr>
            <w:tcW w:w="8760" w:type="dxa"/>
            <w:tcBorders>
              <w:top w:val="nil"/>
              <w:left w:val="nil"/>
              <w:bottom w:val="nil"/>
              <w:right w:val="nil"/>
            </w:tcBorders>
            <w:shd w:val="clear" w:color="000000" w:fill="FFFFFF"/>
            <w:noWrap/>
            <w:vAlign w:val="bottom"/>
            <w:hideMark/>
          </w:tcPr>
          <w:p w14:paraId="686C833B" w14:textId="7C0DC893" w:rsidR="002C2C3E" w:rsidRPr="00EB3D94" w:rsidRDefault="002C2C3E" w:rsidP="002C2C3E">
            <w:pPr>
              <w:rPr>
                <w:rFonts w:cs="Calibri"/>
                <w:lang w:val="es-ES"/>
              </w:rPr>
            </w:pPr>
            <w:r w:rsidRPr="00EB3D94">
              <w:rPr>
                <w:rFonts w:cs="Calibri"/>
                <w:lang w:val="es-ES"/>
              </w:rPr>
              <w:t>Centro de la Propiedad Forestal</w:t>
            </w:r>
          </w:p>
        </w:tc>
      </w:tr>
      <w:tr w:rsidR="00EB3D94" w:rsidRPr="00EB3D94" w14:paraId="5C85719C" w14:textId="77777777" w:rsidTr="0001199B">
        <w:trPr>
          <w:trHeight w:val="290"/>
        </w:trPr>
        <w:tc>
          <w:tcPr>
            <w:tcW w:w="8760" w:type="dxa"/>
            <w:tcBorders>
              <w:top w:val="nil"/>
              <w:left w:val="nil"/>
              <w:bottom w:val="nil"/>
              <w:right w:val="nil"/>
            </w:tcBorders>
            <w:shd w:val="clear" w:color="000000" w:fill="FFFFFF"/>
            <w:vAlign w:val="bottom"/>
          </w:tcPr>
          <w:p w14:paraId="50DF53B9" w14:textId="53FDABAE" w:rsidR="002C2C3E" w:rsidRPr="00EB3D94" w:rsidRDefault="002C2C3E" w:rsidP="002C2C3E">
            <w:pPr>
              <w:rPr>
                <w:rFonts w:cs="Calibri"/>
                <w:lang w:val="es-ES"/>
              </w:rPr>
            </w:pPr>
            <w:r w:rsidRPr="00EB3D94">
              <w:rPr>
                <w:rFonts w:cs="Calibri"/>
              </w:rPr>
              <w:t>Centre de Telecomunicacions i Tecnologies de la Informació de la Generalitat de Catalunya</w:t>
            </w:r>
          </w:p>
        </w:tc>
        <w:tc>
          <w:tcPr>
            <w:tcW w:w="8760" w:type="dxa"/>
            <w:tcBorders>
              <w:top w:val="nil"/>
              <w:left w:val="nil"/>
              <w:bottom w:val="nil"/>
              <w:right w:val="nil"/>
            </w:tcBorders>
            <w:shd w:val="clear" w:color="000000" w:fill="FFFFFF"/>
            <w:noWrap/>
            <w:vAlign w:val="bottom"/>
            <w:hideMark/>
          </w:tcPr>
          <w:p w14:paraId="04AC2EA0" w14:textId="750B62EF" w:rsidR="002C2C3E" w:rsidRPr="00EB3D94" w:rsidRDefault="002C2C3E" w:rsidP="002C2C3E">
            <w:pPr>
              <w:rPr>
                <w:rFonts w:cs="Calibri"/>
                <w:lang w:val="es-ES"/>
              </w:rPr>
            </w:pPr>
            <w:r w:rsidRPr="00EB3D94">
              <w:rPr>
                <w:rFonts w:cs="Calibri"/>
                <w:lang w:val="es-ES"/>
              </w:rPr>
              <w:t>Centro de Telecomunicaciones y Tecnologías de la Información de la Generalitat de Catalunya</w:t>
            </w:r>
          </w:p>
        </w:tc>
      </w:tr>
      <w:tr w:rsidR="00EB3D94" w:rsidRPr="00EB3D94" w14:paraId="546DCC57" w14:textId="77777777" w:rsidTr="0001199B">
        <w:trPr>
          <w:trHeight w:val="290"/>
        </w:trPr>
        <w:tc>
          <w:tcPr>
            <w:tcW w:w="8760" w:type="dxa"/>
            <w:tcBorders>
              <w:top w:val="nil"/>
              <w:left w:val="nil"/>
              <w:bottom w:val="nil"/>
              <w:right w:val="nil"/>
            </w:tcBorders>
            <w:shd w:val="clear" w:color="000000" w:fill="FFFFFF"/>
            <w:vAlign w:val="bottom"/>
          </w:tcPr>
          <w:p w14:paraId="4CF21C60" w14:textId="45B006CE" w:rsidR="002C2C3E" w:rsidRPr="00EB3D94" w:rsidRDefault="002C2C3E" w:rsidP="002C2C3E">
            <w:pPr>
              <w:rPr>
                <w:rFonts w:cs="Calibri"/>
                <w:lang w:val="es-ES"/>
              </w:rPr>
            </w:pPr>
            <w:r w:rsidRPr="00EB3D94">
              <w:rPr>
                <w:rFonts w:cs="Calibri"/>
              </w:rPr>
              <w:t>Centre d'Estudis d'Opinió</w:t>
            </w:r>
          </w:p>
        </w:tc>
        <w:tc>
          <w:tcPr>
            <w:tcW w:w="8760" w:type="dxa"/>
            <w:tcBorders>
              <w:top w:val="nil"/>
              <w:left w:val="nil"/>
              <w:bottom w:val="nil"/>
              <w:right w:val="nil"/>
            </w:tcBorders>
            <w:shd w:val="clear" w:color="000000" w:fill="FFFFFF"/>
            <w:noWrap/>
            <w:vAlign w:val="bottom"/>
            <w:hideMark/>
          </w:tcPr>
          <w:p w14:paraId="06646470" w14:textId="229BC570" w:rsidR="002C2C3E" w:rsidRPr="00EB3D94" w:rsidRDefault="002C2C3E" w:rsidP="002C2C3E">
            <w:pPr>
              <w:rPr>
                <w:rFonts w:cs="Calibri"/>
                <w:lang w:val="es-ES"/>
              </w:rPr>
            </w:pPr>
            <w:r w:rsidRPr="00EB3D94">
              <w:rPr>
                <w:rFonts w:cs="Calibri"/>
                <w:lang w:val="es-ES"/>
              </w:rPr>
              <w:t>Centro de Estudios de Opinión</w:t>
            </w:r>
          </w:p>
        </w:tc>
      </w:tr>
      <w:tr w:rsidR="00EB3D94" w:rsidRPr="00EB3D94" w14:paraId="5C0AE76D" w14:textId="77777777" w:rsidTr="0001199B">
        <w:trPr>
          <w:trHeight w:val="290"/>
        </w:trPr>
        <w:tc>
          <w:tcPr>
            <w:tcW w:w="8760" w:type="dxa"/>
            <w:tcBorders>
              <w:top w:val="nil"/>
              <w:left w:val="nil"/>
              <w:bottom w:val="nil"/>
              <w:right w:val="nil"/>
            </w:tcBorders>
            <w:shd w:val="clear" w:color="000000" w:fill="FFFFFF"/>
            <w:vAlign w:val="bottom"/>
          </w:tcPr>
          <w:p w14:paraId="09C4DCA9" w14:textId="0D01E973" w:rsidR="002C2C3E" w:rsidRPr="00EB3D94" w:rsidRDefault="002C2C3E" w:rsidP="002C2C3E">
            <w:pPr>
              <w:rPr>
                <w:rFonts w:cs="Calibri"/>
                <w:lang w:val="es-ES"/>
              </w:rPr>
            </w:pPr>
            <w:r w:rsidRPr="00EB3D94">
              <w:rPr>
                <w:rFonts w:cs="Calibri"/>
              </w:rPr>
              <w:t>Centre d'Estudis Jurídics i Formació Especialitzada</w:t>
            </w:r>
          </w:p>
        </w:tc>
        <w:tc>
          <w:tcPr>
            <w:tcW w:w="8760" w:type="dxa"/>
            <w:tcBorders>
              <w:top w:val="nil"/>
              <w:left w:val="nil"/>
              <w:bottom w:val="nil"/>
              <w:right w:val="nil"/>
            </w:tcBorders>
            <w:shd w:val="clear" w:color="000000" w:fill="FFFFFF"/>
            <w:noWrap/>
            <w:vAlign w:val="bottom"/>
            <w:hideMark/>
          </w:tcPr>
          <w:p w14:paraId="13451387" w14:textId="7F375BAC" w:rsidR="002C2C3E" w:rsidRPr="00EB3D94" w:rsidRDefault="002C2C3E" w:rsidP="002C2C3E">
            <w:pPr>
              <w:rPr>
                <w:rFonts w:cs="Calibri"/>
                <w:lang w:val="es-ES"/>
              </w:rPr>
            </w:pPr>
            <w:r w:rsidRPr="00EB3D94">
              <w:rPr>
                <w:rFonts w:cs="Calibri"/>
                <w:lang w:val="es-ES"/>
              </w:rPr>
              <w:t>Centro de Estudios Jurídicos y Formación Especializada</w:t>
            </w:r>
          </w:p>
        </w:tc>
      </w:tr>
      <w:tr w:rsidR="00EB3D94" w:rsidRPr="00EB3D94" w14:paraId="74F13F2A" w14:textId="77777777" w:rsidTr="0001199B">
        <w:trPr>
          <w:trHeight w:val="290"/>
        </w:trPr>
        <w:tc>
          <w:tcPr>
            <w:tcW w:w="8760" w:type="dxa"/>
            <w:tcBorders>
              <w:top w:val="nil"/>
              <w:left w:val="nil"/>
              <w:bottom w:val="nil"/>
              <w:right w:val="nil"/>
            </w:tcBorders>
            <w:shd w:val="clear" w:color="000000" w:fill="FFFFFF"/>
            <w:vAlign w:val="bottom"/>
          </w:tcPr>
          <w:p w14:paraId="4107BBE5" w14:textId="1D65A7BD" w:rsidR="002C2C3E" w:rsidRPr="00EB3D94" w:rsidRDefault="002C2C3E" w:rsidP="002C2C3E">
            <w:pPr>
              <w:rPr>
                <w:rFonts w:cs="Calibri"/>
                <w:lang w:val="es-ES"/>
              </w:rPr>
            </w:pPr>
            <w:r w:rsidRPr="00EB3D94">
              <w:rPr>
                <w:rFonts w:cs="Calibri"/>
              </w:rPr>
              <w:t>Centre d'Iniciatives per a la Reinserció</w:t>
            </w:r>
          </w:p>
        </w:tc>
        <w:tc>
          <w:tcPr>
            <w:tcW w:w="8760" w:type="dxa"/>
            <w:tcBorders>
              <w:top w:val="nil"/>
              <w:left w:val="nil"/>
              <w:bottom w:val="nil"/>
              <w:right w:val="nil"/>
            </w:tcBorders>
            <w:shd w:val="clear" w:color="000000" w:fill="FFFFFF"/>
            <w:noWrap/>
            <w:vAlign w:val="bottom"/>
            <w:hideMark/>
          </w:tcPr>
          <w:p w14:paraId="295D2215" w14:textId="6051E695" w:rsidR="002C2C3E" w:rsidRPr="00EB3D94" w:rsidRDefault="002C2C3E" w:rsidP="002C2C3E">
            <w:pPr>
              <w:rPr>
                <w:rFonts w:cs="Calibri"/>
                <w:lang w:val="es-ES"/>
              </w:rPr>
            </w:pPr>
            <w:r w:rsidRPr="00EB3D94">
              <w:rPr>
                <w:rFonts w:cs="Calibri"/>
                <w:lang w:val="es-ES"/>
              </w:rPr>
              <w:t>Centro de Iniciativas para la Reinserción</w:t>
            </w:r>
          </w:p>
        </w:tc>
      </w:tr>
      <w:tr w:rsidR="00EB3D94" w:rsidRPr="00EB3D94" w14:paraId="3C5E348C" w14:textId="77777777" w:rsidTr="0001199B">
        <w:trPr>
          <w:trHeight w:val="290"/>
        </w:trPr>
        <w:tc>
          <w:tcPr>
            <w:tcW w:w="8760" w:type="dxa"/>
            <w:tcBorders>
              <w:top w:val="nil"/>
              <w:left w:val="nil"/>
              <w:bottom w:val="nil"/>
              <w:right w:val="nil"/>
            </w:tcBorders>
            <w:shd w:val="clear" w:color="000000" w:fill="FFFFFF"/>
            <w:vAlign w:val="bottom"/>
          </w:tcPr>
          <w:p w14:paraId="426ED0B4" w14:textId="5FE0B1A9" w:rsidR="002C2C3E" w:rsidRPr="00EB3D94" w:rsidRDefault="002C2C3E" w:rsidP="002C2C3E">
            <w:pPr>
              <w:rPr>
                <w:rFonts w:cs="Calibri"/>
                <w:lang w:val="es-ES"/>
              </w:rPr>
            </w:pPr>
            <w:r w:rsidRPr="00EB3D94">
              <w:rPr>
                <w:rFonts w:cs="Calibri"/>
              </w:rPr>
              <w:t>Circuits de Catalunya, SL</w:t>
            </w:r>
          </w:p>
        </w:tc>
        <w:tc>
          <w:tcPr>
            <w:tcW w:w="8760" w:type="dxa"/>
            <w:tcBorders>
              <w:top w:val="nil"/>
              <w:left w:val="nil"/>
              <w:bottom w:val="nil"/>
              <w:right w:val="nil"/>
            </w:tcBorders>
            <w:shd w:val="clear" w:color="000000" w:fill="FFFFFF"/>
            <w:noWrap/>
            <w:vAlign w:val="bottom"/>
            <w:hideMark/>
          </w:tcPr>
          <w:p w14:paraId="66112FA8" w14:textId="60C00AE5" w:rsidR="002C2C3E" w:rsidRPr="00EB3D94" w:rsidRDefault="002C2C3E" w:rsidP="002C2C3E">
            <w:pPr>
              <w:rPr>
                <w:rFonts w:cs="Calibri"/>
                <w:lang w:val="es-ES"/>
              </w:rPr>
            </w:pPr>
            <w:r w:rsidRPr="00EB3D94">
              <w:rPr>
                <w:rFonts w:cs="Calibri"/>
                <w:lang w:val="es-ES"/>
              </w:rPr>
              <w:t>Circuitos de Cataluña, SL</w:t>
            </w:r>
          </w:p>
        </w:tc>
      </w:tr>
      <w:tr w:rsidR="00EB3D94" w:rsidRPr="00EB3D94" w14:paraId="371CC10A" w14:textId="77777777" w:rsidTr="0001199B">
        <w:trPr>
          <w:trHeight w:val="290"/>
        </w:trPr>
        <w:tc>
          <w:tcPr>
            <w:tcW w:w="8760" w:type="dxa"/>
            <w:tcBorders>
              <w:top w:val="nil"/>
              <w:left w:val="nil"/>
              <w:bottom w:val="nil"/>
              <w:right w:val="nil"/>
            </w:tcBorders>
            <w:shd w:val="clear" w:color="000000" w:fill="FFFFFF"/>
            <w:vAlign w:val="bottom"/>
          </w:tcPr>
          <w:p w14:paraId="08A4B4CD" w14:textId="4A0C7C7B" w:rsidR="002C2C3E" w:rsidRPr="00EB3D94" w:rsidRDefault="002C2C3E" w:rsidP="002C2C3E">
            <w:pPr>
              <w:rPr>
                <w:rFonts w:cs="Calibri"/>
                <w:lang w:val="es-ES"/>
              </w:rPr>
            </w:pPr>
            <w:r w:rsidRPr="00EB3D94">
              <w:rPr>
                <w:rFonts w:cs="Calibri"/>
              </w:rPr>
              <w:t>Consell Català de l'Esport</w:t>
            </w:r>
          </w:p>
        </w:tc>
        <w:tc>
          <w:tcPr>
            <w:tcW w:w="8760" w:type="dxa"/>
            <w:tcBorders>
              <w:top w:val="nil"/>
              <w:left w:val="nil"/>
              <w:bottom w:val="nil"/>
              <w:right w:val="nil"/>
            </w:tcBorders>
            <w:shd w:val="clear" w:color="000000" w:fill="FFFFFF"/>
            <w:noWrap/>
            <w:vAlign w:val="bottom"/>
            <w:hideMark/>
          </w:tcPr>
          <w:p w14:paraId="0512A3A6" w14:textId="3049573E" w:rsidR="002C2C3E" w:rsidRPr="00EB3D94" w:rsidRDefault="002C2C3E" w:rsidP="002C2C3E">
            <w:pPr>
              <w:rPr>
                <w:rFonts w:cs="Calibri"/>
                <w:lang w:val="es-ES"/>
              </w:rPr>
            </w:pPr>
            <w:r w:rsidRPr="00EB3D94">
              <w:rPr>
                <w:rFonts w:cs="Calibri"/>
                <w:lang w:val="es-ES"/>
              </w:rPr>
              <w:t>Consejo Catalán del Deporte</w:t>
            </w:r>
          </w:p>
        </w:tc>
      </w:tr>
      <w:tr w:rsidR="00EB3D94" w:rsidRPr="00EB3D94" w14:paraId="109BA61F" w14:textId="77777777" w:rsidTr="0001199B">
        <w:trPr>
          <w:trHeight w:val="290"/>
        </w:trPr>
        <w:tc>
          <w:tcPr>
            <w:tcW w:w="8760" w:type="dxa"/>
            <w:tcBorders>
              <w:top w:val="nil"/>
              <w:left w:val="nil"/>
              <w:bottom w:val="nil"/>
              <w:right w:val="nil"/>
            </w:tcBorders>
            <w:shd w:val="clear" w:color="000000" w:fill="FFFFFF"/>
            <w:vAlign w:val="bottom"/>
          </w:tcPr>
          <w:p w14:paraId="1B112350" w14:textId="5C105D96" w:rsidR="002C2C3E" w:rsidRPr="00EB3D94" w:rsidRDefault="002C2C3E" w:rsidP="002C2C3E">
            <w:pPr>
              <w:rPr>
                <w:rFonts w:cs="Calibri"/>
                <w:lang w:val="es-ES"/>
              </w:rPr>
            </w:pPr>
            <w:r w:rsidRPr="00EB3D94">
              <w:rPr>
                <w:rFonts w:cs="Calibri"/>
              </w:rPr>
              <w:t>Consell Nacional de la Cultura i de les Arts</w:t>
            </w:r>
          </w:p>
        </w:tc>
        <w:tc>
          <w:tcPr>
            <w:tcW w:w="8760" w:type="dxa"/>
            <w:tcBorders>
              <w:top w:val="nil"/>
              <w:left w:val="nil"/>
              <w:bottom w:val="nil"/>
              <w:right w:val="nil"/>
            </w:tcBorders>
            <w:shd w:val="clear" w:color="000000" w:fill="FFFFFF"/>
            <w:noWrap/>
            <w:vAlign w:val="bottom"/>
            <w:hideMark/>
          </w:tcPr>
          <w:p w14:paraId="65267D23" w14:textId="31B8D6B1" w:rsidR="002C2C3E" w:rsidRPr="00EB3D94" w:rsidRDefault="002C2C3E" w:rsidP="002C2C3E">
            <w:pPr>
              <w:rPr>
                <w:rFonts w:cs="Calibri"/>
                <w:lang w:val="es-ES"/>
              </w:rPr>
            </w:pPr>
            <w:r w:rsidRPr="00EB3D94">
              <w:rPr>
                <w:rFonts w:cs="Calibri"/>
                <w:lang w:val="es-ES"/>
              </w:rPr>
              <w:t>Consejo Nacional de la Cultura y de las Artes</w:t>
            </w:r>
          </w:p>
        </w:tc>
      </w:tr>
      <w:tr w:rsidR="00EB3D94" w:rsidRPr="00EB3D94" w14:paraId="53BEF602" w14:textId="77777777" w:rsidTr="0001199B">
        <w:trPr>
          <w:trHeight w:val="290"/>
        </w:trPr>
        <w:tc>
          <w:tcPr>
            <w:tcW w:w="8760" w:type="dxa"/>
            <w:tcBorders>
              <w:top w:val="nil"/>
              <w:left w:val="nil"/>
              <w:bottom w:val="nil"/>
              <w:right w:val="nil"/>
            </w:tcBorders>
            <w:shd w:val="clear" w:color="000000" w:fill="FFFFFF"/>
            <w:vAlign w:val="bottom"/>
          </w:tcPr>
          <w:p w14:paraId="235C5599" w14:textId="7AE33AB3" w:rsidR="002C2C3E" w:rsidRPr="00EB3D94" w:rsidRDefault="002C2C3E" w:rsidP="002C2C3E">
            <w:pPr>
              <w:rPr>
                <w:rFonts w:cs="Calibri"/>
                <w:lang w:val="es-ES"/>
              </w:rPr>
            </w:pPr>
            <w:r w:rsidRPr="00EB3D94">
              <w:rPr>
                <w:rFonts w:cs="Calibri"/>
              </w:rPr>
              <w:t>Consorci Administració Oberta de Catalunya</w:t>
            </w:r>
          </w:p>
        </w:tc>
        <w:tc>
          <w:tcPr>
            <w:tcW w:w="8760" w:type="dxa"/>
            <w:tcBorders>
              <w:top w:val="nil"/>
              <w:left w:val="nil"/>
              <w:bottom w:val="nil"/>
              <w:right w:val="nil"/>
            </w:tcBorders>
            <w:shd w:val="clear" w:color="000000" w:fill="FFFFFF"/>
            <w:noWrap/>
            <w:vAlign w:val="bottom"/>
            <w:hideMark/>
          </w:tcPr>
          <w:p w14:paraId="3E40B726" w14:textId="7B8473D3" w:rsidR="002C2C3E" w:rsidRPr="00EB3D94" w:rsidRDefault="002C2C3E" w:rsidP="002C2C3E">
            <w:pPr>
              <w:rPr>
                <w:rFonts w:cs="Calibri"/>
                <w:lang w:val="es-ES"/>
              </w:rPr>
            </w:pPr>
            <w:r w:rsidRPr="00EB3D94">
              <w:rPr>
                <w:rFonts w:cs="Calibri"/>
                <w:lang w:val="es-ES"/>
              </w:rPr>
              <w:t>Consorcio Administración Abierta de Cataluña</w:t>
            </w:r>
          </w:p>
        </w:tc>
      </w:tr>
      <w:tr w:rsidR="00EB3D94" w:rsidRPr="00EB3D94" w14:paraId="2BC3C1B3" w14:textId="77777777" w:rsidTr="0001199B">
        <w:trPr>
          <w:trHeight w:val="290"/>
        </w:trPr>
        <w:tc>
          <w:tcPr>
            <w:tcW w:w="8760" w:type="dxa"/>
            <w:tcBorders>
              <w:top w:val="nil"/>
              <w:left w:val="nil"/>
              <w:bottom w:val="nil"/>
              <w:right w:val="nil"/>
            </w:tcBorders>
            <w:shd w:val="clear" w:color="000000" w:fill="FFFFFF"/>
            <w:vAlign w:val="bottom"/>
          </w:tcPr>
          <w:p w14:paraId="1C4E324B" w14:textId="7A4FE4DA" w:rsidR="002C2C3E" w:rsidRPr="00EB3D94" w:rsidRDefault="002C2C3E" w:rsidP="002C2C3E">
            <w:pPr>
              <w:rPr>
                <w:rFonts w:cs="Calibri"/>
                <w:lang w:val="es-ES"/>
              </w:rPr>
            </w:pPr>
            <w:r w:rsidRPr="00EB3D94">
              <w:rPr>
                <w:rFonts w:cs="Calibri"/>
              </w:rPr>
              <w:t>Consorci Corporació de Salut del Maresme i la Selva</w:t>
            </w:r>
          </w:p>
        </w:tc>
        <w:tc>
          <w:tcPr>
            <w:tcW w:w="8760" w:type="dxa"/>
            <w:tcBorders>
              <w:top w:val="nil"/>
              <w:left w:val="nil"/>
              <w:bottom w:val="nil"/>
              <w:right w:val="nil"/>
            </w:tcBorders>
            <w:shd w:val="clear" w:color="000000" w:fill="FFFFFF"/>
            <w:noWrap/>
            <w:vAlign w:val="bottom"/>
            <w:hideMark/>
          </w:tcPr>
          <w:p w14:paraId="5FF09652" w14:textId="284C9072" w:rsidR="002C2C3E" w:rsidRPr="00EB3D94" w:rsidRDefault="002C2C3E" w:rsidP="002C2C3E">
            <w:pPr>
              <w:rPr>
                <w:rFonts w:cs="Calibri"/>
                <w:lang w:val="es-ES"/>
              </w:rPr>
            </w:pPr>
            <w:r w:rsidRPr="00EB3D94">
              <w:rPr>
                <w:rFonts w:cs="Calibri"/>
                <w:lang w:val="es-ES"/>
              </w:rPr>
              <w:t>Consorcio Corporación de Salud del Maresme y la Selva</w:t>
            </w:r>
          </w:p>
        </w:tc>
      </w:tr>
      <w:tr w:rsidR="00EB3D94" w:rsidRPr="00EB3D94" w14:paraId="3A9A5A7D" w14:textId="77777777" w:rsidTr="0001199B">
        <w:trPr>
          <w:trHeight w:val="290"/>
        </w:trPr>
        <w:tc>
          <w:tcPr>
            <w:tcW w:w="8760" w:type="dxa"/>
            <w:tcBorders>
              <w:top w:val="nil"/>
              <w:left w:val="nil"/>
              <w:bottom w:val="nil"/>
              <w:right w:val="nil"/>
            </w:tcBorders>
            <w:shd w:val="clear" w:color="000000" w:fill="FFFFFF"/>
            <w:vAlign w:val="bottom"/>
          </w:tcPr>
          <w:p w14:paraId="44E0A4D3" w14:textId="660B7AE6" w:rsidR="002C2C3E" w:rsidRPr="00EB3D94" w:rsidRDefault="002C2C3E" w:rsidP="002C2C3E">
            <w:pPr>
              <w:rPr>
                <w:rFonts w:cs="Calibri"/>
                <w:lang w:val="es-ES"/>
              </w:rPr>
            </w:pPr>
            <w:r w:rsidRPr="00EB3D94">
              <w:rPr>
                <w:rFonts w:cs="Calibri"/>
              </w:rPr>
              <w:t>Consorci Corporació Sanitària Parc Taulí de Sabadell</w:t>
            </w:r>
          </w:p>
        </w:tc>
        <w:tc>
          <w:tcPr>
            <w:tcW w:w="8760" w:type="dxa"/>
            <w:tcBorders>
              <w:top w:val="nil"/>
              <w:left w:val="nil"/>
              <w:bottom w:val="nil"/>
              <w:right w:val="nil"/>
            </w:tcBorders>
            <w:shd w:val="clear" w:color="000000" w:fill="FFFFFF"/>
            <w:noWrap/>
            <w:vAlign w:val="bottom"/>
            <w:hideMark/>
          </w:tcPr>
          <w:p w14:paraId="0FEAB7D0" w14:textId="7EEC28A8" w:rsidR="002C2C3E" w:rsidRPr="00EB3D94" w:rsidRDefault="002C2C3E" w:rsidP="002C2C3E">
            <w:pPr>
              <w:rPr>
                <w:rFonts w:cs="Calibri"/>
                <w:lang w:val="es-ES"/>
              </w:rPr>
            </w:pPr>
            <w:r w:rsidRPr="00EB3D94">
              <w:rPr>
                <w:rFonts w:cs="Calibri"/>
                <w:lang w:val="es-ES"/>
              </w:rPr>
              <w:t xml:space="preserve">Consorcio Corporación Sanitaria Parque </w:t>
            </w:r>
            <w:proofErr w:type="spellStart"/>
            <w:r w:rsidRPr="00EB3D94">
              <w:rPr>
                <w:rFonts w:cs="Calibri"/>
                <w:lang w:val="es-ES"/>
              </w:rPr>
              <w:t>Taulí</w:t>
            </w:r>
            <w:proofErr w:type="spellEnd"/>
            <w:r w:rsidRPr="00EB3D94">
              <w:rPr>
                <w:rFonts w:cs="Calibri"/>
                <w:lang w:val="es-ES"/>
              </w:rPr>
              <w:t xml:space="preserve"> de Sabadell</w:t>
            </w:r>
          </w:p>
        </w:tc>
      </w:tr>
      <w:tr w:rsidR="00EB3D94" w:rsidRPr="00EB3D94" w14:paraId="429B1C12" w14:textId="77777777" w:rsidTr="0001199B">
        <w:trPr>
          <w:trHeight w:val="290"/>
        </w:trPr>
        <w:tc>
          <w:tcPr>
            <w:tcW w:w="8760" w:type="dxa"/>
            <w:tcBorders>
              <w:top w:val="nil"/>
              <w:left w:val="nil"/>
              <w:bottom w:val="nil"/>
              <w:right w:val="nil"/>
            </w:tcBorders>
            <w:shd w:val="clear" w:color="000000" w:fill="FFFFFF"/>
            <w:vAlign w:val="bottom"/>
          </w:tcPr>
          <w:p w14:paraId="5D978EED" w14:textId="6176C58F" w:rsidR="002C2C3E" w:rsidRPr="00EB3D94" w:rsidRDefault="002C2C3E" w:rsidP="002C2C3E">
            <w:pPr>
              <w:ind w:firstLineChars="200" w:firstLine="440"/>
              <w:rPr>
                <w:rFonts w:cs="Calibri"/>
                <w:i/>
                <w:iCs/>
                <w:lang w:val="es-ES"/>
              </w:rPr>
            </w:pPr>
            <w:r w:rsidRPr="00EB3D94">
              <w:rPr>
                <w:rFonts w:cs="Calibri"/>
                <w:i/>
                <w:iCs/>
              </w:rPr>
              <w:t>Sabadell Gent Gran Centre de Serveis, SA</w:t>
            </w:r>
          </w:p>
        </w:tc>
        <w:tc>
          <w:tcPr>
            <w:tcW w:w="8760" w:type="dxa"/>
            <w:tcBorders>
              <w:top w:val="nil"/>
              <w:left w:val="nil"/>
              <w:bottom w:val="nil"/>
              <w:right w:val="nil"/>
            </w:tcBorders>
            <w:shd w:val="clear" w:color="000000" w:fill="FFFFFF"/>
            <w:noWrap/>
            <w:vAlign w:val="bottom"/>
            <w:hideMark/>
          </w:tcPr>
          <w:p w14:paraId="4E8E4287" w14:textId="79200CCA" w:rsidR="002C2C3E" w:rsidRPr="00EB3D94" w:rsidRDefault="002C2C3E" w:rsidP="002C2C3E">
            <w:pPr>
              <w:ind w:firstLineChars="200" w:firstLine="440"/>
              <w:rPr>
                <w:rFonts w:cs="Calibri"/>
                <w:i/>
                <w:iCs/>
                <w:lang w:val="es-ES"/>
              </w:rPr>
            </w:pPr>
            <w:r w:rsidRPr="00EB3D94">
              <w:rPr>
                <w:rFonts w:cs="Calibri"/>
                <w:i/>
                <w:iCs/>
                <w:lang w:val="es-ES"/>
              </w:rPr>
              <w:t xml:space="preserve">Sabadell </w:t>
            </w:r>
            <w:proofErr w:type="spellStart"/>
            <w:r w:rsidRPr="00EB3D94">
              <w:rPr>
                <w:rFonts w:cs="Calibri"/>
                <w:i/>
                <w:iCs/>
                <w:lang w:val="es-ES"/>
              </w:rPr>
              <w:t>Gent</w:t>
            </w:r>
            <w:proofErr w:type="spellEnd"/>
            <w:r w:rsidRPr="00EB3D94">
              <w:rPr>
                <w:rFonts w:cs="Calibri"/>
                <w:i/>
                <w:iCs/>
                <w:lang w:val="es-ES"/>
              </w:rPr>
              <w:t xml:space="preserve"> Gran Centre de Serveis, S. A.</w:t>
            </w:r>
          </w:p>
        </w:tc>
      </w:tr>
      <w:tr w:rsidR="00EB3D94" w:rsidRPr="00EB3D94" w14:paraId="7096E313" w14:textId="77777777" w:rsidTr="0001199B">
        <w:trPr>
          <w:trHeight w:val="290"/>
        </w:trPr>
        <w:tc>
          <w:tcPr>
            <w:tcW w:w="8760" w:type="dxa"/>
            <w:tcBorders>
              <w:top w:val="nil"/>
              <w:left w:val="nil"/>
              <w:bottom w:val="nil"/>
              <w:right w:val="nil"/>
            </w:tcBorders>
            <w:shd w:val="clear" w:color="000000" w:fill="FFFFFF"/>
            <w:vAlign w:val="bottom"/>
          </w:tcPr>
          <w:p w14:paraId="7EA0EA9C" w14:textId="2485F065" w:rsidR="002C2C3E" w:rsidRPr="00EB3D94" w:rsidRDefault="002C2C3E" w:rsidP="002C2C3E">
            <w:pPr>
              <w:rPr>
                <w:rFonts w:cs="Calibri"/>
                <w:lang w:val="es-ES"/>
              </w:rPr>
            </w:pPr>
            <w:r w:rsidRPr="00EB3D94">
              <w:rPr>
                <w:rFonts w:cs="Calibri"/>
              </w:rPr>
              <w:t>Consorci de Castelldefels Agents de Salut</w:t>
            </w:r>
          </w:p>
        </w:tc>
        <w:tc>
          <w:tcPr>
            <w:tcW w:w="8760" w:type="dxa"/>
            <w:tcBorders>
              <w:top w:val="nil"/>
              <w:left w:val="nil"/>
              <w:bottom w:val="nil"/>
              <w:right w:val="nil"/>
            </w:tcBorders>
            <w:shd w:val="clear" w:color="000000" w:fill="FFFFFF"/>
            <w:noWrap/>
            <w:vAlign w:val="bottom"/>
            <w:hideMark/>
          </w:tcPr>
          <w:p w14:paraId="5390AF03" w14:textId="1A530985" w:rsidR="002C2C3E" w:rsidRPr="00EB3D94" w:rsidRDefault="002C2C3E" w:rsidP="002C2C3E">
            <w:pPr>
              <w:rPr>
                <w:rFonts w:cs="Calibri"/>
                <w:lang w:val="es-ES"/>
              </w:rPr>
            </w:pPr>
            <w:r w:rsidRPr="00EB3D94">
              <w:rPr>
                <w:rFonts w:cs="Calibri"/>
                <w:lang w:val="es-ES"/>
              </w:rPr>
              <w:t xml:space="preserve">Consorcio de Castelldefels </w:t>
            </w:r>
            <w:proofErr w:type="spellStart"/>
            <w:r w:rsidRPr="00EB3D94">
              <w:rPr>
                <w:rFonts w:cs="Calibri"/>
                <w:lang w:val="es-ES"/>
              </w:rPr>
              <w:t>Agents</w:t>
            </w:r>
            <w:proofErr w:type="spellEnd"/>
            <w:r w:rsidRPr="00EB3D94">
              <w:rPr>
                <w:rFonts w:cs="Calibri"/>
                <w:lang w:val="es-ES"/>
              </w:rPr>
              <w:t xml:space="preserve"> de </w:t>
            </w:r>
            <w:proofErr w:type="spellStart"/>
            <w:r w:rsidRPr="00EB3D94">
              <w:rPr>
                <w:rFonts w:cs="Calibri"/>
                <w:lang w:val="es-ES"/>
              </w:rPr>
              <w:t>Salut</w:t>
            </w:r>
            <w:proofErr w:type="spellEnd"/>
          </w:p>
        </w:tc>
      </w:tr>
      <w:tr w:rsidR="00EB3D94" w:rsidRPr="00EB3D94" w14:paraId="6FBC7425" w14:textId="77777777" w:rsidTr="0001199B">
        <w:trPr>
          <w:trHeight w:val="290"/>
        </w:trPr>
        <w:tc>
          <w:tcPr>
            <w:tcW w:w="8760" w:type="dxa"/>
            <w:tcBorders>
              <w:top w:val="nil"/>
              <w:left w:val="nil"/>
              <w:bottom w:val="nil"/>
              <w:right w:val="nil"/>
            </w:tcBorders>
            <w:shd w:val="clear" w:color="000000" w:fill="FFFFFF"/>
            <w:vAlign w:val="bottom"/>
          </w:tcPr>
          <w:p w14:paraId="2D09B9C3" w14:textId="41640651" w:rsidR="002C2C3E" w:rsidRPr="00EB3D94" w:rsidRDefault="002C2C3E" w:rsidP="002C2C3E">
            <w:pPr>
              <w:rPr>
                <w:rFonts w:cs="Calibri"/>
                <w:lang w:val="es-ES"/>
              </w:rPr>
            </w:pPr>
            <w:r w:rsidRPr="00EB3D94">
              <w:rPr>
                <w:rFonts w:cs="Calibri"/>
              </w:rPr>
              <w:t>Consorci de Comerç, Artesania i Moda de Catalunya</w:t>
            </w:r>
          </w:p>
        </w:tc>
        <w:tc>
          <w:tcPr>
            <w:tcW w:w="8760" w:type="dxa"/>
            <w:tcBorders>
              <w:top w:val="nil"/>
              <w:left w:val="nil"/>
              <w:bottom w:val="nil"/>
              <w:right w:val="nil"/>
            </w:tcBorders>
            <w:shd w:val="clear" w:color="000000" w:fill="FFFFFF"/>
            <w:noWrap/>
            <w:vAlign w:val="bottom"/>
            <w:hideMark/>
          </w:tcPr>
          <w:p w14:paraId="679239B3" w14:textId="7E5564D2" w:rsidR="002C2C3E" w:rsidRPr="00EB3D94" w:rsidRDefault="002C2C3E" w:rsidP="002C2C3E">
            <w:pPr>
              <w:rPr>
                <w:rFonts w:cs="Calibri"/>
                <w:lang w:val="es-ES"/>
              </w:rPr>
            </w:pPr>
            <w:r w:rsidRPr="00EB3D94">
              <w:rPr>
                <w:rFonts w:cs="Calibri"/>
                <w:lang w:val="es-ES"/>
              </w:rPr>
              <w:t>Consorcio de Comercio, Artesanía y Moda de Cataluña</w:t>
            </w:r>
          </w:p>
        </w:tc>
      </w:tr>
      <w:tr w:rsidR="00EB3D94" w:rsidRPr="00EB3D94" w14:paraId="1ABD37A7" w14:textId="77777777" w:rsidTr="0001199B">
        <w:trPr>
          <w:trHeight w:val="290"/>
        </w:trPr>
        <w:tc>
          <w:tcPr>
            <w:tcW w:w="8760" w:type="dxa"/>
            <w:tcBorders>
              <w:top w:val="nil"/>
              <w:left w:val="nil"/>
              <w:bottom w:val="nil"/>
              <w:right w:val="nil"/>
            </w:tcBorders>
            <w:shd w:val="clear" w:color="000000" w:fill="FFFFFF"/>
            <w:vAlign w:val="bottom"/>
          </w:tcPr>
          <w:p w14:paraId="45C09902" w14:textId="35533109" w:rsidR="002C2C3E" w:rsidRPr="00EB3D94" w:rsidRDefault="002C2C3E" w:rsidP="002C2C3E">
            <w:pPr>
              <w:rPr>
                <w:rFonts w:cs="Calibri"/>
                <w:lang w:val="es-ES"/>
              </w:rPr>
            </w:pPr>
            <w:r w:rsidRPr="00EB3D94">
              <w:rPr>
                <w:rFonts w:cs="Calibri"/>
              </w:rPr>
              <w:t>Consorci de l'Habitatge de Barcelona</w:t>
            </w:r>
          </w:p>
        </w:tc>
        <w:tc>
          <w:tcPr>
            <w:tcW w:w="8760" w:type="dxa"/>
            <w:tcBorders>
              <w:top w:val="nil"/>
              <w:left w:val="nil"/>
              <w:bottom w:val="nil"/>
              <w:right w:val="nil"/>
            </w:tcBorders>
            <w:shd w:val="clear" w:color="000000" w:fill="FFFFFF"/>
            <w:noWrap/>
            <w:vAlign w:val="bottom"/>
            <w:hideMark/>
          </w:tcPr>
          <w:p w14:paraId="2BC0B3C4" w14:textId="69282FD9" w:rsidR="002C2C3E" w:rsidRPr="00EB3D94" w:rsidRDefault="002C2C3E" w:rsidP="002C2C3E">
            <w:pPr>
              <w:rPr>
                <w:rFonts w:cs="Calibri"/>
                <w:lang w:val="es-ES"/>
              </w:rPr>
            </w:pPr>
            <w:r w:rsidRPr="00EB3D94">
              <w:rPr>
                <w:rFonts w:cs="Calibri"/>
                <w:lang w:val="es-ES"/>
              </w:rPr>
              <w:t>Consorcio de la Vivienda de Barcelona</w:t>
            </w:r>
          </w:p>
        </w:tc>
      </w:tr>
      <w:tr w:rsidR="00EB3D94" w:rsidRPr="00EB3D94" w14:paraId="4D1AA0C1" w14:textId="77777777" w:rsidTr="0001199B">
        <w:trPr>
          <w:trHeight w:val="290"/>
        </w:trPr>
        <w:tc>
          <w:tcPr>
            <w:tcW w:w="8760" w:type="dxa"/>
            <w:tcBorders>
              <w:top w:val="nil"/>
              <w:left w:val="nil"/>
              <w:bottom w:val="nil"/>
              <w:right w:val="nil"/>
            </w:tcBorders>
            <w:shd w:val="clear" w:color="000000" w:fill="FFFFFF"/>
            <w:vAlign w:val="bottom"/>
          </w:tcPr>
          <w:p w14:paraId="7F94F184" w14:textId="538CF76A" w:rsidR="002C2C3E" w:rsidRPr="00EB3D94" w:rsidRDefault="002C2C3E" w:rsidP="002C2C3E">
            <w:pPr>
              <w:rPr>
                <w:rFonts w:cs="Calibri"/>
                <w:lang w:val="es-ES"/>
              </w:rPr>
            </w:pPr>
            <w:r w:rsidRPr="00EB3D94">
              <w:rPr>
                <w:rFonts w:cs="Calibri"/>
              </w:rPr>
              <w:t>Consorci de Serveis Socials de Barcelona</w:t>
            </w:r>
          </w:p>
        </w:tc>
        <w:tc>
          <w:tcPr>
            <w:tcW w:w="8760" w:type="dxa"/>
            <w:tcBorders>
              <w:top w:val="nil"/>
              <w:left w:val="nil"/>
              <w:bottom w:val="nil"/>
              <w:right w:val="nil"/>
            </w:tcBorders>
            <w:shd w:val="clear" w:color="000000" w:fill="FFFFFF"/>
            <w:noWrap/>
            <w:vAlign w:val="bottom"/>
            <w:hideMark/>
          </w:tcPr>
          <w:p w14:paraId="680CC626" w14:textId="08BAC144" w:rsidR="002C2C3E" w:rsidRPr="00EB3D94" w:rsidRDefault="002C2C3E" w:rsidP="002C2C3E">
            <w:pPr>
              <w:rPr>
                <w:rFonts w:cs="Calibri"/>
                <w:lang w:val="es-ES"/>
              </w:rPr>
            </w:pPr>
            <w:r w:rsidRPr="00EB3D94">
              <w:rPr>
                <w:rFonts w:cs="Calibri"/>
                <w:lang w:val="es-ES"/>
              </w:rPr>
              <w:t>Consorcio de Servicios Sociales de Barcelona</w:t>
            </w:r>
          </w:p>
        </w:tc>
      </w:tr>
      <w:tr w:rsidR="00EB3D94" w:rsidRPr="00EB3D94" w14:paraId="421BCB5A" w14:textId="77777777" w:rsidTr="0001199B">
        <w:trPr>
          <w:trHeight w:val="290"/>
        </w:trPr>
        <w:tc>
          <w:tcPr>
            <w:tcW w:w="8760" w:type="dxa"/>
            <w:tcBorders>
              <w:top w:val="nil"/>
              <w:left w:val="nil"/>
              <w:bottom w:val="nil"/>
              <w:right w:val="nil"/>
            </w:tcBorders>
            <w:shd w:val="clear" w:color="000000" w:fill="FFFFFF"/>
            <w:vAlign w:val="bottom"/>
          </w:tcPr>
          <w:p w14:paraId="4386FCEB" w14:textId="61FC92D8" w:rsidR="002C2C3E" w:rsidRPr="00EB3D94" w:rsidRDefault="002C2C3E" w:rsidP="002C2C3E">
            <w:pPr>
              <w:rPr>
                <w:rFonts w:cs="Calibri"/>
                <w:lang w:val="es-ES"/>
              </w:rPr>
            </w:pPr>
            <w:r w:rsidRPr="00EB3D94">
              <w:rPr>
                <w:rFonts w:cs="Calibri"/>
              </w:rPr>
              <w:t>Consorci d'Educació de Barcelona</w:t>
            </w:r>
          </w:p>
        </w:tc>
        <w:tc>
          <w:tcPr>
            <w:tcW w:w="8760" w:type="dxa"/>
            <w:tcBorders>
              <w:top w:val="nil"/>
              <w:left w:val="nil"/>
              <w:bottom w:val="nil"/>
              <w:right w:val="nil"/>
            </w:tcBorders>
            <w:shd w:val="clear" w:color="000000" w:fill="FFFFFF"/>
            <w:noWrap/>
            <w:vAlign w:val="bottom"/>
            <w:hideMark/>
          </w:tcPr>
          <w:p w14:paraId="1195FD1C" w14:textId="10024E6A" w:rsidR="002C2C3E" w:rsidRPr="00EB3D94" w:rsidRDefault="002C2C3E" w:rsidP="002C2C3E">
            <w:pPr>
              <w:rPr>
                <w:rFonts w:cs="Calibri"/>
                <w:lang w:val="es-ES"/>
              </w:rPr>
            </w:pPr>
            <w:r w:rsidRPr="00EB3D94">
              <w:rPr>
                <w:rFonts w:cs="Calibri"/>
                <w:lang w:val="es-ES"/>
              </w:rPr>
              <w:t>Consorcio de Educación de Barcelona</w:t>
            </w:r>
          </w:p>
        </w:tc>
      </w:tr>
      <w:tr w:rsidR="00EB3D94" w:rsidRPr="00EB3D94" w14:paraId="3CFA2805" w14:textId="77777777" w:rsidTr="0001199B">
        <w:trPr>
          <w:trHeight w:val="290"/>
        </w:trPr>
        <w:tc>
          <w:tcPr>
            <w:tcW w:w="8760" w:type="dxa"/>
            <w:tcBorders>
              <w:top w:val="nil"/>
              <w:left w:val="nil"/>
              <w:bottom w:val="nil"/>
              <w:right w:val="nil"/>
            </w:tcBorders>
            <w:shd w:val="clear" w:color="000000" w:fill="FFFFFF"/>
            <w:vAlign w:val="bottom"/>
          </w:tcPr>
          <w:p w14:paraId="4E2A5D06" w14:textId="319A538B" w:rsidR="002C2C3E" w:rsidRPr="00EB3D94" w:rsidRDefault="002C2C3E" w:rsidP="002C2C3E">
            <w:pPr>
              <w:rPr>
                <w:rFonts w:cs="Calibri"/>
                <w:lang w:val="es-ES"/>
              </w:rPr>
            </w:pPr>
            <w:r w:rsidRPr="00EB3D94">
              <w:rPr>
                <w:rFonts w:cs="Calibri"/>
              </w:rPr>
              <w:t xml:space="preserve">Consorci del Centre de Terminologia </w:t>
            </w:r>
            <w:proofErr w:type="spellStart"/>
            <w:r w:rsidRPr="00EB3D94">
              <w:rPr>
                <w:rFonts w:cs="Calibri"/>
              </w:rPr>
              <w:t>Termcat</w:t>
            </w:r>
            <w:proofErr w:type="spellEnd"/>
          </w:p>
        </w:tc>
        <w:tc>
          <w:tcPr>
            <w:tcW w:w="8760" w:type="dxa"/>
            <w:tcBorders>
              <w:top w:val="nil"/>
              <w:left w:val="nil"/>
              <w:bottom w:val="nil"/>
              <w:right w:val="nil"/>
            </w:tcBorders>
            <w:shd w:val="clear" w:color="000000" w:fill="FFFFFF"/>
            <w:noWrap/>
            <w:vAlign w:val="bottom"/>
            <w:hideMark/>
          </w:tcPr>
          <w:p w14:paraId="3F550DAB" w14:textId="2CA196FE" w:rsidR="002C2C3E" w:rsidRPr="00EB3D94" w:rsidRDefault="002C2C3E" w:rsidP="002C2C3E">
            <w:pPr>
              <w:rPr>
                <w:rFonts w:cs="Calibri"/>
                <w:lang w:val="es-ES"/>
              </w:rPr>
            </w:pPr>
            <w:r w:rsidRPr="00EB3D94">
              <w:rPr>
                <w:rFonts w:cs="Calibri"/>
                <w:lang w:val="es-ES"/>
              </w:rPr>
              <w:t xml:space="preserve">Consorcio del Centro de </w:t>
            </w:r>
            <w:proofErr w:type="spellStart"/>
            <w:r w:rsidRPr="00EB3D94">
              <w:rPr>
                <w:rFonts w:cs="Calibri"/>
                <w:lang w:val="es-ES"/>
              </w:rPr>
              <w:t>Terminologia</w:t>
            </w:r>
            <w:proofErr w:type="spellEnd"/>
            <w:r w:rsidRPr="00EB3D94">
              <w:rPr>
                <w:rFonts w:cs="Calibri"/>
                <w:lang w:val="es-ES"/>
              </w:rPr>
              <w:t xml:space="preserve"> </w:t>
            </w:r>
            <w:proofErr w:type="spellStart"/>
            <w:r w:rsidRPr="00EB3D94">
              <w:rPr>
                <w:rFonts w:cs="Calibri"/>
                <w:lang w:val="es-ES"/>
              </w:rPr>
              <w:t>Termcat</w:t>
            </w:r>
            <w:proofErr w:type="spellEnd"/>
          </w:p>
        </w:tc>
      </w:tr>
      <w:tr w:rsidR="00EB3D94" w:rsidRPr="00EB3D94" w14:paraId="5D47C9FC" w14:textId="77777777" w:rsidTr="0001199B">
        <w:trPr>
          <w:trHeight w:val="290"/>
        </w:trPr>
        <w:tc>
          <w:tcPr>
            <w:tcW w:w="8760" w:type="dxa"/>
            <w:tcBorders>
              <w:top w:val="nil"/>
              <w:left w:val="nil"/>
              <w:bottom w:val="nil"/>
              <w:right w:val="nil"/>
            </w:tcBorders>
            <w:shd w:val="clear" w:color="000000" w:fill="FFFFFF"/>
            <w:vAlign w:val="bottom"/>
          </w:tcPr>
          <w:p w14:paraId="01EB7CD4" w14:textId="0883C4A1" w:rsidR="002C2C3E" w:rsidRPr="00EB3D94" w:rsidRDefault="002C2C3E" w:rsidP="002C2C3E">
            <w:pPr>
              <w:rPr>
                <w:rFonts w:cs="Calibri"/>
                <w:lang w:val="es-ES"/>
              </w:rPr>
            </w:pPr>
            <w:r w:rsidRPr="00EB3D94">
              <w:rPr>
                <w:rFonts w:cs="Calibri"/>
              </w:rPr>
              <w:t>Consorci del Laboratori Intercomarcal de l'Alt Penedès, l'Anoia i el Garraf</w:t>
            </w:r>
          </w:p>
        </w:tc>
        <w:tc>
          <w:tcPr>
            <w:tcW w:w="8760" w:type="dxa"/>
            <w:tcBorders>
              <w:top w:val="nil"/>
              <w:left w:val="nil"/>
              <w:bottom w:val="nil"/>
              <w:right w:val="nil"/>
            </w:tcBorders>
            <w:shd w:val="clear" w:color="000000" w:fill="FFFFFF"/>
            <w:noWrap/>
            <w:vAlign w:val="bottom"/>
            <w:hideMark/>
          </w:tcPr>
          <w:p w14:paraId="63DE2BEB" w14:textId="4A3F8559" w:rsidR="002C2C3E" w:rsidRPr="00EB3D94" w:rsidRDefault="002C2C3E" w:rsidP="002C2C3E">
            <w:pPr>
              <w:rPr>
                <w:rFonts w:cs="Calibri"/>
                <w:lang w:val="es-ES"/>
              </w:rPr>
            </w:pPr>
            <w:r w:rsidRPr="00EB3D94">
              <w:rPr>
                <w:rFonts w:cs="Calibri"/>
                <w:lang w:val="es-ES"/>
              </w:rPr>
              <w:t xml:space="preserve">Consorcio del Laboratorio </w:t>
            </w:r>
            <w:proofErr w:type="spellStart"/>
            <w:r w:rsidRPr="00EB3D94">
              <w:rPr>
                <w:rFonts w:cs="Calibri"/>
                <w:lang w:val="es-ES"/>
              </w:rPr>
              <w:t>Intercomarcal</w:t>
            </w:r>
            <w:proofErr w:type="spellEnd"/>
            <w:r w:rsidRPr="00EB3D94">
              <w:rPr>
                <w:rFonts w:cs="Calibri"/>
                <w:lang w:val="es-ES"/>
              </w:rPr>
              <w:t xml:space="preserve"> del Alt Penedès, Anoia y el Garraf</w:t>
            </w:r>
          </w:p>
        </w:tc>
      </w:tr>
      <w:tr w:rsidR="00EB3D94" w:rsidRPr="00EB3D94" w14:paraId="351E0FA9" w14:textId="77777777" w:rsidTr="0001199B">
        <w:trPr>
          <w:trHeight w:val="290"/>
        </w:trPr>
        <w:tc>
          <w:tcPr>
            <w:tcW w:w="8760" w:type="dxa"/>
            <w:tcBorders>
              <w:top w:val="nil"/>
              <w:left w:val="nil"/>
              <w:bottom w:val="nil"/>
              <w:right w:val="nil"/>
            </w:tcBorders>
            <w:shd w:val="clear" w:color="000000" w:fill="FFFFFF"/>
            <w:vAlign w:val="bottom"/>
          </w:tcPr>
          <w:p w14:paraId="75FA76C3" w14:textId="421B12C1" w:rsidR="002C2C3E" w:rsidRPr="00EB3D94" w:rsidRDefault="002C2C3E" w:rsidP="002C2C3E">
            <w:pPr>
              <w:rPr>
                <w:rFonts w:cs="Calibri"/>
                <w:lang w:val="es-ES"/>
              </w:rPr>
            </w:pPr>
            <w:r w:rsidRPr="00EB3D94">
              <w:rPr>
                <w:rFonts w:cs="Calibri"/>
              </w:rPr>
              <w:t>Consorci del Museu de Lleida, Diocesà i Comarcal</w:t>
            </w:r>
          </w:p>
        </w:tc>
        <w:tc>
          <w:tcPr>
            <w:tcW w:w="8760" w:type="dxa"/>
            <w:tcBorders>
              <w:top w:val="nil"/>
              <w:left w:val="nil"/>
              <w:bottom w:val="nil"/>
              <w:right w:val="nil"/>
            </w:tcBorders>
            <w:shd w:val="clear" w:color="000000" w:fill="FFFFFF"/>
            <w:noWrap/>
            <w:vAlign w:val="bottom"/>
            <w:hideMark/>
          </w:tcPr>
          <w:p w14:paraId="261CACCE" w14:textId="42208E28" w:rsidR="002C2C3E" w:rsidRPr="00EB3D94" w:rsidRDefault="002C2C3E" w:rsidP="002C2C3E">
            <w:pPr>
              <w:rPr>
                <w:rFonts w:cs="Calibri"/>
                <w:lang w:val="es-ES"/>
              </w:rPr>
            </w:pPr>
            <w:r w:rsidRPr="00EB3D94">
              <w:rPr>
                <w:rFonts w:cs="Calibri"/>
                <w:lang w:val="es-ES"/>
              </w:rPr>
              <w:t>Consorcio del Museo de Lérida, Diocesano y Comarcal</w:t>
            </w:r>
          </w:p>
        </w:tc>
      </w:tr>
      <w:tr w:rsidR="00EB3D94" w:rsidRPr="00EB3D94" w14:paraId="39A24BB8" w14:textId="77777777" w:rsidTr="0001199B">
        <w:trPr>
          <w:trHeight w:val="290"/>
        </w:trPr>
        <w:tc>
          <w:tcPr>
            <w:tcW w:w="8760" w:type="dxa"/>
            <w:tcBorders>
              <w:top w:val="nil"/>
              <w:left w:val="nil"/>
              <w:bottom w:val="nil"/>
              <w:right w:val="nil"/>
            </w:tcBorders>
            <w:shd w:val="clear" w:color="000000" w:fill="FFFFFF"/>
            <w:vAlign w:val="bottom"/>
          </w:tcPr>
          <w:p w14:paraId="51132497" w14:textId="23AB4DC8" w:rsidR="002C2C3E" w:rsidRPr="00EB3D94" w:rsidRDefault="002C2C3E" w:rsidP="002C2C3E">
            <w:pPr>
              <w:rPr>
                <w:rFonts w:cs="Calibri"/>
                <w:lang w:val="es-ES"/>
              </w:rPr>
            </w:pPr>
            <w:r w:rsidRPr="00EB3D94">
              <w:rPr>
                <w:rFonts w:cs="Calibri"/>
              </w:rPr>
              <w:t>Consorci del Transport Públic de l'Àrea de Girona, Autoritat Territorial de Mobilitat</w:t>
            </w:r>
          </w:p>
        </w:tc>
        <w:tc>
          <w:tcPr>
            <w:tcW w:w="8760" w:type="dxa"/>
            <w:tcBorders>
              <w:top w:val="nil"/>
              <w:left w:val="nil"/>
              <w:bottom w:val="nil"/>
              <w:right w:val="nil"/>
            </w:tcBorders>
            <w:shd w:val="clear" w:color="000000" w:fill="FFFFFF"/>
            <w:noWrap/>
            <w:vAlign w:val="bottom"/>
            <w:hideMark/>
          </w:tcPr>
          <w:p w14:paraId="5D4BA268" w14:textId="24AB0CB4" w:rsidR="002C2C3E" w:rsidRPr="00EB3D94" w:rsidRDefault="002C2C3E" w:rsidP="002C2C3E">
            <w:pPr>
              <w:rPr>
                <w:rFonts w:cs="Calibri"/>
                <w:lang w:val="es-ES"/>
              </w:rPr>
            </w:pPr>
            <w:r w:rsidRPr="00EB3D94">
              <w:rPr>
                <w:rFonts w:cs="Calibri"/>
                <w:lang w:val="es-ES"/>
              </w:rPr>
              <w:t>Consorcio del Transporte Público del Área de Gerona, Autoridad Territorial de Movilidad</w:t>
            </w:r>
          </w:p>
        </w:tc>
      </w:tr>
      <w:tr w:rsidR="00EB3D94" w:rsidRPr="00EB3D94" w14:paraId="7EEF52A6" w14:textId="77777777" w:rsidTr="0001199B">
        <w:trPr>
          <w:trHeight w:val="290"/>
        </w:trPr>
        <w:tc>
          <w:tcPr>
            <w:tcW w:w="8760" w:type="dxa"/>
            <w:tcBorders>
              <w:top w:val="nil"/>
              <w:left w:val="nil"/>
              <w:bottom w:val="nil"/>
              <w:right w:val="nil"/>
            </w:tcBorders>
            <w:shd w:val="clear" w:color="000000" w:fill="FFFFFF"/>
            <w:vAlign w:val="bottom"/>
          </w:tcPr>
          <w:p w14:paraId="60B974B9" w14:textId="7DD3B90F" w:rsidR="002C2C3E" w:rsidRPr="00EB3D94" w:rsidRDefault="002C2C3E" w:rsidP="002C2C3E">
            <w:pPr>
              <w:rPr>
                <w:rFonts w:cs="Calibri"/>
                <w:lang w:val="es-ES"/>
              </w:rPr>
            </w:pPr>
            <w:r w:rsidRPr="00EB3D94">
              <w:rPr>
                <w:rFonts w:cs="Calibri"/>
              </w:rPr>
              <w:t>Consorci del Transport Públic de l'Àrea de Lleida, Autoritat Territorial de Mobilitat</w:t>
            </w:r>
          </w:p>
        </w:tc>
        <w:tc>
          <w:tcPr>
            <w:tcW w:w="8760" w:type="dxa"/>
            <w:tcBorders>
              <w:top w:val="nil"/>
              <w:left w:val="nil"/>
              <w:bottom w:val="nil"/>
              <w:right w:val="nil"/>
            </w:tcBorders>
            <w:shd w:val="clear" w:color="000000" w:fill="FFFFFF"/>
            <w:noWrap/>
            <w:vAlign w:val="bottom"/>
            <w:hideMark/>
          </w:tcPr>
          <w:p w14:paraId="223FA6D1" w14:textId="666F8E78" w:rsidR="002C2C3E" w:rsidRPr="00EB3D94" w:rsidRDefault="002C2C3E" w:rsidP="002C2C3E">
            <w:pPr>
              <w:rPr>
                <w:rFonts w:cs="Calibri"/>
                <w:lang w:val="es-ES"/>
              </w:rPr>
            </w:pPr>
            <w:r w:rsidRPr="00EB3D94">
              <w:rPr>
                <w:rFonts w:cs="Calibri"/>
                <w:lang w:val="es-ES"/>
              </w:rPr>
              <w:t>Consorcio del Transporte Público del Área de Lérida, Autoridad Territorial de Movilidad</w:t>
            </w:r>
          </w:p>
        </w:tc>
      </w:tr>
      <w:tr w:rsidR="00EB3D94" w:rsidRPr="00EB3D94" w14:paraId="1E68F0D7" w14:textId="77777777" w:rsidTr="0001199B">
        <w:trPr>
          <w:trHeight w:val="290"/>
        </w:trPr>
        <w:tc>
          <w:tcPr>
            <w:tcW w:w="8760" w:type="dxa"/>
            <w:tcBorders>
              <w:top w:val="nil"/>
              <w:left w:val="nil"/>
              <w:bottom w:val="nil"/>
              <w:right w:val="nil"/>
            </w:tcBorders>
            <w:shd w:val="clear" w:color="000000" w:fill="FFFFFF"/>
            <w:vAlign w:val="bottom"/>
          </w:tcPr>
          <w:p w14:paraId="68A72477" w14:textId="3E6F78A0" w:rsidR="002C2C3E" w:rsidRPr="00EB3D94" w:rsidRDefault="002C2C3E" w:rsidP="002C2C3E">
            <w:pPr>
              <w:rPr>
                <w:rFonts w:cs="Calibri"/>
                <w:lang w:val="es-ES"/>
              </w:rPr>
            </w:pPr>
            <w:r w:rsidRPr="00EB3D94">
              <w:rPr>
                <w:rFonts w:cs="Calibri"/>
              </w:rPr>
              <w:t>Consorci del Transport Públic del Camp de Tarragona, Autoritat Territorial de la Mobilitat</w:t>
            </w:r>
          </w:p>
        </w:tc>
        <w:tc>
          <w:tcPr>
            <w:tcW w:w="8760" w:type="dxa"/>
            <w:tcBorders>
              <w:top w:val="nil"/>
              <w:left w:val="nil"/>
              <w:bottom w:val="nil"/>
              <w:right w:val="nil"/>
            </w:tcBorders>
            <w:shd w:val="clear" w:color="000000" w:fill="FFFFFF"/>
            <w:noWrap/>
            <w:vAlign w:val="bottom"/>
            <w:hideMark/>
          </w:tcPr>
          <w:p w14:paraId="3E42A962" w14:textId="45BFC2F6" w:rsidR="002C2C3E" w:rsidRPr="00EB3D94" w:rsidRDefault="002C2C3E" w:rsidP="002C2C3E">
            <w:pPr>
              <w:rPr>
                <w:rFonts w:cs="Calibri"/>
                <w:lang w:val="es-ES"/>
              </w:rPr>
            </w:pPr>
            <w:r w:rsidRPr="00EB3D94">
              <w:rPr>
                <w:rFonts w:cs="Calibri"/>
                <w:lang w:val="es-ES"/>
              </w:rPr>
              <w:t>Consorcio del Transporte Público del Campo de Tarragona, Autoridad Territorial de la Movilidad</w:t>
            </w:r>
          </w:p>
        </w:tc>
      </w:tr>
      <w:tr w:rsidR="00EB3D94" w:rsidRPr="00EB3D94" w14:paraId="125D6D1A" w14:textId="77777777" w:rsidTr="0001199B">
        <w:trPr>
          <w:trHeight w:val="290"/>
        </w:trPr>
        <w:tc>
          <w:tcPr>
            <w:tcW w:w="8760" w:type="dxa"/>
            <w:tcBorders>
              <w:top w:val="nil"/>
              <w:left w:val="nil"/>
              <w:bottom w:val="nil"/>
              <w:right w:val="nil"/>
            </w:tcBorders>
            <w:shd w:val="clear" w:color="000000" w:fill="FFFFFF"/>
            <w:vAlign w:val="bottom"/>
          </w:tcPr>
          <w:p w14:paraId="7536FF12" w14:textId="5573557C" w:rsidR="002C2C3E" w:rsidRPr="00EB3D94" w:rsidRDefault="002C2C3E" w:rsidP="002C2C3E">
            <w:pPr>
              <w:rPr>
                <w:rFonts w:cs="Calibri"/>
                <w:lang w:val="es-ES"/>
              </w:rPr>
            </w:pPr>
            <w:r w:rsidRPr="00EB3D94">
              <w:rPr>
                <w:rFonts w:cs="Calibri"/>
              </w:rPr>
              <w:t>Consorci Hospitalari de Vic</w:t>
            </w:r>
          </w:p>
        </w:tc>
        <w:tc>
          <w:tcPr>
            <w:tcW w:w="8760" w:type="dxa"/>
            <w:tcBorders>
              <w:top w:val="nil"/>
              <w:left w:val="nil"/>
              <w:bottom w:val="nil"/>
              <w:right w:val="nil"/>
            </w:tcBorders>
            <w:shd w:val="clear" w:color="000000" w:fill="FFFFFF"/>
            <w:noWrap/>
            <w:vAlign w:val="bottom"/>
            <w:hideMark/>
          </w:tcPr>
          <w:p w14:paraId="3AEC3296" w14:textId="6F2EE5E9" w:rsidR="002C2C3E" w:rsidRPr="00EB3D94" w:rsidRDefault="002C2C3E" w:rsidP="002C2C3E">
            <w:pPr>
              <w:rPr>
                <w:rFonts w:cs="Calibri"/>
                <w:lang w:val="es-ES"/>
              </w:rPr>
            </w:pPr>
            <w:r w:rsidRPr="00EB3D94">
              <w:rPr>
                <w:rFonts w:cs="Calibri"/>
                <w:lang w:val="es-ES"/>
              </w:rPr>
              <w:t>Consorcio Hospitalario de Vic</w:t>
            </w:r>
          </w:p>
        </w:tc>
      </w:tr>
      <w:tr w:rsidR="00EB3D94" w:rsidRPr="00EB3D94" w14:paraId="1EA95BC3" w14:textId="77777777" w:rsidTr="0001199B">
        <w:trPr>
          <w:trHeight w:val="290"/>
        </w:trPr>
        <w:tc>
          <w:tcPr>
            <w:tcW w:w="8760" w:type="dxa"/>
            <w:tcBorders>
              <w:top w:val="nil"/>
              <w:left w:val="nil"/>
              <w:bottom w:val="nil"/>
              <w:right w:val="nil"/>
            </w:tcBorders>
            <w:shd w:val="clear" w:color="000000" w:fill="FFFFFF"/>
            <w:vAlign w:val="bottom"/>
          </w:tcPr>
          <w:p w14:paraId="27F3A92F" w14:textId="44A35B33" w:rsidR="002C2C3E" w:rsidRPr="00EB3D94" w:rsidRDefault="002C2C3E" w:rsidP="002C2C3E">
            <w:pPr>
              <w:rPr>
                <w:rFonts w:cs="Calibri"/>
                <w:lang w:val="es-ES"/>
              </w:rPr>
            </w:pPr>
            <w:r w:rsidRPr="00EB3D94">
              <w:rPr>
                <w:rFonts w:cs="Calibri"/>
              </w:rPr>
              <w:t>Consorci Institut Català d'Avaluació de Polítiques Públiques (</w:t>
            </w:r>
            <w:proofErr w:type="spellStart"/>
            <w:r w:rsidRPr="00EB3D94">
              <w:rPr>
                <w:rFonts w:cs="Calibri"/>
              </w:rPr>
              <w:t>Ivàlua</w:t>
            </w:r>
            <w:proofErr w:type="spellEnd"/>
            <w:r w:rsidRPr="00EB3D94">
              <w:rPr>
                <w:rFonts w:cs="Calibri"/>
              </w:rPr>
              <w:t>)</w:t>
            </w:r>
          </w:p>
        </w:tc>
        <w:tc>
          <w:tcPr>
            <w:tcW w:w="8760" w:type="dxa"/>
            <w:tcBorders>
              <w:top w:val="nil"/>
              <w:left w:val="nil"/>
              <w:bottom w:val="nil"/>
              <w:right w:val="nil"/>
            </w:tcBorders>
            <w:shd w:val="clear" w:color="000000" w:fill="FFFFFF"/>
            <w:noWrap/>
            <w:vAlign w:val="bottom"/>
            <w:hideMark/>
          </w:tcPr>
          <w:p w14:paraId="252F324C" w14:textId="59E4573D" w:rsidR="002C2C3E" w:rsidRPr="00EB3D94" w:rsidRDefault="002C2C3E" w:rsidP="002C2C3E">
            <w:pPr>
              <w:rPr>
                <w:rFonts w:cs="Calibri"/>
                <w:lang w:val="es-ES"/>
              </w:rPr>
            </w:pPr>
            <w:r w:rsidRPr="00EB3D94">
              <w:rPr>
                <w:rFonts w:cs="Calibri"/>
                <w:lang w:val="es-ES"/>
              </w:rPr>
              <w:t>Consorcio Instituto Catalán de Evaluación de Políticas Públicas (</w:t>
            </w:r>
            <w:proofErr w:type="spellStart"/>
            <w:r w:rsidRPr="00EB3D94">
              <w:rPr>
                <w:rFonts w:cs="Calibri"/>
                <w:lang w:val="es-ES"/>
              </w:rPr>
              <w:t>Ivàlua</w:t>
            </w:r>
            <w:proofErr w:type="spellEnd"/>
            <w:r w:rsidRPr="00EB3D94">
              <w:rPr>
                <w:rFonts w:cs="Calibri"/>
                <w:lang w:val="es-ES"/>
              </w:rPr>
              <w:t>)</w:t>
            </w:r>
          </w:p>
        </w:tc>
      </w:tr>
      <w:tr w:rsidR="00EB3D94" w:rsidRPr="00EB3D94" w14:paraId="351B2639" w14:textId="77777777" w:rsidTr="0001199B">
        <w:trPr>
          <w:trHeight w:val="290"/>
        </w:trPr>
        <w:tc>
          <w:tcPr>
            <w:tcW w:w="8760" w:type="dxa"/>
            <w:tcBorders>
              <w:top w:val="nil"/>
              <w:left w:val="nil"/>
              <w:bottom w:val="nil"/>
              <w:right w:val="nil"/>
            </w:tcBorders>
            <w:shd w:val="clear" w:color="000000" w:fill="FFFFFF"/>
            <w:vAlign w:val="bottom"/>
          </w:tcPr>
          <w:p w14:paraId="3E760642" w14:textId="49EE959C" w:rsidR="002C2C3E" w:rsidRPr="00EB3D94" w:rsidRDefault="002C2C3E" w:rsidP="002C2C3E">
            <w:pPr>
              <w:rPr>
                <w:rFonts w:cs="Calibri"/>
                <w:lang w:val="es-ES"/>
              </w:rPr>
            </w:pPr>
            <w:r w:rsidRPr="00EB3D94">
              <w:rPr>
                <w:rFonts w:cs="Calibri"/>
              </w:rPr>
              <w:t>Consorci Institut Europeu de la Mediterrània</w:t>
            </w:r>
          </w:p>
        </w:tc>
        <w:tc>
          <w:tcPr>
            <w:tcW w:w="8760" w:type="dxa"/>
            <w:tcBorders>
              <w:top w:val="nil"/>
              <w:left w:val="nil"/>
              <w:bottom w:val="nil"/>
              <w:right w:val="nil"/>
            </w:tcBorders>
            <w:shd w:val="clear" w:color="000000" w:fill="FFFFFF"/>
            <w:noWrap/>
            <w:vAlign w:val="bottom"/>
            <w:hideMark/>
          </w:tcPr>
          <w:p w14:paraId="62320C9F" w14:textId="49AE4ABD" w:rsidR="002C2C3E" w:rsidRPr="00EB3D94" w:rsidRDefault="002C2C3E" w:rsidP="002C2C3E">
            <w:pPr>
              <w:rPr>
                <w:rFonts w:cs="Calibri"/>
                <w:lang w:val="es-ES"/>
              </w:rPr>
            </w:pPr>
            <w:r w:rsidRPr="00EB3D94">
              <w:rPr>
                <w:rFonts w:cs="Calibri"/>
                <w:lang w:val="es-ES"/>
              </w:rPr>
              <w:t>Consorcio Instituto Europeo del Mediterráneo</w:t>
            </w:r>
          </w:p>
        </w:tc>
      </w:tr>
      <w:tr w:rsidR="00EB3D94" w:rsidRPr="00EB3D94" w14:paraId="371DCB06" w14:textId="77777777" w:rsidTr="0001199B">
        <w:trPr>
          <w:trHeight w:val="290"/>
        </w:trPr>
        <w:tc>
          <w:tcPr>
            <w:tcW w:w="8760" w:type="dxa"/>
            <w:tcBorders>
              <w:top w:val="nil"/>
              <w:left w:val="nil"/>
              <w:bottom w:val="nil"/>
              <w:right w:val="nil"/>
            </w:tcBorders>
            <w:shd w:val="clear" w:color="000000" w:fill="FFFFFF"/>
            <w:vAlign w:val="bottom"/>
          </w:tcPr>
          <w:p w14:paraId="7878EF66" w14:textId="60EE5298" w:rsidR="002C2C3E" w:rsidRPr="00EB3D94" w:rsidRDefault="002C2C3E" w:rsidP="002C2C3E">
            <w:pPr>
              <w:rPr>
                <w:rFonts w:cs="Calibri"/>
                <w:lang w:val="es-ES"/>
              </w:rPr>
            </w:pPr>
            <w:r w:rsidRPr="00EB3D94">
              <w:rPr>
                <w:rFonts w:cs="Calibri"/>
              </w:rPr>
              <w:t>Consorci Mar Parc de Salut de Barcelona</w:t>
            </w:r>
          </w:p>
        </w:tc>
        <w:tc>
          <w:tcPr>
            <w:tcW w:w="8760" w:type="dxa"/>
            <w:tcBorders>
              <w:top w:val="nil"/>
              <w:left w:val="nil"/>
              <w:bottom w:val="nil"/>
              <w:right w:val="nil"/>
            </w:tcBorders>
            <w:shd w:val="clear" w:color="000000" w:fill="FFFFFF"/>
            <w:noWrap/>
            <w:vAlign w:val="bottom"/>
            <w:hideMark/>
          </w:tcPr>
          <w:p w14:paraId="6D963936" w14:textId="50DAE466" w:rsidR="002C2C3E" w:rsidRPr="00EB3D94" w:rsidRDefault="002C2C3E" w:rsidP="002C2C3E">
            <w:pPr>
              <w:rPr>
                <w:rFonts w:cs="Calibri"/>
                <w:lang w:val="es-ES"/>
              </w:rPr>
            </w:pPr>
            <w:r w:rsidRPr="00EB3D94">
              <w:rPr>
                <w:rFonts w:cs="Calibri"/>
                <w:lang w:val="es-ES"/>
              </w:rPr>
              <w:t>Consorcio Mar Parco de Salud de Barcelona</w:t>
            </w:r>
          </w:p>
        </w:tc>
      </w:tr>
      <w:tr w:rsidR="00EB3D94" w:rsidRPr="00EB3D94" w14:paraId="30885A41" w14:textId="77777777" w:rsidTr="0001199B">
        <w:trPr>
          <w:trHeight w:val="290"/>
        </w:trPr>
        <w:tc>
          <w:tcPr>
            <w:tcW w:w="8760" w:type="dxa"/>
            <w:tcBorders>
              <w:top w:val="nil"/>
              <w:left w:val="nil"/>
              <w:bottom w:val="nil"/>
              <w:right w:val="nil"/>
            </w:tcBorders>
            <w:shd w:val="clear" w:color="000000" w:fill="FFFFFF"/>
            <w:vAlign w:val="bottom"/>
          </w:tcPr>
          <w:p w14:paraId="556F1AC2" w14:textId="31E371A7" w:rsidR="002C2C3E" w:rsidRPr="00EB3D94" w:rsidRDefault="002C2C3E" w:rsidP="002C2C3E">
            <w:pPr>
              <w:rPr>
                <w:rFonts w:cs="Calibri"/>
                <w:lang w:val="es-ES"/>
              </w:rPr>
            </w:pPr>
            <w:r w:rsidRPr="00EB3D94">
              <w:rPr>
                <w:rFonts w:cs="Calibri"/>
              </w:rPr>
              <w:t>Consorci Museu d'Art Contemporani de Barcelona</w:t>
            </w:r>
          </w:p>
        </w:tc>
        <w:tc>
          <w:tcPr>
            <w:tcW w:w="8760" w:type="dxa"/>
            <w:tcBorders>
              <w:top w:val="nil"/>
              <w:left w:val="nil"/>
              <w:bottom w:val="nil"/>
              <w:right w:val="nil"/>
            </w:tcBorders>
            <w:shd w:val="clear" w:color="000000" w:fill="FFFFFF"/>
            <w:noWrap/>
            <w:vAlign w:val="bottom"/>
            <w:hideMark/>
          </w:tcPr>
          <w:p w14:paraId="0D026925" w14:textId="52850DCC" w:rsidR="002C2C3E" w:rsidRPr="00EB3D94" w:rsidRDefault="002C2C3E" w:rsidP="002C2C3E">
            <w:pPr>
              <w:rPr>
                <w:rFonts w:cs="Calibri"/>
                <w:lang w:val="es-ES"/>
              </w:rPr>
            </w:pPr>
            <w:r w:rsidRPr="00EB3D94">
              <w:rPr>
                <w:rFonts w:cs="Calibri"/>
                <w:lang w:val="es-ES"/>
              </w:rPr>
              <w:t>Consorcio Museo de Arte Contemporáneo de Barcelona</w:t>
            </w:r>
          </w:p>
        </w:tc>
      </w:tr>
      <w:tr w:rsidR="00EB3D94" w:rsidRPr="00EB3D94" w14:paraId="3489237E" w14:textId="77777777" w:rsidTr="0001199B">
        <w:trPr>
          <w:trHeight w:val="290"/>
        </w:trPr>
        <w:tc>
          <w:tcPr>
            <w:tcW w:w="8760" w:type="dxa"/>
            <w:tcBorders>
              <w:top w:val="nil"/>
              <w:left w:val="nil"/>
              <w:bottom w:val="nil"/>
              <w:right w:val="nil"/>
            </w:tcBorders>
            <w:shd w:val="clear" w:color="000000" w:fill="FFFFFF"/>
            <w:vAlign w:val="bottom"/>
          </w:tcPr>
          <w:p w14:paraId="3344B58A" w14:textId="7D8BE4BD" w:rsidR="002C2C3E" w:rsidRPr="00EB3D94" w:rsidRDefault="002C2C3E" w:rsidP="002C2C3E">
            <w:pPr>
              <w:rPr>
                <w:rFonts w:cs="Calibri"/>
                <w:lang w:val="es-ES"/>
              </w:rPr>
            </w:pPr>
            <w:r w:rsidRPr="00EB3D94">
              <w:rPr>
                <w:rFonts w:cs="Calibri"/>
              </w:rPr>
              <w:t>Consorci Museu Nacional d'Art de Catalunya</w:t>
            </w:r>
          </w:p>
        </w:tc>
        <w:tc>
          <w:tcPr>
            <w:tcW w:w="8760" w:type="dxa"/>
            <w:tcBorders>
              <w:top w:val="nil"/>
              <w:left w:val="nil"/>
              <w:bottom w:val="nil"/>
              <w:right w:val="nil"/>
            </w:tcBorders>
            <w:shd w:val="clear" w:color="000000" w:fill="FFFFFF"/>
            <w:noWrap/>
            <w:vAlign w:val="bottom"/>
            <w:hideMark/>
          </w:tcPr>
          <w:p w14:paraId="79FB30B9" w14:textId="2262618A" w:rsidR="002C2C3E" w:rsidRPr="00EB3D94" w:rsidRDefault="002C2C3E" w:rsidP="002C2C3E">
            <w:pPr>
              <w:rPr>
                <w:rFonts w:cs="Calibri"/>
                <w:lang w:val="es-ES"/>
              </w:rPr>
            </w:pPr>
            <w:r w:rsidRPr="00EB3D94">
              <w:rPr>
                <w:rFonts w:cs="Calibri"/>
                <w:lang w:val="es-ES"/>
              </w:rPr>
              <w:t>Consorcio Museo Nacional de Arte de Cataluña</w:t>
            </w:r>
          </w:p>
        </w:tc>
      </w:tr>
      <w:tr w:rsidR="00EB3D94" w:rsidRPr="00EB3D94" w14:paraId="43B4E7F4" w14:textId="77777777" w:rsidTr="0001199B">
        <w:trPr>
          <w:trHeight w:val="290"/>
        </w:trPr>
        <w:tc>
          <w:tcPr>
            <w:tcW w:w="8760" w:type="dxa"/>
            <w:tcBorders>
              <w:top w:val="nil"/>
              <w:left w:val="nil"/>
              <w:bottom w:val="nil"/>
              <w:right w:val="nil"/>
            </w:tcBorders>
            <w:shd w:val="clear" w:color="000000" w:fill="FFFFFF"/>
            <w:vAlign w:val="bottom"/>
          </w:tcPr>
          <w:p w14:paraId="725CD3E6" w14:textId="7AD31507" w:rsidR="002C2C3E" w:rsidRPr="00EB3D94" w:rsidRDefault="002C2C3E" w:rsidP="002C2C3E">
            <w:pPr>
              <w:rPr>
                <w:rFonts w:cs="Calibri"/>
                <w:lang w:val="es-ES"/>
              </w:rPr>
            </w:pPr>
            <w:r w:rsidRPr="00EB3D94">
              <w:rPr>
                <w:rFonts w:cs="Calibri"/>
              </w:rPr>
              <w:t>Consorci Patronat de la Vall de Núria</w:t>
            </w:r>
          </w:p>
        </w:tc>
        <w:tc>
          <w:tcPr>
            <w:tcW w:w="8760" w:type="dxa"/>
            <w:tcBorders>
              <w:top w:val="nil"/>
              <w:left w:val="nil"/>
              <w:bottom w:val="nil"/>
              <w:right w:val="nil"/>
            </w:tcBorders>
            <w:shd w:val="clear" w:color="000000" w:fill="FFFFFF"/>
            <w:noWrap/>
            <w:vAlign w:val="bottom"/>
            <w:hideMark/>
          </w:tcPr>
          <w:p w14:paraId="0C235D09" w14:textId="6DF530C4" w:rsidR="002C2C3E" w:rsidRPr="00EB3D94" w:rsidRDefault="002C2C3E" w:rsidP="002C2C3E">
            <w:pPr>
              <w:rPr>
                <w:rFonts w:cs="Calibri"/>
                <w:lang w:val="es-ES"/>
              </w:rPr>
            </w:pPr>
            <w:r w:rsidRPr="00EB3D94">
              <w:rPr>
                <w:rFonts w:cs="Calibri"/>
                <w:lang w:val="es-ES"/>
              </w:rPr>
              <w:t>Consorcio Patronato del Valle de Núria</w:t>
            </w:r>
          </w:p>
        </w:tc>
      </w:tr>
      <w:tr w:rsidR="00EB3D94" w:rsidRPr="00EB3D94" w14:paraId="61F5E645" w14:textId="77777777" w:rsidTr="0001199B">
        <w:trPr>
          <w:trHeight w:val="290"/>
        </w:trPr>
        <w:tc>
          <w:tcPr>
            <w:tcW w:w="8760" w:type="dxa"/>
            <w:tcBorders>
              <w:top w:val="nil"/>
              <w:left w:val="nil"/>
              <w:bottom w:val="nil"/>
              <w:right w:val="nil"/>
            </w:tcBorders>
            <w:shd w:val="clear" w:color="000000" w:fill="FFFFFF"/>
            <w:vAlign w:val="bottom"/>
          </w:tcPr>
          <w:p w14:paraId="44EEDEEA" w14:textId="0EDA9CD1" w:rsidR="002C2C3E" w:rsidRPr="00EB3D94" w:rsidRDefault="002C2C3E" w:rsidP="002C2C3E">
            <w:pPr>
              <w:rPr>
                <w:rFonts w:cs="Calibri"/>
                <w:lang w:val="es-ES"/>
              </w:rPr>
            </w:pPr>
            <w:r w:rsidRPr="00EB3D94">
              <w:rPr>
                <w:rFonts w:cs="Calibri"/>
              </w:rPr>
              <w:t>Consorci per a la Formació Contínua de Catalunya</w:t>
            </w:r>
          </w:p>
        </w:tc>
        <w:tc>
          <w:tcPr>
            <w:tcW w:w="8760" w:type="dxa"/>
            <w:tcBorders>
              <w:top w:val="nil"/>
              <w:left w:val="nil"/>
              <w:bottom w:val="nil"/>
              <w:right w:val="nil"/>
            </w:tcBorders>
            <w:shd w:val="clear" w:color="000000" w:fill="FFFFFF"/>
            <w:noWrap/>
            <w:vAlign w:val="bottom"/>
            <w:hideMark/>
          </w:tcPr>
          <w:p w14:paraId="0E3352A3" w14:textId="6E3A12C4" w:rsidR="002C2C3E" w:rsidRPr="00EB3D94" w:rsidRDefault="002C2C3E" w:rsidP="002C2C3E">
            <w:pPr>
              <w:rPr>
                <w:rFonts w:cs="Calibri"/>
                <w:lang w:val="es-ES"/>
              </w:rPr>
            </w:pPr>
            <w:r w:rsidRPr="00EB3D94">
              <w:rPr>
                <w:rFonts w:cs="Calibri"/>
                <w:lang w:val="es-ES"/>
              </w:rPr>
              <w:t>Consorcio para la Formación Continua de Cataluña</w:t>
            </w:r>
          </w:p>
        </w:tc>
      </w:tr>
      <w:tr w:rsidR="00EB3D94" w:rsidRPr="00EB3D94" w14:paraId="7303174B" w14:textId="77777777" w:rsidTr="0001199B">
        <w:trPr>
          <w:trHeight w:val="290"/>
        </w:trPr>
        <w:tc>
          <w:tcPr>
            <w:tcW w:w="8760" w:type="dxa"/>
            <w:tcBorders>
              <w:top w:val="nil"/>
              <w:left w:val="nil"/>
              <w:bottom w:val="nil"/>
              <w:right w:val="nil"/>
            </w:tcBorders>
            <w:shd w:val="clear" w:color="000000" w:fill="FFFFFF"/>
            <w:vAlign w:val="bottom"/>
          </w:tcPr>
          <w:p w14:paraId="35D48EB5" w14:textId="73BEA75C" w:rsidR="002C2C3E" w:rsidRPr="00EB3D94" w:rsidRDefault="002C2C3E" w:rsidP="002C2C3E">
            <w:pPr>
              <w:rPr>
                <w:rFonts w:cs="Calibri"/>
                <w:lang w:val="es-ES"/>
              </w:rPr>
            </w:pPr>
            <w:r w:rsidRPr="00EB3D94">
              <w:rPr>
                <w:rFonts w:cs="Calibri"/>
              </w:rPr>
              <w:t>Consorci per a la Normalització Lingüística</w:t>
            </w:r>
          </w:p>
        </w:tc>
        <w:tc>
          <w:tcPr>
            <w:tcW w:w="8760" w:type="dxa"/>
            <w:tcBorders>
              <w:top w:val="nil"/>
              <w:left w:val="nil"/>
              <w:bottom w:val="nil"/>
              <w:right w:val="nil"/>
            </w:tcBorders>
            <w:shd w:val="clear" w:color="000000" w:fill="FFFFFF"/>
            <w:noWrap/>
            <w:vAlign w:val="bottom"/>
            <w:hideMark/>
          </w:tcPr>
          <w:p w14:paraId="318FC19B" w14:textId="1AEA9EA3" w:rsidR="002C2C3E" w:rsidRPr="00EB3D94" w:rsidRDefault="002C2C3E" w:rsidP="002C2C3E">
            <w:pPr>
              <w:rPr>
                <w:rFonts w:cs="Calibri"/>
                <w:lang w:val="es-ES"/>
              </w:rPr>
            </w:pPr>
            <w:r w:rsidRPr="00EB3D94">
              <w:rPr>
                <w:rFonts w:cs="Calibri"/>
                <w:lang w:val="es-ES"/>
              </w:rPr>
              <w:t>Consorcio para la Normalización Lingüística</w:t>
            </w:r>
          </w:p>
        </w:tc>
      </w:tr>
      <w:tr w:rsidR="00EB3D94" w:rsidRPr="00EB3D94" w14:paraId="4B147D81" w14:textId="77777777" w:rsidTr="0001199B">
        <w:trPr>
          <w:trHeight w:val="290"/>
        </w:trPr>
        <w:tc>
          <w:tcPr>
            <w:tcW w:w="8760" w:type="dxa"/>
            <w:tcBorders>
              <w:top w:val="nil"/>
              <w:left w:val="nil"/>
              <w:bottom w:val="nil"/>
              <w:right w:val="nil"/>
            </w:tcBorders>
            <w:shd w:val="clear" w:color="000000" w:fill="FFFFFF"/>
            <w:vAlign w:val="bottom"/>
          </w:tcPr>
          <w:p w14:paraId="0BA03D27" w14:textId="74275F6B" w:rsidR="002C2C3E" w:rsidRPr="00EB3D94" w:rsidRDefault="002C2C3E" w:rsidP="002C2C3E">
            <w:pPr>
              <w:rPr>
                <w:rFonts w:cs="Calibri"/>
                <w:lang w:val="es-ES"/>
              </w:rPr>
            </w:pPr>
            <w:r w:rsidRPr="00EB3D94">
              <w:rPr>
                <w:rFonts w:cs="Calibri"/>
              </w:rPr>
              <w:t xml:space="preserve">Consorci per a la Protecció i la Gestió de l'Espai d'Interès Natural Serra de </w:t>
            </w:r>
            <w:proofErr w:type="spellStart"/>
            <w:r w:rsidRPr="00EB3D94">
              <w:rPr>
                <w:rFonts w:cs="Calibri"/>
              </w:rPr>
              <w:t>Llaberia</w:t>
            </w:r>
            <w:proofErr w:type="spellEnd"/>
          </w:p>
        </w:tc>
        <w:tc>
          <w:tcPr>
            <w:tcW w:w="8760" w:type="dxa"/>
            <w:tcBorders>
              <w:top w:val="nil"/>
              <w:left w:val="nil"/>
              <w:bottom w:val="nil"/>
              <w:right w:val="nil"/>
            </w:tcBorders>
            <w:shd w:val="clear" w:color="000000" w:fill="FFFFFF"/>
            <w:noWrap/>
            <w:vAlign w:val="bottom"/>
            <w:hideMark/>
          </w:tcPr>
          <w:p w14:paraId="58A19D18" w14:textId="36739823" w:rsidR="002C2C3E" w:rsidRPr="00EB3D94" w:rsidRDefault="002C2C3E" w:rsidP="002C2C3E">
            <w:pPr>
              <w:rPr>
                <w:rFonts w:cs="Calibri"/>
                <w:lang w:val="es-ES"/>
              </w:rPr>
            </w:pPr>
            <w:r w:rsidRPr="00EB3D94">
              <w:rPr>
                <w:rFonts w:cs="Calibri"/>
                <w:lang w:val="es-ES"/>
              </w:rPr>
              <w:t xml:space="preserve">Consorcio para la Protección y la Gestión del Espacio de Interés Natural Sierra de </w:t>
            </w:r>
            <w:proofErr w:type="spellStart"/>
            <w:r w:rsidRPr="00EB3D94">
              <w:rPr>
                <w:rFonts w:cs="Calibri"/>
                <w:lang w:val="es-ES"/>
              </w:rPr>
              <w:t>Llaberia</w:t>
            </w:r>
            <w:proofErr w:type="spellEnd"/>
          </w:p>
        </w:tc>
      </w:tr>
      <w:tr w:rsidR="00EB3D94" w:rsidRPr="00EB3D94" w14:paraId="15F9E450" w14:textId="77777777" w:rsidTr="0001199B">
        <w:trPr>
          <w:trHeight w:val="290"/>
        </w:trPr>
        <w:tc>
          <w:tcPr>
            <w:tcW w:w="8760" w:type="dxa"/>
            <w:tcBorders>
              <w:top w:val="nil"/>
              <w:left w:val="nil"/>
              <w:bottom w:val="nil"/>
              <w:right w:val="nil"/>
            </w:tcBorders>
            <w:shd w:val="clear" w:color="000000" w:fill="FFFFFF"/>
            <w:vAlign w:val="bottom"/>
          </w:tcPr>
          <w:p w14:paraId="20E180B0" w14:textId="25847466" w:rsidR="002C2C3E" w:rsidRPr="00EB3D94" w:rsidRDefault="002C2C3E" w:rsidP="002C2C3E">
            <w:pPr>
              <w:rPr>
                <w:rFonts w:cs="Calibri"/>
                <w:lang w:val="es-ES"/>
              </w:rPr>
            </w:pPr>
            <w:r w:rsidRPr="00EB3D94">
              <w:rPr>
                <w:rFonts w:cs="Calibri"/>
              </w:rPr>
              <w:t>Consorci per a la Reforma de la Gran Via de l'Hospitalet de Llobregat</w:t>
            </w:r>
          </w:p>
        </w:tc>
        <w:tc>
          <w:tcPr>
            <w:tcW w:w="8760" w:type="dxa"/>
            <w:tcBorders>
              <w:top w:val="nil"/>
              <w:left w:val="nil"/>
              <w:bottom w:val="nil"/>
              <w:right w:val="nil"/>
            </w:tcBorders>
            <w:shd w:val="clear" w:color="000000" w:fill="FFFFFF"/>
            <w:noWrap/>
            <w:vAlign w:val="bottom"/>
            <w:hideMark/>
          </w:tcPr>
          <w:p w14:paraId="6C1FAB42" w14:textId="1D56AAC1" w:rsidR="002C2C3E" w:rsidRPr="00EB3D94" w:rsidRDefault="002C2C3E" w:rsidP="002C2C3E">
            <w:pPr>
              <w:rPr>
                <w:rFonts w:cs="Calibri"/>
                <w:lang w:val="es-ES"/>
              </w:rPr>
            </w:pPr>
            <w:r w:rsidRPr="00EB3D94">
              <w:rPr>
                <w:rFonts w:cs="Calibri"/>
                <w:lang w:val="es-ES"/>
              </w:rPr>
              <w:t>Consorcio para la Reforma de la Gran Vía de l'Hospitalet de Llobregat</w:t>
            </w:r>
          </w:p>
        </w:tc>
      </w:tr>
      <w:tr w:rsidR="00EB3D94" w:rsidRPr="00EB3D94" w14:paraId="777C76E8" w14:textId="77777777" w:rsidTr="0001199B">
        <w:trPr>
          <w:trHeight w:val="290"/>
        </w:trPr>
        <w:tc>
          <w:tcPr>
            <w:tcW w:w="8760" w:type="dxa"/>
            <w:tcBorders>
              <w:top w:val="nil"/>
              <w:left w:val="nil"/>
              <w:bottom w:val="nil"/>
              <w:right w:val="nil"/>
            </w:tcBorders>
            <w:shd w:val="clear" w:color="000000" w:fill="FFFFFF"/>
            <w:vAlign w:val="bottom"/>
          </w:tcPr>
          <w:p w14:paraId="12A55010" w14:textId="65722F84" w:rsidR="002C2C3E" w:rsidRPr="00EB3D94" w:rsidRDefault="002C2C3E" w:rsidP="002C2C3E">
            <w:pPr>
              <w:rPr>
                <w:rFonts w:cs="Calibri"/>
                <w:lang w:val="es-ES"/>
              </w:rPr>
            </w:pPr>
            <w:r w:rsidRPr="00EB3D94">
              <w:rPr>
                <w:rFonts w:cs="Calibri"/>
              </w:rPr>
              <w:t>Consorci Sanitari de Barcelona</w:t>
            </w:r>
          </w:p>
        </w:tc>
        <w:tc>
          <w:tcPr>
            <w:tcW w:w="8760" w:type="dxa"/>
            <w:tcBorders>
              <w:top w:val="nil"/>
              <w:left w:val="nil"/>
              <w:bottom w:val="nil"/>
              <w:right w:val="nil"/>
            </w:tcBorders>
            <w:shd w:val="clear" w:color="000000" w:fill="FFFFFF"/>
            <w:noWrap/>
            <w:vAlign w:val="bottom"/>
            <w:hideMark/>
          </w:tcPr>
          <w:p w14:paraId="2EB882BE" w14:textId="061299DC" w:rsidR="002C2C3E" w:rsidRPr="00EB3D94" w:rsidRDefault="002C2C3E" w:rsidP="002C2C3E">
            <w:pPr>
              <w:rPr>
                <w:rFonts w:cs="Calibri"/>
                <w:lang w:val="es-ES"/>
              </w:rPr>
            </w:pPr>
            <w:r w:rsidRPr="00EB3D94">
              <w:rPr>
                <w:rFonts w:cs="Calibri"/>
                <w:lang w:val="es-ES"/>
              </w:rPr>
              <w:t>Consorcio Sanitario de Barcelona</w:t>
            </w:r>
          </w:p>
        </w:tc>
      </w:tr>
      <w:tr w:rsidR="00EB3D94" w:rsidRPr="00EB3D94" w14:paraId="4DEA1D81" w14:textId="77777777" w:rsidTr="0001199B">
        <w:trPr>
          <w:trHeight w:val="290"/>
        </w:trPr>
        <w:tc>
          <w:tcPr>
            <w:tcW w:w="8760" w:type="dxa"/>
            <w:tcBorders>
              <w:top w:val="nil"/>
              <w:left w:val="nil"/>
              <w:bottom w:val="nil"/>
              <w:right w:val="nil"/>
            </w:tcBorders>
            <w:shd w:val="clear" w:color="000000" w:fill="FFFFFF"/>
            <w:vAlign w:val="bottom"/>
          </w:tcPr>
          <w:p w14:paraId="0BB5DE1D" w14:textId="6895B936" w:rsidR="002C2C3E" w:rsidRPr="00EB3D94" w:rsidRDefault="002C2C3E" w:rsidP="002C2C3E">
            <w:pPr>
              <w:rPr>
                <w:rFonts w:cs="Calibri"/>
                <w:lang w:val="es-ES"/>
              </w:rPr>
            </w:pPr>
            <w:r w:rsidRPr="00EB3D94">
              <w:rPr>
                <w:rFonts w:cs="Calibri"/>
              </w:rPr>
              <w:t>Consorci Sanitari de l'Alt Penedès i Garraf</w:t>
            </w:r>
          </w:p>
        </w:tc>
        <w:tc>
          <w:tcPr>
            <w:tcW w:w="8760" w:type="dxa"/>
            <w:tcBorders>
              <w:top w:val="nil"/>
              <w:left w:val="nil"/>
              <w:bottom w:val="nil"/>
              <w:right w:val="nil"/>
            </w:tcBorders>
            <w:shd w:val="clear" w:color="000000" w:fill="FFFFFF"/>
            <w:noWrap/>
            <w:vAlign w:val="bottom"/>
            <w:hideMark/>
          </w:tcPr>
          <w:p w14:paraId="7CEA91D9" w14:textId="6AFD1FB2" w:rsidR="002C2C3E" w:rsidRPr="00EB3D94" w:rsidRDefault="002C2C3E" w:rsidP="002C2C3E">
            <w:pPr>
              <w:rPr>
                <w:rFonts w:cs="Calibri"/>
                <w:lang w:val="es-ES"/>
              </w:rPr>
            </w:pPr>
            <w:r w:rsidRPr="00EB3D94">
              <w:rPr>
                <w:rFonts w:cs="Calibri"/>
                <w:lang w:val="es-ES"/>
              </w:rPr>
              <w:t>Consorcio Sanitario del Alt Penedès y Garraf</w:t>
            </w:r>
          </w:p>
        </w:tc>
      </w:tr>
      <w:tr w:rsidR="00EB3D94" w:rsidRPr="00EB3D94" w14:paraId="640304C4" w14:textId="77777777" w:rsidTr="0001199B">
        <w:trPr>
          <w:trHeight w:val="290"/>
        </w:trPr>
        <w:tc>
          <w:tcPr>
            <w:tcW w:w="8760" w:type="dxa"/>
            <w:tcBorders>
              <w:top w:val="nil"/>
              <w:left w:val="nil"/>
              <w:bottom w:val="nil"/>
              <w:right w:val="nil"/>
            </w:tcBorders>
            <w:shd w:val="clear" w:color="000000" w:fill="FFFFFF"/>
            <w:vAlign w:val="bottom"/>
          </w:tcPr>
          <w:p w14:paraId="0F3C7FD6" w14:textId="52EF39C9" w:rsidR="002C2C3E" w:rsidRPr="00EB3D94" w:rsidRDefault="002C2C3E" w:rsidP="002C2C3E">
            <w:pPr>
              <w:rPr>
                <w:rFonts w:cs="Calibri"/>
                <w:lang w:val="es-ES"/>
              </w:rPr>
            </w:pPr>
            <w:r w:rsidRPr="00EB3D94">
              <w:rPr>
                <w:rFonts w:cs="Calibri"/>
              </w:rPr>
              <w:t>Consorci Sanitari de l'Anoia</w:t>
            </w:r>
          </w:p>
        </w:tc>
        <w:tc>
          <w:tcPr>
            <w:tcW w:w="8760" w:type="dxa"/>
            <w:tcBorders>
              <w:top w:val="nil"/>
              <w:left w:val="nil"/>
              <w:bottom w:val="nil"/>
              <w:right w:val="nil"/>
            </w:tcBorders>
            <w:shd w:val="clear" w:color="000000" w:fill="FFFFFF"/>
            <w:noWrap/>
            <w:vAlign w:val="bottom"/>
            <w:hideMark/>
          </w:tcPr>
          <w:p w14:paraId="297AB874" w14:textId="5B16A81E" w:rsidR="002C2C3E" w:rsidRPr="00EB3D94" w:rsidRDefault="002C2C3E" w:rsidP="002C2C3E">
            <w:pPr>
              <w:rPr>
                <w:rFonts w:cs="Calibri"/>
                <w:lang w:val="es-ES"/>
              </w:rPr>
            </w:pPr>
            <w:r w:rsidRPr="00EB3D94">
              <w:rPr>
                <w:rFonts w:cs="Calibri"/>
                <w:lang w:val="es-ES"/>
              </w:rPr>
              <w:t>Consorcio Sanitario de Anoia</w:t>
            </w:r>
          </w:p>
        </w:tc>
      </w:tr>
      <w:tr w:rsidR="00EB3D94" w:rsidRPr="00EB3D94" w14:paraId="7F6E9424" w14:textId="77777777" w:rsidTr="0001199B">
        <w:trPr>
          <w:trHeight w:val="290"/>
        </w:trPr>
        <w:tc>
          <w:tcPr>
            <w:tcW w:w="8760" w:type="dxa"/>
            <w:tcBorders>
              <w:top w:val="nil"/>
              <w:left w:val="nil"/>
              <w:bottom w:val="nil"/>
              <w:right w:val="nil"/>
            </w:tcBorders>
            <w:shd w:val="clear" w:color="000000" w:fill="FFFFFF"/>
            <w:vAlign w:val="bottom"/>
          </w:tcPr>
          <w:p w14:paraId="01D0B2E6" w14:textId="3E88C6CF" w:rsidR="002C2C3E" w:rsidRPr="00EB3D94" w:rsidRDefault="002C2C3E" w:rsidP="002C2C3E">
            <w:pPr>
              <w:rPr>
                <w:rFonts w:cs="Calibri"/>
                <w:lang w:val="es-ES"/>
              </w:rPr>
            </w:pPr>
            <w:r w:rsidRPr="00EB3D94">
              <w:rPr>
                <w:rFonts w:cs="Calibri"/>
              </w:rPr>
              <w:t>Consorci Sanitari de Terrassa</w:t>
            </w:r>
          </w:p>
        </w:tc>
        <w:tc>
          <w:tcPr>
            <w:tcW w:w="8760" w:type="dxa"/>
            <w:tcBorders>
              <w:top w:val="nil"/>
              <w:left w:val="nil"/>
              <w:bottom w:val="nil"/>
              <w:right w:val="nil"/>
            </w:tcBorders>
            <w:shd w:val="clear" w:color="000000" w:fill="FFFFFF"/>
            <w:noWrap/>
            <w:vAlign w:val="bottom"/>
            <w:hideMark/>
          </w:tcPr>
          <w:p w14:paraId="62DAD01B" w14:textId="1F00EEAA" w:rsidR="002C2C3E" w:rsidRPr="00EB3D94" w:rsidRDefault="002C2C3E" w:rsidP="002C2C3E">
            <w:pPr>
              <w:rPr>
                <w:rFonts w:cs="Calibri"/>
                <w:lang w:val="es-ES"/>
              </w:rPr>
            </w:pPr>
            <w:r w:rsidRPr="00EB3D94">
              <w:rPr>
                <w:rFonts w:cs="Calibri"/>
                <w:lang w:val="es-ES"/>
              </w:rPr>
              <w:t>Consorcio Sanitario de Terrassa</w:t>
            </w:r>
          </w:p>
        </w:tc>
      </w:tr>
      <w:tr w:rsidR="00EB3D94" w:rsidRPr="00EB3D94" w14:paraId="4736D3C9" w14:textId="77777777" w:rsidTr="0001199B">
        <w:trPr>
          <w:trHeight w:val="290"/>
        </w:trPr>
        <w:tc>
          <w:tcPr>
            <w:tcW w:w="8760" w:type="dxa"/>
            <w:tcBorders>
              <w:top w:val="nil"/>
              <w:left w:val="nil"/>
              <w:bottom w:val="nil"/>
              <w:right w:val="nil"/>
            </w:tcBorders>
            <w:shd w:val="clear" w:color="000000" w:fill="FFFFFF"/>
            <w:vAlign w:val="bottom"/>
          </w:tcPr>
          <w:p w14:paraId="48687622" w14:textId="203FD788" w:rsidR="002C2C3E" w:rsidRPr="00EB3D94" w:rsidRDefault="002C2C3E" w:rsidP="002C2C3E">
            <w:pPr>
              <w:rPr>
                <w:rFonts w:cs="Calibri"/>
                <w:lang w:val="es-ES"/>
              </w:rPr>
            </w:pPr>
            <w:r w:rsidRPr="00EB3D94">
              <w:rPr>
                <w:rFonts w:cs="Calibri"/>
              </w:rPr>
              <w:t>Consorci Sanitari del Maresme</w:t>
            </w:r>
          </w:p>
        </w:tc>
        <w:tc>
          <w:tcPr>
            <w:tcW w:w="8760" w:type="dxa"/>
            <w:tcBorders>
              <w:top w:val="nil"/>
              <w:left w:val="nil"/>
              <w:bottom w:val="nil"/>
              <w:right w:val="nil"/>
            </w:tcBorders>
            <w:shd w:val="clear" w:color="000000" w:fill="FFFFFF"/>
            <w:noWrap/>
            <w:vAlign w:val="bottom"/>
            <w:hideMark/>
          </w:tcPr>
          <w:p w14:paraId="50361E57" w14:textId="3E6BCB71" w:rsidR="002C2C3E" w:rsidRPr="00EB3D94" w:rsidRDefault="002C2C3E" w:rsidP="002C2C3E">
            <w:pPr>
              <w:rPr>
                <w:rFonts w:cs="Calibri"/>
                <w:lang w:val="es-ES"/>
              </w:rPr>
            </w:pPr>
            <w:r w:rsidRPr="00EB3D94">
              <w:rPr>
                <w:rFonts w:cs="Calibri"/>
                <w:lang w:val="es-ES"/>
              </w:rPr>
              <w:t>Consorcio Sanitario del Maresme</w:t>
            </w:r>
          </w:p>
        </w:tc>
      </w:tr>
      <w:tr w:rsidR="00EB3D94" w:rsidRPr="00EB3D94" w14:paraId="2A94F64B" w14:textId="77777777" w:rsidTr="0001199B">
        <w:trPr>
          <w:trHeight w:val="290"/>
        </w:trPr>
        <w:tc>
          <w:tcPr>
            <w:tcW w:w="8760" w:type="dxa"/>
            <w:tcBorders>
              <w:top w:val="nil"/>
              <w:left w:val="nil"/>
              <w:bottom w:val="nil"/>
              <w:right w:val="nil"/>
            </w:tcBorders>
            <w:shd w:val="clear" w:color="000000" w:fill="FFFFFF"/>
            <w:vAlign w:val="bottom"/>
          </w:tcPr>
          <w:p w14:paraId="1F99031A" w14:textId="4C3C3833" w:rsidR="002C2C3E" w:rsidRPr="00EB3D94" w:rsidRDefault="002C2C3E" w:rsidP="002C2C3E">
            <w:pPr>
              <w:rPr>
                <w:rFonts w:cs="Calibri"/>
                <w:lang w:val="es-ES"/>
              </w:rPr>
            </w:pPr>
            <w:r w:rsidRPr="00EB3D94">
              <w:rPr>
                <w:rFonts w:cs="Calibri"/>
              </w:rPr>
              <w:t>Consorci Sanitari Integral</w:t>
            </w:r>
          </w:p>
        </w:tc>
        <w:tc>
          <w:tcPr>
            <w:tcW w:w="8760" w:type="dxa"/>
            <w:tcBorders>
              <w:top w:val="nil"/>
              <w:left w:val="nil"/>
              <w:bottom w:val="nil"/>
              <w:right w:val="nil"/>
            </w:tcBorders>
            <w:shd w:val="clear" w:color="000000" w:fill="FFFFFF"/>
            <w:noWrap/>
            <w:vAlign w:val="bottom"/>
            <w:hideMark/>
          </w:tcPr>
          <w:p w14:paraId="1D679A3E" w14:textId="6A88DD27" w:rsidR="002C2C3E" w:rsidRPr="00EB3D94" w:rsidRDefault="002C2C3E" w:rsidP="002C2C3E">
            <w:pPr>
              <w:rPr>
                <w:rFonts w:cs="Calibri"/>
                <w:lang w:val="es-ES"/>
              </w:rPr>
            </w:pPr>
            <w:r w:rsidRPr="00EB3D94">
              <w:rPr>
                <w:rFonts w:cs="Calibri"/>
                <w:lang w:val="es-ES"/>
              </w:rPr>
              <w:t>Consorcio Sanitario Integral</w:t>
            </w:r>
          </w:p>
        </w:tc>
      </w:tr>
      <w:tr w:rsidR="00EB3D94" w:rsidRPr="00EB3D94" w14:paraId="790FBBB0" w14:textId="77777777" w:rsidTr="0001199B">
        <w:trPr>
          <w:trHeight w:val="290"/>
        </w:trPr>
        <w:tc>
          <w:tcPr>
            <w:tcW w:w="8760" w:type="dxa"/>
            <w:tcBorders>
              <w:top w:val="nil"/>
              <w:left w:val="nil"/>
              <w:bottom w:val="nil"/>
              <w:right w:val="nil"/>
            </w:tcBorders>
            <w:shd w:val="clear" w:color="000000" w:fill="FFFFFF"/>
            <w:vAlign w:val="bottom"/>
          </w:tcPr>
          <w:p w14:paraId="6C74C7A2" w14:textId="3D44D46B" w:rsidR="002C2C3E" w:rsidRPr="00EB3D94" w:rsidRDefault="002C2C3E" w:rsidP="002C2C3E">
            <w:pPr>
              <w:rPr>
                <w:rFonts w:cs="Calibri"/>
                <w:lang w:val="es-ES"/>
              </w:rPr>
            </w:pPr>
            <w:r w:rsidRPr="00EB3D94">
              <w:rPr>
                <w:rFonts w:cs="Calibri"/>
              </w:rPr>
              <w:t>Corporació Catalana de Mitjans Audiovisuals (CCMA)</w:t>
            </w:r>
          </w:p>
        </w:tc>
        <w:tc>
          <w:tcPr>
            <w:tcW w:w="8760" w:type="dxa"/>
            <w:tcBorders>
              <w:top w:val="nil"/>
              <w:left w:val="nil"/>
              <w:bottom w:val="nil"/>
              <w:right w:val="nil"/>
            </w:tcBorders>
            <w:shd w:val="clear" w:color="000000" w:fill="FFFFFF"/>
            <w:noWrap/>
            <w:vAlign w:val="bottom"/>
            <w:hideMark/>
          </w:tcPr>
          <w:p w14:paraId="2FB976CF" w14:textId="4C18BF6E" w:rsidR="002C2C3E" w:rsidRPr="00EB3D94" w:rsidRDefault="002C2C3E" w:rsidP="002C2C3E">
            <w:pPr>
              <w:rPr>
                <w:rFonts w:cs="Calibri"/>
                <w:lang w:val="es-ES"/>
              </w:rPr>
            </w:pPr>
            <w:r w:rsidRPr="00EB3D94">
              <w:rPr>
                <w:rFonts w:cs="Calibri"/>
                <w:lang w:val="es-ES"/>
              </w:rPr>
              <w:t>Corporación Catalana de Medios Audiovisuales (CCMA)</w:t>
            </w:r>
          </w:p>
        </w:tc>
      </w:tr>
      <w:tr w:rsidR="00EB3D94" w:rsidRPr="00EB3D94" w14:paraId="7D42E9B1" w14:textId="77777777" w:rsidTr="0001199B">
        <w:trPr>
          <w:trHeight w:val="290"/>
        </w:trPr>
        <w:tc>
          <w:tcPr>
            <w:tcW w:w="8760" w:type="dxa"/>
            <w:tcBorders>
              <w:top w:val="nil"/>
              <w:left w:val="nil"/>
              <w:bottom w:val="nil"/>
              <w:right w:val="nil"/>
            </w:tcBorders>
            <w:shd w:val="clear" w:color="000000" w:fill="FFFFFF"/>
            <w:vAlign w:val="bottom"/>
          </w:tcPr>
          <w:p w14:paraId="5651E52E" w14:textId="1495E930" w:rsidR="002C2C3E" w:rsidRPr="00EB3D94" w:rsidRDefault="002C2C3E" w:rsidP="002C2C3E">
            <w:pPr>
              <w:ind w:firstLineChars="200" w:firstLine="440"/>
              <w:rPr>
                <w:rFonts w:cs="Calibri"/>
                <w:i/>
                <w:iCs/>
                <w:lang w:val="es-ES"/>
              </w:rPr>
            </w:pPr>
            <w:r w:rsidRPr="00EB3D94">
              <w:rPr>
                <w:rFonts w:cs="Calibri"/>
                <w:i/>
                <w:iCs/>
              </w:rPr>
              <w:t>Corporació Catalana de Mitjans Audiovisuals, SA</w:t>
            </w:r>
          </w:p>
        </w:tc>
        <w:tc>
          <w:tcPr>
            <w:tcW w:w="8760" w:type="dxa"/>
            <w:tcBorders>
              <w:top w:val="nil"/>
              <w:left w:val="nil"/>
              <w:bottom w:val="nil"/>
              <w:right w:val="nil"/>
            </w:tcBorders>
            <w:shd w:val="clear" w:color="000000" w:fill="FFFFFF"/>
            <w:noWrap/>
            <w:vAlign w:val="bottom"/>
            <w:hideMark/>
          </w:tcPr>
          <w:p w14:paraId="6BA03CA1" w14:textId="571B8889" w:rsidR="002C2C3E" w:rsidRPr="00EB3D94" w:rsidRDefault="002C2C3E" w:rsidP="002C2C3E">
            <w:pPr>
              <w:ind w:firstLineChars="200" w:firstLine="440"/>
              <w:rPr>
                <w:rFonts w:cs="Calibri"/>
                <w:i/>
                <w:iCs/>
                <w:lang w:val="es-ES"/>
              </w:rPr>
            </w:pPr>
            <w:r w:rsidRPr="00EB3D94">
              <w:rPr>
                <w:rFonts w:cs="Calibri"/>
                <w:i/>
                <w:iCs/>
                <w:lang w:val="es-ES"/>
              </w:rPr>
              <w:t>Corporación Catalana de Medios Audiovisuales, S. A.</w:t>
            </w:r>
          </w:p>
        </w:tc>
      </w:tr>
      <w:tr w:rsidR="00EB3D94" w:rsidRPr="00EB3D94" w14:paraId="6A30652A" w14:textId="77777777" w:rsidTr="0001199B">
        <w:trPr>
          <w:trHeight w:val="290"/>
        </w:trPr>
        <w:tc>
          <w:tcPr>
            <w:tcW w:w="8760" w:type="dxa"/>
            <w:tcBorders>
              <w:top w:val="nil"/>
              <w:left w:val="nil"/>
              <w:bottom w:val="nil"/>
              <w:right w:val="nil"/>
            </w:tcBorders>
            <w:shd w:val="clear" w:color="000000" w:fill="FFFFFF"/>
            <w:vAlign w:val="bottom"/>
          </w:tcPr>
          <w:p w14:paraId="7A803C1E" w14:textId="561F8185" w:rsidR="002C2C3E" w:rsidRPr="00EB3D94" w:rsidRDefault="002C2C3E" w:rsidP="002C2C3E">
            <w:pPr>
              <w:ind w:firstLineChars="200" w:firstLine="440"/>
              <w:rPr>
                <w:rFonts w:cs="Calibri"/>
                <w:i/>
                <w:iCs/>
                <w:lang w:val="es-ES"/>
              </w:rPr>
            </w:pPr>
            <w:r w:rsidRPr="00EB3D94">
              <w:rPr>
                <w:rFonts w:cs="Calibri"/>
                <w:i/>
                <w:iCs/>
              </w:rPr>
              <w:t>TVC Multimèdia, SL</w:t>
            </w:r>
          </w:p>
        </w:tc>
        <w:tc>
          <w:tcPr>
            <w:tcW w:w="8760" w:type="dxa"/>
            <w:tcBorders>
              <w:top w:val="nil"/>
              <w:left w:val="nil"/>
              <w:bottom w:val="nil"/>
              <w:right w:val="nil"/>
            </w:tcBorders>
            <w:shd w:val="clear" w:color="000000" w:fill="FFFFFF"/>
            <w:noWrap/>
            <w:vAlign w:val="bottom"/>
            <w:hideMark/>
          </w:tcPr>
          <w:p w14:paraId="0B0C1939" w14:textId="1ED207C1" w:rsidR="002C2C3E" w:rsidRPr="00EB3D94" w:rsidRDefault="002C2C3E" w:rsidP="002C2C3E">
            <w:pPr>
              <w:ind w:firstLineChars="200" w:firstLine="440"/>
              <w:rPr>
                <w:rFonts w:cs="Calibri"/>
                <w:i/>
                <w:iCs/>
                <w:lang w:val="es-ES"/>
              </w:rPr>
            </w:pPr>
            <w:r w:rsidRPr="00EB3D94">
              <w:rPr>
                <w:rFonts w:cs="Calibri"/>
                <w:i/>
                <w:iCs/>
                <w:lang w:val="es-ES"/>
              </w:rPr>
              <w:t>TVC Multimedia, SL</w:t>
            </w:r>
          </w:p>
        </w:tc>
      </w:tr>
      <w:tr w:rsidR="00EB3D94" w:rsidRPr="00EB3D94" w14:paraId="4043D589" w14:textId="77777777" w:rsidTr="0001199B">
        <w:trPr>
          <w:trHeight w:val="290"/>
        </w:trPr>
        <w:tc>
          <w:tcPr>
            <w:tcW w:w="8760" w:type="dxa"/>
            <w:tcBorders>
              <w:top w:val="nil"/>
              <w:left w:val="nil"/>
              <w:bottom w:val="nil"/>
              <w:right w:val="nil"/>
            </w:tcBorders>
            <w:shd w:val="clear" w:color="000000" w:fill="FFFFFF"/>
            <w:vAlign w:val="bottom"/>
          </w:tcPr>
          <w:p w14:paraId="29ED42D9" w14:textId="11B8B62B" w:rsidR="002C2C3E" w:rsidRPr="00EB3D94" w:rsidRDefault="002C2C3E" w:rsidP="002C2C3E">
            <w:pPr>
              <w:rPr>
                <w:rFonts w:cs="Calibri"/>
                <w:lang w:val="es-ES"/>
              </w:rPr>
            </w:pPr>
            <w:r w:rsidRPr="00EB3D94">
              <w:rPr>
                <w:rFonts w:cs="Calibri"/>
              </w:rPr>
              <w:t>Empresa de Promoció i Localització Industrial de Catalunya, SA (AVANÇSA)</w:t>
            </w:r>
          </w:p>
        </w:tc>
        <w:tc>
          <w:tcPr>
            <w:tcW w:w="8760" w:type="dxa"/>
            <w:tcBorders>
              <w:top w:val="nil"/>
              <w:left w:val="nil"/>
              <w:bottom w:val="nil"/>
              <w:right w:val="nil"/>
            </w:tcBorders>
            <w:shd w:val="clear" w:color="000000" w:fill="FFFFFF"/>
            <w:noWrap/>
            <w:vAlign w:val="bottom"/>
            <w:hideMark/>
          </w:tcPr>
          <w:p w14:paraId="5DA5E4B5" w14:textId="248F5644" w:rsidR="002C2C3E" w:rsidRPr="00EB3D94" w:rsidRDefault="002C2C3E" w:rsidP="002C2C3E">
            <w:pPr>
              <w:rPr>
                <w:rFonts w:cs="Calibri"/>
                <w:lang w:val="es-ES"/>
              </w:rPr>
            </w:pPr>
            <w:r w:rsidRPr="00EB3D94">
              <w:rPr>
                <w:rFonts w:cs="Calibri"/>
                <w:lang w:val="es-ES"/>
              </w:rPr>
              <w:t>Empresa de Promoción y Localización Industrial de Cataluña, S. A. (AVANÇSA)</w:t>
            </w:r>
          </w:p>
        </w:tc>
      </w:tr>
      <w:tr w:rsidR="00EB3D94" w:rsidRPr="00EB3D94" w14:paraId="5F6A09A0" w14:textId="77777777" w:rsidTr="0001199B">
        <w:trPr>
          <w:trHeight w:val="290"/>
        </w:trPr>
        <w:tc>
          <w:tcPr>
            <w:tcW w:w="8760" w:type="dxa"/>
            <w:tcBorders>
              <w:top w:val="nil"/>
              <w:left w:val="nil"/>
              <w:bottom w:val="nil"/>
              <w:right w:val="nil"/>
            </w:tcBorders>
            <w:shd w:val="clear" w:color="000000" w:fill="FFFFFF"/>
            <w:vAlign w:val="bottom"/>
          </w:tcPr>
          <w:p w14:paraId="097EB153" w14:textId="763143D8" w:rsidR="002C2C3E" w:rsidRPr="00EB3D94" w:rsidRDefault="002C2C3E" w:rsidP="002C2C3E">
            <w:pPr>
              <w:rPr>
                <w:rFonts w:cs="Calibri"/>
                <w:lang w:val="es-ES"/>
              </w:rPr>
            </w:pPr>
            <w:r w:rsidRPr="00EB3D94">
              <w:rPr>
                <w:rFonts w:cs="Calibri"/>
              </w:rPr>
              <w:t>Ens d'Abastament d'Aigua Ter-Llobregat</w:t>
            </w:r>
          </w:p>
        </w:tc>
        <w:tc>
          <w:tcPr>
            <w:tcW w:w="8760" w:type="dxa"/>
            <w:tcBorders>
              <w:top w:val="nil"/>
              <w:left w:val="nil"/>
              <w:bottom w:val="nil"/>
              <w:right w:val="nil"/>
            </w:tcBorders>
            <w:shd w:val="clear" w:color="000000" w:fill="FFFFFF"/>
            <w:noWrap/>
            <w:vAlign w:val="bottom"/>
            <w:hideMark/>
          </w:tcPr>
          <w:p w14:paraId="0563C430" w14:textId="0E2A5800" w:rsidR="002C2C3E" w:rsidRPr="00EB3D94" w:rsidRDefault="002C2C3E" w:rsidP="002C2C3E">
            <w:pPr>
              <w:rPr>
                <w:rFonts w:cs="Calibri"/>
                <w:lang w:val="es-ES"/>
              </w:rPr>
            </w:pPr>
            <w:r w:rsidRPr="00EB3D94">
              <w:rPr>
                <w:rFonts w:cs="Calibri"/>
                <w:lang w:val="es-ES"/>
              </w:rPr>
              <w:t>Ente de Abastecimiento de Agua Ter-Llobregat</w:t>
            </w:r>
          </w:p>
        </w:tc>
      </w:tr>
      <w:tr w:rsidR="00EB3D94" w:rsidRPr="00EB3D94" w14:paraId="5D007CE7" w14:textId="77777777" w:rsidTr="0001199B">
        <w:trPr>
          <w:trHeight w:val="290"/>
        </w:trPr>
        <w:tc>
          <w:tcPr>
            <w:tcW w:w="8760" w:type="dxa"/>
            <w:tcBorders>
              <w:top w:val="nil"/>
              <w:left w:val="nil"/>
              <w:bottom w:val="nil"/>
              <w:right w:val="nil"/>
            </w:tcBorders>
            <w:shd w:val="clear" w:color="000000" w:fill="FFFFFF"/>
            <w:vAlign w:val="bottom"/>
          </w:tcPr>
          <w:p w14:paraId="3A5C8523" w14:textId="5B04A676" w:rsidR="002C2C3E" w:rsidRPr="00EB3D94" w:rsidRDefault="002C2C3E" w:rsidP="002C2C3E">
            <w:pPr>
              <w:rPr>
                <w:rFonts w:cs="Calibri"/>
                <w:lang w:val="es-ES"/>
              </w:rPr>
            </w:pPr>
            <w:r w:rsidRPr="00EB3D94">
              <w:rPr>
                <w:rFonts w:cs="Calibri"/>
              </w:rPr>
              <w:t>Entitat Autònoma del Diari Oficial i de Publicacions de la Generalitat de Catalunya</w:t>
            </w:r>
          </w:p>
        </w:tc>
        <w:tc>
          <w:tcPr>
            <w:tcW w:w="8760" w:type="dxa"/>
            <w:tcBorders>
              <w:top w:val="nil"/>
              <w:left w:val="nil"/>
              <w:bottom w:val="nil"/>
              <w:right w:val="nil"/>
            </w:tcBorders>
            <w:shd w:val="clear" w:color="000000" w:fill="FFFFFF"/>
            <w:noWrap/>
            <w:vAlign w:val="bottom"/>
            <w:hideMark/>
          </w:tcPr>
          <w:p w14:paraId="02003511" w14:textId="5C656EE7" w:rsidR="002C2C3E" w:rsidRPr="00EB3D94" w:rsidRDefault="002C2C3E" w:rsidP="002C2C3E">
            <w:pPr>
              <w:rPr>
                <w:rFonts w:cs="Calibri"/>
                <w:lang w:val="es-ES"/>
              </w:rPr>
            </w:pPr>
            <w:r w:rsidRPr="00EB3D94">
              <w:rPr>
                <w:rFonts w:cs="Calibri"/>
                <w:lang w:val="es-ES"/>
              </w:rPr>
              <w:t>Entidad Autónoma del Diario Oficial y de Publicaciones de la Generalitat de Catalunya</w:t>
            </w:r>
          </w:p>
        </w:tc>
      </w:tr>
      <w:tr w:rsidR="00EB3D94" w:rsidRPr="00EB3D94" w14:paraId="700D4376" w14:textId="77777777" w:rsidTr="0001199B">
        <w:trPr>
          <w:trHeight w:val="300"/>
        </w:trPr>
        <w:tc>
          <w:tcPr>
            <w:tcW w:w="8760" w:type="dxa"/>
            <w:tcBorders>
              <w:top w:val="nil"/>
              <w:left w:val="nil"/>
              <w:bottom w:val="nil"/>
              <w:right w:val="nil"/>
            </w:tcBorders>
            <w:shd w:val="clear" w:color="000000" w:fill="FFFFFF"/>
            <w:vAlign w:val="bottom"/>
          </w:tcPr>
          <w:p w14:paraId="78FE0214" w14:textId="5C72D368" w:rsidR="002C2C3E" w:rsidRPr="00EB3D94" w:rsidRDefault="002C2C3E" w:rsidP="002C2C3E">
            <w:pPr>
              <w:rPr>
                <w:rFonts w:cs="Calibri"/>
                <w:lang w:val="es-ES"/>
              </w:rPr>
            </w:pPr>
            <w:proofErr w:type="spellStart"/>
            <w:r w:rsidRPr="00EB3D94">
              <w:rPr>
                <w:rFonts w:cs="Calibri"/>
              </w:rPr>
              <w:t>Equacat</w:t>
            </w:r>
            <w:proofErr w:type="spellEnd"/>
            <w:r w:rsidRPr="00EB3D94">
              <w:rPr>
                <w:rFonts w:cs="Calibri"/>
              </w:rPr>
              <w:t>, SA</w:t>
            </w:r>
          </w:p>
        </w:tc>
        <w:tc>
          <w:tcPr>
            <w:tcW w:w="8760" w:type="dxa"/>
            <w:tcBorders>
              <w:top w:val="nil"/>
              <w:left w:val="nil"/>
              <w:bottom w:val="nil"/>
              <w:right w:val="nil"/>
            </w:tcBorders>
            <w:shd w:val="clear" w:color="000000" w:fill="FFFFFF"/>
            <w:noWrap/>
            <w:vAlign w:val="bottom"/>
            <w:hideMark/>
          </w:tcPr>
          <w:p w14:paraId="76C49ECE" w14:textId="0A6C54CD" w:rsidR="002C2C3E" w:rsidRPr="00EB3D94" w:rsidRDefault="002C2C3E" w:rsidP="002C2C3E">
            <w:pPr>
              <w:rPr>
                <w:rFonts w:cs="Calibri"/>
                <w:lang w:val="es-ES"/>
              </w:rPr>
            </w:pPr>
            <w:proofErr w:type="spellStart"/>
            <w:r w:rsidRPr="00EB3D94">
              <w:rPr>
                <w:rFonts w:cs="Calibri"/>
                <w:lang w:val="es-ES"/>
              </w:rPr>
              <w:t>Equacat</w:t>
            </w:r>
            <w:proofErr w:type="spellEnd"/>
            <w:r w:rsidRPr="00EB3D94">
              <w:rPr>
                <w:rFonts w:cs="Calibri"/>
                <w:lang w:val="es-ES"/>
              </w:rPr>
              <w:t>, S. A.</w:t>
            </w:r>
          </w:p>
        </w:tc>
      </w:tr>
      <w:tr w:rsidR="00EB3D94" w:rsidRPr="00EB3D94" w14:paraId="44ED33D6" w14:textId="77777777" w:rsidTr="0001199B">
        <w:trPr>
          <w:trHeight w:val="290"/>
        </w:trPr>
        <w:tc>
          <w:tcPr>
            <w:tcW w:w="8760" w:type="dxa"/>
            <w:tcBorders>
              <w:top w:val="nil"/>
              <w:left w:val="nil"/>
              <w:bottom w:val="nil"/>
              <w:right w:val="nil"/>
            </w:tcBorders>
            <w:shd w:val="clear" w:color="000000" w:fill="FFFFFF"/>
            <w:vAlign w:val="bottom"/>
          </w:tcPr>
          <w:p w14:paraId="53397335" w14:textId="3C25351E" w:rsidR="002C2C3E" w:rsidRPr="00EB3D94" w:rsidRDefault="002C2C3E" w:rsidP="002C2C3E">
            <w:pPr>
              <w:rPr>
                <w:rFonts w:cs="Calibri"/>
                <w:lang w:val="es-ES"/>
              </w:rPr>
            </w:pPr>
            <w:r w:rsidRPr="00EB3D94">
              <w:rPr>
                <w:rFonts w:cs="Calibri"/>
              </w:rPr>
              <w:t>Escola d'Administració Pública de Catalunya</w:t>
            </w:r>
          </w:p>
        </w:tc>
        <w:tc>
          <w:tcPr>
            <w:tcW w:w="8760" w:type="dxa"/>
            <w:tcBorders>
              <w:top w:val="nil"/>
              <w:left w:val="nil"/>
              <w:bottom w:val="nil"/>
              <w:right w:val="nil"/>
            </w:tcBorders>
            <w:shd w:val="clear" w:color="000000" w:fill="FFFFFF"/>
            <w:noWrap/>
            <w:vAlign w:val="bottom"/>
            <w:hideMark/>
          </w:tcPr>
          <w:p w14:paraId="47E2052C" w14:textId="43A2AFA7" w:rsidR="002C2C3E" w:rsidRPr="00EB3D94" w:rsidRDefault="002C2C3E" w:rsidP="002C2C3E">
            <w:pPr>
              <w:rPr>
                <w:rFonts w:cs="Calibri"/>
                <w:lang w:val="es-ES"/>
              </w:rPr>
            </w:pPr>
            <w:r w:rsidRPr="00EB3D94">
              <w:rPr>
                <w:rFonts w:cs="Calibri"/>
                <w:lang w:val="es-ES"/>
              </w:rPr>
              <w:t>Escuela de Administración Pública de Cataluña</w:t>
            </w:r>
          </w:p>
        </w:tc>
      </w:tr>
      <w:tr w:rsidR="00EB3D94" w:rsidRPr="00EB3D94" w14:paraId="71DE1168" w14:textId="77777777" w:rsidTr="0001199B">
        <w:trPr>
          <w:trHeight w:val="290"/>
        </w:trPr>
        <w:tc>
          <w:tcPr>
            <w:tcW w:w="8760" w:type="dxa"/>
            <w:tcBorders>
              <w:top w:val="nil"/>
              <w:left w:val="nil"/>
              <w:bottom w:val="nil"/>
              <w:right w:val="nil"/>
            </w:tcBorders>
            <w:shd w:val="clear" w:color="000000" w:fill="FFFFFF"/>
            <w:vAlign w:val="bottom"/>
          </w:tcPr>
          <w:p w14:paraId="171B9062" w14:textId="7A738ECB" w:rsidR="002C2C3E" w:rsidRPr="00EB3D94" w:rsidRDefault="002C2C3E" w:rsidP="002C2C3E">
            <w:pPr>
              <w:rPr>
                <w:rFonts w:cs="Calibri"/>
                <w:lang w:val="es-ES"/>
              </w:rPr>
            </w:pPr>
            <w:r w:rsidRPr="00EB3D94">
              <w:rPr>
                <w:rFonts w:cs="Calibri"/>
              </w:rPr>
              <w:t>Ferrocarrils de la Generalitat de Catalunya</w:t>
            </w:r>
          </w:p>
        </w:tc>
        <w:tc>
          <w:tcPr>
            <w:tcW w:w="8760" w:type="dxa"/>
            <w:tcBorders>
              <w:top w:val="nil"/>
              <w:left w:val="nil"/>
              <w:bottom w:val="nil"/>
              <w:right w:val="nil"/>
            </w:tcBorders>
            <w:shd w:val="clear" w:color="000000" w:fill="FFFFFF"/>
            <w:noWrap/>
            <w:vAlign w:val="bottom"/>
            <w:hideMark/>
          </w:tcPr>
          <w:p w14:paraId="5AEA8430" w14:textId="5E05946A" w:rsidR="002C2C3E" w:rsidRPr="00EB3D94" w:rsidRDefault="002C2C3E" w:rsidP="002C2C3E">
            <w:pPr>
              <w:rPr>
                <w:rFonts w:cs="Calibri"/>
                <w:lang w:val="es-ES"/>
              </w:rPr>
            </w:pPr>
            <w:r w:rsidRPr="00EB3D94">
              <w:rPr>
                <w:rFonts w:cs="Calibri"/>
                <w:lang w:val="es-ES"/>
              </w:rPr>
              <w:t>Ferrocarriles de la Generalitat de Catalunya</w:t>
            </w:r>
          </w:p>
        </w:tc>
      </w:tr>
      <w:tr w:rsidR="00EB3D94" w:rsidRPr="00EB3D94" w14:paraId="3A228029" w14:textId="77777777" w:rsidTr="0001199B">
        <w:trPr>
          <w:trHeight w:val="290"/>
        </w:trPr>
        <w:tc>
          <w:tcPr>
            <w:tcW w:w="8760" w:type="dxa"/>
            <w:tcBorders>
              <w:top w:val="nil"/>
              <w:left w:val="nil"/>
              <w:bottom w:val="nil"/>
              <w:right w:val="nil"/>
            </w:tcBorders>
            <w:shd w:val="clear" w:color="000000" w:fill="FFFFFF"/>
            <w:vAlign w:val="bottom"/>
          </w:tcPr>
          <w:p w14:paraId="76718C5A" w14:textId="3E3A0C37" w:rsidR="002C2C3E" w:rsidRPr="00EB3D94" w:rsidRDefault="002C2C3E" w:rsidP="002C2C3E">
            <w:pPr>
              <w:rPr>
                <w:rFonts w:cs="Calibri"/>
                <w:lang w:val="es-ES"/>
              </w:rPr>
            </w:pPr>
            <w:r w:rsidRPr="00EB3D94">
              <w:rPr>
                <w:rFonts w:cs="Calibri"/>
              </w:rPr>
              <w:t>Forestal Catalana, SA</w:t>
            </w:r>
          </w:p>
        </w:tc>
        <w:tc>
          <w:tcPr>
            <w:tcW w:w="8760" w:type="dxa"/>
            <w:tcBorders>
              <w:top w:val="nil"/>
              <w:left w:val="nil"/>
              <w:bottom w:val="nil"/>
              <w:right w:val="nil"/>
            </w:tcBorders>
            <w:shd w:val="clear" w:color="000000" w:fill="FFFFFF"/>
            <w:noWrap/>
            <w:vAlign w:val="bottom"/>
            <w:hideMark/>
          </w:tcPr>
          <w:p w14:paraId="6F4EB92A" w14:textId="177ECC55" w:rsidR="002C2C3E" w:rsidRPr="00EB3D94" w:rsidRDefault="002C2C3E" w:rsidP="002C2C3E">
            <w:pPr>
              <w:rPr>
                <w:rFonts w:cs="Calibri"/>
                <w:lang w:val="es-ES"/>
              </w:rPr>
            </w:pPr>
            <w:r w:rsidRPr="00EB3D94">
              <w:rPr>
                <w:rFonts w:cs="Calibri"/>
                <w:lang w:val="es-ES"/>
              </w:rPr>
              <w:t>Forestal Catalana, S. A.</w:t>
            </w:r>
          </w:p>
        </w:tc>
      </w:tr>
      <w:tr w:rsidR="00EB3D94" w:rsidRPr="00EB3D94" w14:paraId="60B5BFD4" w14:textId="77777777" w:rsidTr="0001199B">
        <w:trPr>
          <w:trHeight w:val="290"/>
        </w:trPr>
        <w:tc>
          <w:tcPr>
            <w:tcW w:w="8760" w:type="dxa"/>
            <w:tcBorders>
              <w:top w:val="nil"/>
              <w:left w:val="nil"/>
              <w:bottom w:val="nil"/>
              <w:right w:val="nil"/>
            </w:tcBorders>
            <w:shd w:val="clear" w:color="000000" w:fill="FFFFFF"/>
            <w:vAlign w:val="bottom"/>
          </w:tcPr>
          <w:p w14:paraId="287FEF7A" w14:textId="53F3673B" w:rsidR="002C2C3E" w:rsidRPr="00EB3D94" w:rsidRDefault="002C2C3E" w:rsidP="002C2C3E">
            <w:pPr>
              <w:rPr>
                <w:rFonts w:cs="Calibri"/>
                <w:lang w:val="es-ES"/>
              </w:rPr>
            </w:pPr>
            <w:r w:rsidRPr="00EB3D94">
              <w:rPr>
                <w:rFonts w:cs="Calibri"/>
              </w:rPr>
              <w:t>Fundació de Recerca Clínic Barcelona-Institut d’Investigacions Biomèdiques August Pi i Sunyer</w:t>
            </w:r>
          </w:p>
        </w:tc>
        <w:tc>
          <w:tcPr>
            <w:tcW w:w="8760" w:type="dxa"/>
            <w:tcBorders>
              <w:top w:val="nil"/>
              <w:left w:val="nil"/>
              <w:bottom w:val="nil"/>
              <w:right w:val="nil"/>
            </w:tcBorders>
            <w:shd w:val="clear" w:color="000000" w:fill="FFFFFF"/>
            <w:noWrap/>
            <w:vAlign w:val="bottom"/>
            <w:hideMark/>
          </w:tcPr>
          <w:p w14:paraId="589B8121" w14:textId="7D2250BA" w:rsidR="002C2C3E" w:rsidRPr="00EB3D94" w:rsidRDefault="002C2C3E" w:rsidP="002C2C3E">
            <w:pPr>
              <w:rPr>
                <w:rFonts w:cs="Calibri"/>
                <w:lang w:val="es-ES"/>
              </w:rPr>
            </w:pPr>
            <w:r w:rsidRPr="00EB3D94">
              <w:rPr>
                <w:rFonts w:cs="Calibri"/>
                <w:lang w:val="es-ES"/>
              </w:rPr>
              <w:t>Fundación de Investigación</w:t>
            </w:r>
            <w:r w:rsidRPr="00EB3D94">
              <w:rPr>
                <w:rFonts w:cs="Calibri"/>
                <w:vanish/>
                <w:lang w:val="es-ES"/>
              </w:rPr>
              <w:t>&lt;A[Investigación|Búsqueda]&gt;</w:t>
            </w:r>
            <w:r w:rsidRPr="00EB3D94">
              <w:rPr>
                <w:rFonts w:cs="Calibri"/>
                <w:lang w:val="es-ES"/>
              </w:rPr>
              <w:t xml:space="preserve"> Clínico Barcelona-Instituto de Investigaciones Biomédicas Augusto Pino y Sunyer</w:t>
            </w:r>
          </w:p>
        </w:tc>
      </w:tr>
      <w:tr w:rsidR="00EB3D94" w:rsidRPr="00EB3D94" w14:paraId="3AB79BC3" w14:textId="77777777" w:rsidTr="0001199B">
        <w:trPr>
          <w:trHeight w:val="290"/>
        </w:trPr>
        <w:tc>
          <w:tcPr>
            <w:tcW w:w="8760" w:type="dxa"/>
            <w:tcBorders>
              <w:top w:val="nil"/>
              <w:left w:val="nil"/>
              <w:bottom w:val="nil"/>
              <w:right w:val="nil"/>
            </w:tcBorders>
            <w:shd w:val="clear" w:color="000000" w:fill="FFFFFF"/>
            <w:vAlign w:val="bottom"/>
          </w:tcPr>
          <w:p w14:paraId="1FF035A5" w14:textId="3BCC26B0" w:rsidR="002C2C3E" w:rsidRPr="00EB3D94" w:rsidRDefault="002C2C3E" w:rsidP="002C2C3E">
            <w:pPr>
              <w:rPr>
                <w:rFonts w:cs="Calibri"/>
                <w:lang w:val="es-ES"/>
              </w:rPr>
            </w:pPr>
            <w:r w:rsidRPr="00EB3D94">
              <w:rPr>
                <w:rFonts w:cs="Calibri"/>
              </w:rPr>
              <w:t>Fundació Institució Catalana de Recerca i Estudis Avançats (ICREA)</w:t>
            </w:r>
          </w:p>
        </w:tc>
        <w:tc>
          <w:tcPr>
            <w:tcW w:w="8760" w:type="dxa"/>
            <w:tcBorders>
              <w:top w:val="nil"/>
              <w:left w:val="nil"/>
              <w:bottom w:val="nil"/>
              <w:right w:val="nil"/>
            </w:tcBorders>
            <w:shd w:val="clear" w:color="000000" w:fill="FFFFFF"/>
            <w:noWrap/>
            <w:vAlign w:val="bottom"/>
            <w:hideMark/>
          </w:tcPr>
          <w:p w14:paraId="378D16FC" w14:textId="4F12D131" w:rsidR="002C2C3E" w:rsidRPr="00EB3D94" w:rsidRDefault="002C2C3E" w:rsidP="002C2C3E">
            <w:pPr>
              <w:rPr>
                <w:rFonts w:cs="Calibri"/>
                <w:lang w:val="es-ES"/>
              </w:rPr>
            </w:pPr>
            <w:r w:rsidRPr="00EB3D94">
              <w:rPr>
                <w:rFonts w:cs="Calibri"/>
                <w:lang w:val="es-ES"/>
              </w:rPr>
              <w:t>Fundación Institución Catalana de Investigación</w:t>
            </w:r>
            <w:r w:rsidRPr="00EB3D94">
              <w:rPr>
                <w:rFonts w:cs="Calibri"/>
                <w:vanish/>
                <w:lang w:val="es-ES"/>
              </w:rPr>
              <w:t>&lt;A[Investigación|Búsqueda]&gt;</w:t>
            </w:r>
            <w:r w:rsidRPr="00EB3D94">
              <w:rPr>
                <w:rFonts w:cs="Calibri"/>
                <w:lang w:val="es-ES"/>
              </w:rPr>
              <w:t xml:space="preserve"> y Estudios Avanzados (ICREA)</w:t>
            </w:r>
          </w:p>
        </w:tc>
      </w:tr>
      <w:tr w:rsidR="00EB3D94" w:rsidRPr="00EB3D94" w14:paraId="02F2B610" w14:textId="77777777" w:rsidTr="0001199B">
        <w:trPr>
          <w:trHeight w:val="290"/>
        </w:trPr>
        <w:tc>
          <w:tcPr>
            <w:tcW w:w="8760" w:type="dxa"/>
            <w:tcBorders>
              <w:top w:val="nil"/>
              <w:left w:val="nil"/>
              <w:bottom w:val="nil"/>
              <w:right w:val="nil"/>
            </w:tcBorders>
            <w:shd w:val="clear" w:color="000000" w:fill="FFFFFF"/>
            <w:vAlign w:val="bottom"/>
          </w:tcPr>
          <w:p w14:paraId="7EC8AC12" w14:textId="21F50921" w:rsidR="002C2C3E" w:rsidRPr="00EB3D94" w:rsidRDefault="002C2C3E" w:rsidP="002C2C3E">
            <w:pPr>
              <w:rPr>
                <w:rFonts w:cs="Calibri"/>
                <w:lang w:val="es-ES"/>
              </w:rPr>
            </w:pPr>
            <w:r w:rsidRPr="00EB3D94">
              <w:rPr>
                <w:rFonts w:cs="Calibri"/>
              </w:rPr>
              <w:t>Fundació Mediterrània, Fira d'Espectacles d'Arrel Tradicional</w:t>
            </w:r>
          </w:p>
        </w:tc>
        <w:tc>
          <w:tcPr>
            <w:tcW w:w="8760" w:type="dxa"/>
            <w:tcBorders>
              <w:top w:val="nil"/>
              <w:left w:val="nil"/>
              <w:bottom w:val="nil"/>
              <w:right w:val="nil"/>
            </w:tcBorders>
            <w:shd w:val="clear" w:color="000000" w:fill="FFFFFF"/>
            <w:noWrap/>
            <w:vAlign w:val="bottom"/>
            <w:hideMark/>
          </w:tcPr>
          <w:p w14:paraId="30DF55FE" w14:textId="5D46C38C" w:rsidR="002C2C3E" w:rsidRPr="00EB3D94" w:rsidRDefault="002C2C3E" w:rsidP="002C2C3E">
            <w:pPr>
              <w:rPr>
                <w:rFonts w:cs="Calibri"/>
                <w:lang w:val="es-ES"/>
              </w:rPr>
            </w:pPr>
            <w:r w:rsidRPr="00EB3D94">
              <w:rPr>
                <w:rFonts w:cs="Calibri"/>
                <w:lang w:val="es-ES"/>
              </w:rPr>
              <w:t>Fundación Mediterránea, Feria de Espectáculos de Raíz Tradicional</w:t>
            </w:r>
          </w:p>
        </w:tc>
      </w:tr>
      <w:tr w:rsidR="00EB3D94" w:rsidRPr="00EB3D94" w14:paraId="76C3345E" w14:textId="77777777" w:rsidTr="0001199B">
        <w:trPr>
          <w:trHeight w:val="290"/>
        </w:trPr>
        <w:tc>
          <w:tcPr>
            <w:tcW w:w="8760" w:type="dxa"/>
            <w:tcBorders>
              <w:top w:val="nil"/>
              <w:left w:val="nil"/>
              <w:bottom w:val="nil"/>
              <w:right w:val="nil"/>
            </w:tcBorders>
            <w:shd w:val="clear" w:color="000000" w:fill="FFFFFF"/>
            <w:vAlign w:val="bottom"/>
          </w:tcPr>
          <w:p w14:paraId="491394F2" w14:textId="506BECA3" w:rsidR="002C2C3E" w:rsidRPr="00EB3D94" w:rsidRDefault="002C2C3E" w:rsidP="002C2C3E">
            <w:pPr>
              <w:rPr>
                <w:rFonts w:cs="Calibri"/>
                <w:lang w:val="es-ES"/>
              </w:rPr>
            </w:pPr>
            <w:r w:rsidRPr="00EB3D94">
              <w:rPr>
                <w:rFonts w:cs="Calibri"/>
              </w:rPr>
              <w:t>Fundació per a l'Escola Superior de Música de Catalunya</w:t>
            </w:r>
          </w:p>
        </w:tc>
        <w:tc>
          <w:tcPr>
            <w:tcW w:w="8760" w:type="dxa"/>
            <w:tcBorders>
              <w:top w:val="nil"/>
              <w:left w:val="nil"/>
              <w:bottom w:val="nil"/>
              <w:right w:val="nil"/>
            </w:tcBorders>
            <w:shd w:val="clear" w:color="000000" w:fill="FFFFFF"/>
            <w:noWrap/>
            <w:vAlign w:val="bottom"/>
            <w:hideMark/>
          </w:tcPr>
          <w:p w14:paraId="343F2D8C" w14:textId="737E230D" w:rsidR="002C2C3E" w:rsidRPr="00EB3D94" w:rsidRDefault="002C2C3E" w:rsidP="002C2C3E">
            <w:pPr>
              <w:rPr>
                <w:rFonts w:cs="Calibri"/>
                <w:lang w:val="es-ES"/>
              </w:rPr>
            </w:pPr>
            <w:r w:rsidRPr="00EB3D94">
              <w:rPr>
                <w:rFonts w:cs="Calibri"/>
                <w:lang w:val="es-ES"/>
              </w:rPr>
              <w:t>Fundación para la Escuela Superior de Música de Cataluña</w:t>
            </w:r>
          </w:p>
        </w:tc>
      </w:tr>
      <w:tr w:rsidR="00EB3D94" w:rsidRPr="00EB3D94" w14:paraId="1F4ADE23" w14:textId="77777777" w:rsidTr="0001199B">
        <w:trPr>
          <w:trHeight w:val="290"/>
        </w:trPr>
        <w:tc>
          <w:tcPr>
            <w:tcW w:w="8760" w:type="dxa"/>
            <w:tcBorders>
              <w:top w:val="nil"/>
              <w:left w:val="nil"/>
              <w:bottom w:val="nil"/>
              <w:right w:val="nil"/>
            </w:tcBorders>
            <w:shd w:val="clear" w:color="000000" w:fill="FFFFFF"/>
            <w:vAlign w:val="bottom"/>
          </w:tcPr>
          <w:p w14:paraId="068AFF72" w14:textId="57620527" w:rsidR="002C2C3E" w:rsidRPr="00EB3D94" w:rsidRDefault="002C2C3E" w:rsidP="002C2C3E">
            <w:pPr>
              <w:rPr>
                <w:rFonts w:cs="Calibri"/>
                <w:lang w:val="es-ES"/>
              </w:rPr>
            </w:pPr>
            <w:r w:rsidRPr="00EB3D94">
              <w:rPr>
                <w:rFonts w:cs="Calibri"/>
              </w:rPr>
              <w:t>Generalitat de Catalunya</w:t>
            </w:r>
          </w:p>
        </w:tc>
        <w:tc>
          <w:tcPr>
            <w:tcW w:w="8760" w:type="dxa"/>
            <w:tcBorders>
              <w:top w:val="nil"/>
              <w:left w:val="nil"/>
              <w:bottom w:val="nil"/>
              <w:right w:val="nil"/>
            </w:tcBorders>
            <w:shd w:val="clear" w:color="000000" w:fill="FFFFFF"/>
            <w:noWrap/>
            <w:vAlign w:val="bottom"/>
            <w:hideMark/>
          </w:tcPr>
          <w:p w14:paraId="39BCE931" w14:textId="0F45DF0F" w:rsidR="002C2C3E" w:rsidRPr="00EB3D94" w:rsidRDefault="002C2C3E" w:rsidP="002C2C3E">
            <w:pPr>
              <w:rPr>
                <w:rFonts w:cs="Calibri"/>
                <w:lang w:val="es-ES"/>
              </w:rPr>
            </w:pPr>
            <w:r w:rsidRPr="00EB3D94">
              <w:rPr>
                <w:rFonts w:cs="Calibri"/>
                <w:lang w:val="es-ES"/>
              </w:rPr>
              <w:t>Generalitat de Catalunya</w:t>
            </w:r>
          </w:p>
        </w:tc>
      </w:tr>
      <w:tr w:rsidR="00EB3D94" w:rsidRPr="00EB3D94" w14:paraId="13EB84B5" w14:textId="77777777" w:rsidTr="0001199B">
        <w:trPr>
          <w:trHeight w:val="290"/>
        </w:trPr>
        <w:tc>
          <w:tcPr>
            <w:tcW w:w="8760" w:type="dxa"/>
            <w:tcBorders>
              <w:top w:val="nil"/>
              <w:left w:val="nil"/>
              <w:bottom w:val="nil"/>
              <w:right w:val="nil"/>
            </w:tcBorders>
            <w:shd w:val="clear" w:color="000000" w:fill="FFFFFF"/>
            <w:vAlign w:val="bottom"/>
          </w:tcPr>
          <w:p w14:paraId="62412511" w14:textId="666C7E22" w:rsidR="002C2C3E" w:rsidRPr="00EB3D94" w:rsidRDefault="002C2C3E" w:rsidP="002C2C3E">
            <w:pPr>
              <w:rPr>
                <w:rFonts w:cs="Calibri"/>
                <w:lang w:val="es-ES"/>
              </w:rPr>
            </w:pPr>
            <w:r w:rsidRPr="00EB3D94">
              <w:rPr>
                <w:rFonts w:cs="Calibri"/>
              </w:rPr>
              <w:t>Gestió de Serveis Sanitaris</w:t>
            </w:r>
          </w:p>
        </w:tc>
        <w:tc>
          <w:tcPr>
            <w:tcW w:w="8760" w:type="dxa"/>
            <w:tcBorders>
              <w:top w:val="nil"/>
              <w:left w:val="nil"/>
              <w:bottom w:val="nil"/>
              <w:right w:val="nil"/>
            </w:tcBorders>
            <w:shd w:val="clear" w:color="000000" w:fill="FFFFFF"/>
            <w:noWrap/>
            <w:vAlign w:val="bottom"/>
            <w:hideMark/>
          </w:tcPr>
          <w:p w14:paraId="16389652" w14:textId="1D766659" w:rsidR="002C2C3E" w:rsidRPr="00EB3D94" w:rsidRDefault="002C2C3E" w:rsidP="002C2C3E">
            <w:pPr>
              <w:rPr>
                <w:rFonts w:cs="Calibri"/>
                <w:lang w:val="es-ES"/>
              </w:rPr>
            </w:pPr>
            <w:r w:rsidRPr="00EB3D94">
              <w:rPr>
                <w:rFonts w:cs="Calibri"/>
                <w:lang w:val="es-ES"/>
              </w:rPr>
              <w:t>Gestión de Servicios Sanitarios</w:t>
            </w:r>
          </w:p>
        </w:tc>
      </w:tr>
      <w:tr w:rsidR="00EB3D94" w:rsidRPr="00EB3D94" w14:paraId="661DA77C" w14:textId="77777777" w:rsidTr="0001199B">
        <w:trPr>
          <w:trHeight w:val="290"/>
        </w:trPr>
        <w:tc>
          <w:tcPr>
            <w:tcW w:w="8760" w:type="dxa"/>
            <w:tcBorders>
              <w:top w:val="nil"/>
              <w:left w:val="nil"/>
              <w:bottom w:val="nil"/>
              <w:right w:val="nil"/>
            </w:tcBorders>
            <w:shd w:val="clear" w:color="000000" w:fill="FFFFFF"/>
            <w:vAlign w:val="bottom"/>
          </w:tcPr>
          <w:p w14:paraId="16A4480D" w14:textId="6B2FDDCD" w:rsidR="002C2C3E" w:rsidRPr="00EB3D94" w:rsidRDefault="002C2C3E" w:rsidP="002C2C3E">
            <w:pPr>
              <w:rPr>
                <w:rFonts w:cs="Calibri"/>
                <w:lang w:val="es-ES"/>
              </w:rPr>
            </w:pPr>
            <w:r w:rsidRPr="00EB3D94">
              <w:rPr>
                <w:rFonts w:cs="Calibri"/>
              </w:rPr>
              <w:t>Gestió i Prestació de Serveis de Salut</w:t>
            </w:r>
          </w:p>
        </w:tc>
        <w:tc>
          <w:tcPr>
            <w:tcW w:w="8760" w:type="dxa"/>
            <w:tcBorders>
              <w:top w:val="nil"/>
              <w:left w:val="nil"/>
              <w:bottom w:val="nil"/>
              <w:right w:val="nil"/>
            </w:tcBorders>
            <w:shd w:val="clear" w:color="000000" w:fill="FFFFFF"/>
            <w:noWrap/>
            <w:vAlign w:val="bottom"/>
            <w:hideMark/>
          </w:tcPr>
          <w:p w14:paraId="4D4EE114" w14:textId="7837FAFA" w:rsidR="002C2C3E" w:rsidRPr="00EB3D94" w:rsidRDefault="002C2C3E" w:rsidP="002C2C3E">
            <w:pPr>
              <w:rPr>
                <w:rFonts w:cs="Calibri"/>
                <w:lang w:val="es-ES"/>
              </w:rPr>
            </w:pPr>
            <w:r w:rsidRPr="00EB3D94">
              <w:rPr>
                <w:rFonts w:cs="Calibri"/>
                <w:lang w:val="es-ES"/>
              </w:rPr>
              <w:t>Gestión y Prestación de Servicios de Salud</w:t>
            </w:r>
          </w:p>
        </w:tc>
      </w:tr>
      <w:tr w:rsidR="00EB3D94" w:rsidRPr="00EB3D94" w14:paraId="4FD64DB5" w14:textId="77777777" w:rsidTr="0001199B">
        <w:trPr>
          <w:trHeight w:val="290"/>
        </w:trPr>
        <w:tc>
          <w:tcPr>
            <w:tcW w:w="8760" w:type="dxa"/>
            <w:tcBorders>
              <w:top w:val="nil"/>
              <w:left w:val="nil"/>
              <w:bottom w:val="nil"/>
              <w:right w:val="nil"/>
            </w:tcBorders>
            <w:shd w:val="clear" w:color="000000" w:fill="FFFFFF"/>
            <w:vAlign w:val="bottom"/>
          </w:tcPr>
          <w:p w14:paraId="66A7AFBF" w14:textId="265D008E" w:rsidR="002C2C3E" w:rsidRPr="00EB3D94" w:rsidRDefault="002C2C3E" w:rsidP="002C2C3E">
            <w:pPr>
              <w:rPr>
                <w:rFonts w:cs="Calibri"/>
                <w:lang w:val="es-ES"/>
              </w:rPr>
            </w:pPr>
            <w:r w:rsidRPr="00EB3D94">
              <w:rPr>
                <w:rFonts w:cs="Calibri"/>
              </w:rPr>
              <w:t>Hospital Clínic de Barcelona (HCB)</w:t>
            </w:r>
          </w:p>
        </w:tc>
        <w:tc>
          <w:tcPr>
            <w:tcW w:w="8760" w:type="dxa"/>
            <w:tcBorders>
              <w:top w:val="nil"/>
              <w:left w:val="nil"/>
              <w:bottom w:val="nil"/>
              <w:right w:val="nil"/>
            </w:tcBorders>
            <w:shd w:val="clear" w:color="000000" w:fill="FFFFFF"/>
            <w:noWrap/>
            <w:vAlign w:val="bottom"/>
            <w:hideMark/>
          </w:tcPr>
          <w:p w14:paraId="1AAF3D7B" w14:textId="376CDEAF" w:rsidR="002C2C3E" w:rsidRPr="00EB3D94" w:rsidRDefault="002C2C3E" w:rsidP="002C2C3E">
            <w:pPr>
              <w:rPr>
                <w:rFonts w:cs="Calibri"/>
                <w:lang w:val="es-ES"/>
              </w:rPr>
            </w:pPr>
            <w:r w:rsidRPr="00EB3D94">
              <w:rPr>
                <w:rFonts w:cs="Calibri"/>
                <w:lang w:val="es-ES"/>
              </w:rPr>
              <w:t>Hospital Clínico de Barcelona (HCB)</w:t>
            </w:r>
          </w:p>
        </w:tc>
      </w:tr>
      <w:tr w:rsidR="00EB3D94" w:rsidRPr="00EB3D94" w14:paraId="4083E559" w14:textId="77777777" w:rsidTr="0001199B">
        <w:trPr>
          <w:trHeight w:val="290"/>
        </w:trPr>
        <w:tc>
          <w:tcPr>
            <w:tcW w:w="8760" w:type="dxa"/>
            <w:tcBorders>
              <w:top w:val="nil"/>
              <w:left w:val="nil"/>
              <w:bottom w:val="nil"/>
              <w:right w:val="nil"/>
            </w:tcBorders>
            <w:shd w:val="clear" w:color="000000" w:fill="FFFFFF"/>
            <w:vAlign w:val="bottom"/>
          </w:tcPr>
          <w:p w14:paraId="1A030735" w14:textId="58EAFD75" w:rsidR="002C2C3E" w:rsidRPr="00EB3D94" w:rsidRDefault="002C2C3E" w:rsidP="002C2C3E">
            <w:pPr>
              <w:rPr>
                <w:rFonts w:cs="Calibri"/>
                <w:lang w:val="es-ES"/>
              </w:rPr>
            </w:pPr>
            <w:r w:rsidRPr="00EB3D94">
              <w:rPr>
                <w:rFonts w:cs="Calibri"/>
              </w:rPr>
              <w:t>Infraestructures de la Generalitat de Catalunya, SAU</w:t>
            </w:r>
          </w:p>
        </w:tc>
        <w:tc>
          <w:tcPr>
            <w:tcW w:w="8760" w:type="dxa"/>
            <w:tcBorders>
              <w:top w:val="nil"/>
              <w:left w:val="nil"/>
              <w:bottom w:val="nil"/>
              <w:right w:val="nil"/>
            </w:tcBorders>
            <w:shd w:val="clear" w:color="000000" w:fill="FFFFFF"/>
            <w:noWrap/>
            <w:vAlign w:val="bottom"/>
            <w:hideMark/>
          </w:tcPr>
          <w:p w14:paraId="6B6FF12B" w14:textId="4A0E19DD" w:rsidR="002C2C3E" w:rsidRPr="00EB3D94" w:rsidRDefault="002C2C3E" w:rsidP="002C2C3E">
            <w:pPr>
              <w:rPr>
                <w:rFonts w:cs="Calibri"/>
                <w:lang w:val="es-ES"/>
              </w:rPr>
            </w:pPr>
            <w:r w:rsidRPr="00EB3D94">
              <w:rPr>
                <w:rFonts w:cs="Calibri"/>
                <w:lang w:val="es-ES"/>
              </w:rPr>
              <w:t>Infraestructuras de la Generalitat de Catalunya, SAU</w:t>
            </w:r>
          </w:p>
        </w:tc>
      </w:tr>
      <w:tr w:rsidR="00EB3D94" w:rsidRPr="00EB3D94" w14:paraId="3984A496" w14:textId="77777777" w:rsidTr="0001199B">
        <w:trPr>
          <w:trHeight w:val="290"/>
        </w:trPr>
        <w:tc>
          <w:tcPr>
            <w:tcW w:w="8760" w:type="dxa"/>
            <w:tcBorders>
              <w:top w:val="nil"/>
              <w:left w:val="nil"/>
              <w:bottom w:val="nil"/>
              <w:right w:val="nil"/>
            </w:tcBorders>
            <w:shd w:val="clear" w:color="000000" w:fill="FFFFFF"/>
            <w:vAlign w:val="bottom"/>
          </w:tcPr>
          <w:p w14:paraId="660FCDA2" w14:textId="4A0A6258" w:rsidR="002C2C3E" w:rsidRPr="00EB3D94" w:rsidRDefault="002C2C3E" w:rsidP="002C2C3E">
            <w:pPr>
              <w:rPr>
                <w:rFonts w:cs="Calibri"/>
                <w:lang w:val="es-ES"/>
              </w:rPr>
            </w:pPr>
            <w:r w:rsidRPr="00EB3D94">
              <w:rPr>
                <w:rFonts w:cs="Calibri"/>
              </w:rPr>
              <w:t>Infraestructures Ferroviàries de Catalunya</w:t>
            </w:r>
          </w:p>
        </w:tc>
        <w:tc>
          <w:tcPr>
            <w:tcW w:w="8760" w:type="dxa"/>
            <w:tcBorders>
              <w:top w:val="nil"/>
              <w:left w:val="nil"/>
              <w:bottom w:val="nil"/>
              <w:right w:val="nil"/>
            </w:tcBorders>
            <w:shd w:val="clear" w:color="000000" w:fill="FFFFFF"/>
            <w:noWrap/>
            <w:vAlign w:val="bottom"/>
            <w:hideMark/>
          </w:tcPr>
          <w:p w14:paraId="1F02625F" w14:textId="01384085" w:rsidR="002C2C3E" w:rsidRPr="00EB3D94" w:rsidRDefault="002C2C3E" w:rsidP="002C2C3E">
            <w:pPr>
              <w:rPr>
                <w:rFonts w:cs="Calibri"/>
                <w:lang w:val="es-ES"/>
              </w:rPr>
            </w:pPr>
            <w:r w:rsidRPr="00EB3D94">
              <w:rPr>
                <w:rFonts w:cs="Calibri"/>
                <w:lang w:val="es-ES"/>
              </w:rPr>
              <w:t>Infraestructuras Ferroviarias de Cataluña</w:t>
            </w:r>
          </w:p>
        </w:tc>
      </w:tr>
      <w:tr w:rsidR="00EB3D94" w:rsidRPr="00EB3D94" w14:paraId="292C84B5" w14:textId="77777777" w:rsidTr="0001199B">
        <w:trPr>
          <w:trHeight w:val="290"/>
        </w:trPr>
        <w:tc>
          <w:tcPr>
            <w:tcW w:w="8760" w:type="dxa"/>
            <w:tcBorders>
              <w:top w:val="nil"/>
              <w:left w:val="nil"/>
              <w:bottom w:val="nil"/>
              <w:right w:val="nil"/>
            </w:tcBorders>
            <w:shd w:val="clear" w:color="000000" w:fill="FFFFFF"/>
            <w:vAlign w:val="bottom"/>
          </w:tcPr>
          <w:p w14:paraId="3F777B23" w14:textId="0B6BB8F1" w:rsidR="002C2C3E" w:rsidRPr="00EB3D94" w:rsidRDefault="002C2C3E" w:rsidP="002C2C3E">
            <w:pPr>
              <w:rPr>
                <w:rFonts w:cs="Calibri"/>
                <w:lang w:val="es-ES"/>
              </w:rPr>
            </w:pPr>
            <w:r w:rsidRPr="00EB3D94">
              <w:rPr>
                <w:rFonts w:cs="Calibri"/>
              </w:rPr>
              <w:t>Institució de les Lletres Catalanes</w:t>
            </w:r>
          </w:p>
        </w:tc>
        <w:tc>
          <w:tcPr>
            <w:tcW w:w="8760" w:type="dxa"/>
            <w:tcBorders>
              <w:top w:val="nil"/>
              <w:left w:val="nil"/>
              <w:bottom w:val="nil"/>
              <w:right w:val="nil"/>
            </w:tcBorders>
            <w:shd w:val="clear" w:color="000000" w:fill="FFFFFF"/>
            <w:noWrap/>
            <w:vAlign w:val="bottom"/>
            <w:hideMark/>
          </w:tcPr>
          <w:p w14:paraId="30AAF2AC" w14:textId="0750BD36" w:rsidR="002C2C3E" w:rsidRPr="00EB3D94" w:rsidRDefault="002C2C3E" w:rsidP="002C2C3E">
            <w:pPr>
              <w:rPr>
                <w:rFonts w:cs="Calibri"/>
                <w:lang w:val="es-ES"/>
              </w:rPr>
            </w:pPr>
            <w:r w:rsidRPr="00EB3D94">
              <w:rPr>
                <w:rFonts w:cs="Calibri"/>
                <w:lang w:val="es-ES"/>
              </w:rPr>
              <w:t>Institución de las Letras Catalanas</w:t>
            </w:r>
          </w:p>
        </w:tc>
      </w:tr>
      <w:tr w:rsidR="00EB3D94" w:rsidRPr="00EB3D94" w14:paraId="1038693F" w14:textId="77777777" w:rsidTr="0001199B">
        <w:trPr>
          <w:trHeight w:val="290"/>
        </w:trPr>
        <w:tc>
          <w:tcPr>
            <w:tcW w:w="8760" w:type="dxa"/>
            <w:tcBorders>
              <w:top w:val="nil"/>
              <w:left w:val="nil"/>
              <w:bottom w:val="nil"/>
              <w:right w:val="nil"/>
            </w:tcBorders>
            <w:shd w:val="clear" w:color="000000" w:fill="FFFFFF"/>
            <w:vAlign w:val="bottom"/>
          </w:tcPr>
          <w:p w14:paraId="6F174D70" w14:textId="3EA2A967" w:rsidR="002C2C3E" w:rsidRPr="00EB3D94" w:rsidRDefault="002C2C3E" w:rsidP="002C2C3E">
            <w:pPr>
              <w:rPr>
                <w:rFonts w:cs="Calibri"/>
                <w:lang w:val="es-ES"/>
              </w:rPr>
            </w:pPr>
            <w:r w:rsidRPr="00EB3D94">
              <w:rPr>
                <w:rFonts w:cs="Calibri"/>
              </w:rPr>
              <w:t>Institut Cartogràfic i Geològic de Catalunya</w:t>
            </w:r>
          </w:p>
        </w:tc>
        <w:tc>
          <w:tcPr>
            <w:tcW w:w="8760" w:type="dxa"/>
            <w:tcBorders>
              <w:top w:val="nil"/>
              <w:left w:val="nil"/>
              <w:bottom w:val="nil"/>
              <w:right w:val="nil"/>
            </w:tcBorders>
            <w:shd w:val="clear" w:color="000000" w:fill="FFFFFF"/>
            <w:noWrap/>
            <w:vAlign w:val="bottom"/>
            <w:hideMark/>
          </w:tcPr>
          <w:p w14:paraId="2BEBCD86" w14:textId="65BBC23B" w:rsidR="002C2C3E" w:rsidRPr="00EB3D94" w:rsidRDefault="002C2C3E" w:rsidP="002C2C3E">
            <w:pPr>
              <w:rPr>
                <w:rFonts w:cs="Calibri"/>
                <w:lang w:val="es-ES"/>
              </w:rPr>
            </w:pPr>
            <w:r w:rsidRPr="00EB3D94">
              <w:rPr>
                <w:rFonts w:cs="Calibri"/>
                <w:lang w:val="es-ES"/>
              </w:rPr>
              <w:t>Instituto Cartográfico y Geológico de Cataluña</w:t>
            </w:r>
          </w:p>
        </w:tc>
      </w:tr>
      <w:tr w:rsidR="00EB3D94" w:rsidRPr="00EB3D94" w14:paraId="741988C8" w14:textId="77777777" w:rsidTr="0001199B">
        <w:trPr>
          <w:trHeight w:val="290"/>
        </w:trPr>
        <w:tc>
          <w:tcPr>
            <w:tcW w:w="8760" w:type="dxa"/>
            <w:tcBorders>
              <w:top w:val="nil"/>
              <w:left w:val="nil"/>
              <w:bottom w:val="nil"/>
              <w:right w:val="nil"/>
            </w:tcBorders>
            <w:shd w:val="clear" w:color="000000" w:fill="FFFFFF"/>
            <w:vAlign w:val="bottom"/>
          </w:tcPr>
          <w:p w14:paraId="3E9ED321" w14:textId="0149A293" w:rsidR="002C2C3E" w:rsidRPr="00EB3D94" w:rsidRDefault="002C2C3E" w:rsidP="002C2C3E">
            <w:pPr>
              <w:rPr>
                <w:rFonts w:cs="Calibri"/>
                <w:lang w:val="es-ES"/>
              </w:rPr>
            </w:pPr>
            <w:r w:rsidRPr="00EB3D94">
              <w:rPr>
                <w:rFonts w:cs="Calibri"/>
              </w:rPr>
              <w:t>Institut Català de Finances (ICF)</w:t>
            </w:r>
          </w:p>
        </w:tc>
        <w:tc>
          <w:tcPr>
            <w:tcW w:w="8760" w:type="dxa"/>
            <w:tcBorders>
              <w:top w:val="nil"/>
              <w:left w:val="nil"/>
              <w:bottom w:val="nil"/>
              <w:right w:val="nil"/>
            </w:tcBorders>
            <w:shd w:val="clear" w:color="000000" w:fill="FFFFFF"/>
            <w:noWrap/>
            <w:vAlign w:val="bottom"/>
            <w:hideMark/>
          </w:tcPr>
          <w:p w14:paraId="5F2A4803" w14:textId="6C02B320" w:rsidR="002C2C3E" w:rsidRPr="00EB3D94" w:rsidRDefault="002C2C3E" w:rsidP="002C2C3E">
            <w:pPr>
              <w:rPr>
                <w:rFonts w:cs="Calibri"/>
                <w:lang w:val="es-ES"/>
              </w:rPr>
            </w:pPr>
            <w:r w:rsidRPr="00EB3D94">
              <w:rPr>
                <w:rFonts w:cs="Calibri"/>
                <w:lang w:val="es-ES"/>
              </w:rPr>
              <w:t>Instituto Catalán de Finanzas (ICF)</w:t>
            </w:r>
          </w:p>
        </w:tc>
      </w:tr>
      <w:tr w:rsidR="00EB3D94" w:rsidRPr="00EB3D94" w14:paraId="539AAED7" w14:textId="77777777" w:rsidTr="0001199B">
        <w:trPr>
          <w:trHeight w:val="290"/>
        </w:trPr>
        <w:tc>
          <w:tcPr>
            <w:tcW w:w="8760" w:type="dxa"/>
            <w:tcBorders>
              <w:top w:val="nil"/>
              <w:left w:val="nil"/>
              <w:bottom w:val="nil"/>
              <w:right w:val="nil"/>
            </w:tcBorders>
            <w:shd w:val="clear" w:color="000000" w:fill="FFFFFF"/>
            <w:vAlign w:val="bottom"/>
          </w:tcPr>
          <w:p w14:paraId="6B7720C2" w14:textId="00EE7FD4" w:rsidR="002C2C3E" w:rsidRPr="00EB3D94" w:rsidRDefault="002C2C3E" w:rsidP="002C2C3E">
            <w:pPr>
              <w:rPr>
                <w:rFonts w:cs="Calibri"/>
                <w:lang w:val="es-ES"/>
              </w:rPr>
            </w:pPr>
            <w:r w:rsidRPr="00EB3D94">
              <w:rPr>
                <w:rFonts w:cs="Calibri"/>
              </w:rPr>
              <w:t>Institut Català de la Salut (ICS)</w:t>
            </w:r>
          </w:p>
        </w:tc>
        <w:tc>
          <w:tcPr>
            <w:tcW w:w="8760" w:type="dxa"/>
            <w:tcBorders>
              <w:top w:val="nil"/>
              <w:left w:val="nil"/>
              <w:bottom w:val="nil"/>
              <w:right w:val="nil"/>
            </w:tcBorders>
            <w:shd w:val="clear" w:color="000000" w:fill="FFFFFF"/>
            <w:noWrap/>
            <w:vAlign w:val="bottom"/>
            <w:hideMark/>
          </w:tcPr>
          <w:p w14:paraId="12A15DDD" w14:textId="6E16603E" w:rsidR="002C2C3E" w:rsidRPr="00EB3D94" w:rsidRDefault="002C2C3E" w:rsidP="002C2C3E">
            <w:pPr>
              <w:rPr>
                <w:rFonts w:cs="Calibri"/>
                <w:lang w:val="es-ES"/>
              </w:rPr>
            </w:pPr>
            <w:r w:rsidRPr="00EB3D94">
              <w:rPr>
                <w:rFonts w:cs="Calibri"/>
                <w:lang w:val="es-ES"/>
              </w:rPr>
              <w:t xml:space="preserve">Instituto Català de la </w:t>
            </w:r>
            <w:proofErr w:type="spellStart"/>
            <w:r w:rsidRPr="00EB3D94">
              <w:rPr>
                <w:rFonts w:cs="Calibri"/>
                <w:lang w:val="es-ES"/>
              </w:rPr>
              <w:t>Salut</w:t>
            </w:r>
            <w:proofErr w:type="spellEnd"/>
            <w:r w:rsidRPr="00EB3D94">
              <w:rPr>
                <w:rFonts w:cs="Calibri"/>
                <w:lang w:val="es-ES"/>
              </w:rPr>
              <w:t xml:space="preserve"> (ICS)</w:t>
            </w:r>
          </w:p>
        </w:tc>
      </w:tr>
      <w:tr w:rsidR="00EB3D94" w:rsidRPr="00EB3D94" w14:paraId="56ADE1AD" w14:textId="77777777" w:rsidTr="0001199B">
        <w:trPr>
          <w:trHeight w:val="290"/>
        </w:trPr>
        <w:tc>
          <w:tcPr>
            <w:tcW w:w="8760" w:type="dxa"/>
            <w:tcBorders>
              <w:top w:val="nil"/>
              <w:left w:val="nil"/>
              <w:bottom w:val="nil"/>
              <w:right w:val="nil"/>
            </w:tcBorders>
            <w:shd w:val="clear" w:color="000000" w:fill="FFFFFF"/>
            <w:vAlign w:val="bottom"/>
          </w:tcPr>
          <w:p w14:paraId="69272745" w14:textId="58AA91C0" w:rsidR="002C2C3E" w:rsidRPr="00EB3D94" w:rsidRDefault="002C2C3E" w:rsidP="002C2C3E">
            <w:pPr>
              <w:rPr>
                <w:rFonts w:cs="Calibri"/>
                <w:lang w:val="es-ES"/>
              </w:rPr>
            </w:pPr>
            <w:r w:rsidRPr="00EB3D94">
              <w:rPr>
                <w:rFonts w:cs="Calibri"/>
              </w:rPr>
              <w:t>Institut Català de la Vinya i el Vi</w:t>
            </w:r>
          </w:p>
        </w:tc>
        <w:tc>
          <w:tcPr>
            <w:tcW w:w="8760" w:type="dxa"/>
            <w:tcBorders>
              <w:top w:val="nil"/>
              <w:left w:val="nil"/>
              <w:bottom w:val="nil"/>
              <w:right w:val="nil"/>
            </w:tcBorders>
            <w:shd w:val="clear" w:color="000000" w:fill="FFFFFF"/>
            <w:noWrap/>
            <w:vAlign w:val="bottom"/>
            <w:hideMark/>
          </w:tcPr>
          <w:p w14:paraId="703259DA" w14:textId="5430A497" w:rsidR="002C2C3E" w:rsidRPr="00EB3D94" w:rsidRDefault="002C2C3E" w:rsidP="002C2C3E">
            <w:pPr>
              <w:rPr>
                <w:rFonts w:cs="Calibri"/>
                <w:lang w:val="es-ES"/>
              </w:rPr>
            </w:pPr>
            <w:r w:rsidRPr="00EB3D94">
              <w:rPr>
                <w:rFonts w:cs="Calibri"/>
                <w:lang w:val="es-ES"/>
              </w:rPr>
              <w:t xml:space="preserve">Instituto Català de la </w:t>
            </w:r>
            <w:proofErr w:type="spellStart"/>
            <w:r w:rsidRPr="00EB3D94">
              <w:rPr>
                <w:rFonts w:cs="Calibri"/>
                <w:lang w:val="es-ES"/>
              </w:rPr>
              <w:t>Vinya</w:t>
            </w:r>
            <w:proofErr w:type="spellEnd"/>
            <w:r w:rsidRPr="00EB3D94">
              <w:rPr>
                <w:rFonts w:cs="Calibri"/>
                <w:lang w:val="es-ES"/>
              </w:rPr>
              <w:t xml:space="preserve"> y el Vino</w:t>
            </w:r>
          </w:p>
        </w:tc>
      </w:tr>
      <w:tr w:rsidR="00EB3D94" w:rsidRPr="00EB3D94" w14:paraId="081573AA" w14:textId="77777777" w:rsidTr="0001199B">
        <w:trPr>
          <w:trHeight w:val="290"/>
        </w:trPr>
        <w:tc>
          <w:tcPr>
            <w:tcW w:w="8760" w:type="dxa"/>
            <w:tcBorders>
              <w:top w:val="nil"/>
              <w:left w:val="nil"/>
              <w:bottom w:val="nil"/>
              <w:right w:val="nil"/>
            </w:tcBorders>
            <w:shd w:val="clear" w:color="000000" w:fill="FFFFFF"/>
            <w:vAlign w:val="bottom"/>
          </w:tcPr>
          <w:p w14:paraId="765E2CC4" w14:textId="22A65EC2" w:rsidR="002C2C3E" w:rsidRPr="00EB3D94" w:rsidRDefault="002C2C3E" w:rsidP="002C2C3E">
            <w:pPr>
              <w:rPr>
                <w:rFonts w:cs="Calibri"/>
                <w:lang w:val="es-ES"/>
              </w:rPr>
            </w:pPr>
            <w:r w:rsidRPr="00EB3D94">
              <w:rPr>
                <w:rFonts w:cs="Calibri"/>
              </w:rPr>
              <w:t>Institut Català de l'Acolliment i de l'Adopció</w:t>
            </w:r>
          </w:p>
        </w:tc>
        <w:tc>
          <w:tcPr>
            <w:tcW w:w="8760" w:type="dxa"/>
            <w:tcBorders>
              <w:top w:val="nil"/>
              <w:left w:val="nil"/>
              <w:bottom w:val="nil"/>
              <w:right w:val="nil"/>
            </w:tcBorders>
            <w:shd w:val="clear" w:color="000000" w:fill="FFFFFF"/>
            <w:noWrap/>
            <w:vAlign w:val="bottom"/>
            <w:hideMark/>
          </w:tcPr>
          <w:p w14:paraId="67B78FD3" w14:textId="1E1A69EB" w:rsidR="002C2C3E" w:rsidRPr="00EB3D94" w:rsidRDefault="002C2C3E" w:rsidP="002C2C3E">
            <w:pPr>
              <w:rPr>
                <w:rFonts w:cs="Calibri"/>
                <w:lang w:val="es-ES"/>
              </w:rPr>
            </w:pPr>
            <w:r w:rsidRPr="00EB3D94">
              <w:rPr>
                <w:rFonts w:cs="Calibri"/>
                <w:lang w:val="es-ES"/>
              </w:rPr>
              <w:t>Instituto Catalán del Acogimiento y de la Adopción</w:t>
            </w:r>
          </w:p>
        </w:tc>
      </w:tr>
      <w:tr w:rsidR="00EB3D94" w:rsidRPr="00EB3D94" w14:paraId="1BFF0EE3" w14:textId="77777777" w:rsidTr="0001199B">
        <w:trPr>
          <w:trHeight w:val="290"/>
        </w:trPr>
        <w:tc>
          <w:tcPr>
            <w:tcW w:w="8760" w:type="dxa"/>
            <w:tcBorders>
              <w:top w:val="nil"/>
              <w:left w:val="nil"/>
              <w:bottom w:val="nil"/>
              <w:right w:val="nil"/>
            </w:tcBorders>
            <w:shd w:val="clear" w:color="000000" w:fill="FFFFFF"/>
            <w:vAlign w:val="bottom"/>
          </w:tcPr>
          <w:p w14:paraId="0D74DD0D" w14:textId="638E0833" w:rsidR="002C2C3E" w:rsidRPr="00EB3D94" w:rsidRDefault="002C2C3E" w:rsidP="002C2C3E">
            <w:pPr>
              <w:rPr>
                <w:rFonts w:cs="Calibri"/>
                <w:lang w:val="es-ES"/>
              </w:rPr>
            </w:pPr>
            <w:r w:rsidRPr="00EB3D94">
              <w:rPr>
                <w:rFonts w:cs="Calibri"/>
              </w:rPr>
              <w:t>Institut Català de les Dones</w:t>
            </w:r>
          </w:p>
        </w:tc>
        <w:tc>
          <w:tcPr>
            <w:tcW w:w="8760" w:type="dxa"/>
            <w:tcBorders>
              <w:top w:val="nil"/>
              <w:left w:val="nil"/>
              <w:bottom w:val="nil"/>
              <w:right w:val="nil"/>
            </w:tcBorders>
            <w:shd w:val="clear" w:color="000000" w:fill="FFFFFF"/>
            <w:noWrap/>
            <w:vAlign w:val="bottom"/>
            <w:hideMark/>
          </w:tcPr>
          <w:p w14:paraId="3A02E459" w14:textId="15E85796" w:rsidR="002C2C3E" w:rsidRPr="00EB3D94" w:rsidRDefault="002C2C3E" w:rsidP="002C2C3E">
            <w:pPr>
              <w:rPr>
                <w:rFonts w:cs="Calibri"/>
                <w:lang w:val="es-ES"/>
              </w:rPr>
            </w:pPr>
            <w:r w:rsidRPr="00EB3D94">
              <w:rPr>
                <w:rFonts w:cs="Calibri"/>
                <w:lang w:val="es-ES"/>
              </w:rPr>
              <w:t>Instituto Català de les Dones</w:t>
            </w:r>
          </w:p>
        </w:tc>
      </w:tr>
      <w:tr w:rsidR="00EB3D94" w:rsidRPr="00EB3D94" w14:paraId="294C75CA" w14:textId="77777777" w:rsidTr="0001199B">
        <w:trPr>
          <w:trHeight w:val="290"/>
        </w:trPr>
        <w:tc>
          <w:tcPr>
            <w:tcW w:w="8760" w:type="dxa"/>
            <w:tcBorders>
              <w:top w:val="nil"/>
              <w:left w:val="nil"/>
              <w:bottom w:val="nil"/>
              <w:right w:val="nil"/>
            </w:tcBorders>
            <w:shd w:val="clear" w:color="000000" w:fill="FFFFFF"/>
            <w:vAlign w:val="bottom"/>
          </w:tcPr>
          <w:p w14:paraId="59A44A4A" w14:textId="5ADD708E" w:rsidR="002C2C3E" w:rsidRPr="00EB3D94" w:rsidRDefault="002C2C3E" w:rsidP="002C2C3E">
            <w:pPr>
              <w:rPr>
                <w:rFonts w:cs="Calibri"/>
                <w:lang w:val="es-ES"/>
              </w:rPr>
            </w:pPr>
            <w:r w:rsidRPr="00EB3D94">
              <w:rPr>
                <w:rFonts w:cs="Calibri"/>
              </w:rPr>
              <w:t>Institut Català de les Empreses Culturals</w:t>
            </w:r>
          </w:p>
        </w:tc>
        <w:tc>
          <w:tcPr>
            <w:tcW w:w="8760" w:type="dxa"/>
            <w:tcBorders>
              <w:top w:val="nil"/>
              <w:left w:val="nil"/>
              <w:bottom w:val="nil"/>
              <w:right w:val="nil"/>
            </w:tcBorders>
            <w:shd w:val="clear" w:color="000000" w:fill="FFFFFF"/>
            <w:noWrap/>
            <w:vAlign w:val="bottom"/>
            <w:hideMark/>
          </w:tcPr>
          <w:p w14:paraId="22EAEB2A" w14:textId="5751011B" w:rsidR="002C2C3E" w:rsidRPr="00EB3D94" w:rsidRDefault="002C2C3E" w:rsidP="002C2C3E">
            <w:pPr>
              <w:rPr>
                <w:rFonts w:cs="Calibri"/>
                <w:lang w:val="es-ES"/>
              </w:rPr>
            </w:pPr>
            <w:r w:rsidRPr="00EB3D94">
              <w:rPr>
                <w:rFonts w:cs="Calibri"/>
                <w:lang w:val="es-ES"/>
              </w:rPr>
              <w:t xml:space="preserve">Instituto Català de les </w:t>
            </w:r>
            <w:proofErr w:type="spellStart"/>
            <w:r w:rsidRPr="00EB3D94">
              <w:rPr>
                <w:rFonts w:cs="Calibri"/>
                <w:lang w:val="es-ES"/>
              </w:rPr>
              <w:t>Empreses</w:t>
            </w:r>
            <w:proofErr w:type="spellEnd"/>
            <w:r w:rsidRPr="00EB3D94">
              <w:rPr>
                <w:rFonts w:cs="Calibri"/>
                <w:lang w:val="es-ES"/>
              </w:rPr>
              <w:t xml:space="preserve"> Culturales</w:t>
            </w:r>
          </w:p>
        </w:tc>
      </w:tr>
      <w:tr w:rsidR="00EB3D94" w:rsidRPr="00EB3D94" w14:paraId="058CB864" w14:textId="77777777" w:rsidTr="0001199B">
        <w:trPr>
          <w:trHeight w:val="290"/>
        </w:trPr>
        <w:tc>
          <w:tcPr>
            <w:tcW w:w="8760" w:type="dxa"/>
            <w:tcBorders>
              <w:top w:val="nil"/>
              <w:left w:val="nil"/>
              <w:bottom w:val="nil"/>
              <w:right w:val="nil"/>
            </w:tcBorders>
            <w:shd w:val="clear" w:color="000000" w:fill="FFFFFF"/>
            <w:vAlign w:val="bottom"/>
          </w:tcPr>
          <w:p w14:paraId="64E9A00E" w14:textId="7C33E43B" w:rsidR="002C2C3E" w:rsidRPr="00EB3D94" w:rsidRDefault="002C2C3E" w:rsidP="002C2C3E">
            <w:pPr>
              <w:rPr>
                <w:rFonts w:cs="Calibri"/>
                <w:lang w:val="es-ES"/>
              </w:rPr>
            </w:pPr>
            <w:r w:rsidRPr="00EB3D94">
              <w:rPr>
                <w:rFonts w:cs="Calibri"/>
              </w:rPr>
              <w:t>Institut Català del Sòl (INCASÒL)</w:t>
            </w:r>
          </w:p>
        </w:tc>
        <w:tc>
          <w:tcPr>
            <w:tcW w:w="8760" w:type="dxa"/>
            <w:tcBorders>
              <w:top w:val="nil"/>
              <w:left w:val="nil"/>
              <w:bottom w:val="nil"/>
              <w:right w:val="nil"/>
            </w:tcBorders>
            <w:shd w:val="clear" w:color="000000" w:fill="FFFFFF"/>
            <w:noWrap/>
            <w:vAlign w:val="bottom"/>
            <w:hideMark/>
          </w:tcPr>
          <w:p w14:paraId="754F7D74" w14:textId="0EC2DECA" w:rsidR="002C2C3E" w:rsidRPr="00EB3D94" w:rsidRDefault="002C2C3E" w:rsidP="002C2C3E">
            <w:pPr>
              <w:rPr>
                <w:rFonts w:cs="Calibri"/>
                <w:lang w:val="es-ES"/>
              </w:rPr>
            </w:pPr>
            <w:r w:rsidRPr="00EB3D94">
              <w:rPr>
                <w:rFonts w:cs="Calibri"/>
                <w:lang w:val="es-ES"/>
              </w:rPr>
              <w:t>Instituto Catalán del Suelo (INCASÒL)</w:t>
            </w:r>
          </w:p>
        </w:tc>
      </w:tr>
      <w:tr w:rsidR="00EB3D94" w:rsidRPr="00EB3D94" w14:paraId="16974660" w14:textId="77777777" w:rsidTr="0001199B">
        <w:trPr>
          <w:trHeight w:val="290"/>
        </w:trPr>
        <w:tc>
          <w:tcPr>
            <w:tcW w:w="8760" w:type="dxa"/>
            <w:tcBorders>
              <w:top w:val="nil"/>
              <w:left w:val="nil"/>
              <w:bottom w:val="nil"/>
              <w:right w:val="nil"/>
            </w:tcBorders>
            <w:shd w:val="clear" w:color="000000" w:fill="FFFFFF"/>
            <w:vAlign w:val="bottom"/>
          </w:tcPr>
          <w:p w14:paraId="421551DC" w14:textId="6DC793CE" w:rsidR="002C2C3E" w:rsidRPr="00EB3D94" w:rsidRDefault="002C2C3E" w:rsidP="002C2C3E">
            <w:pPr>
              <w:rPr>
                <w:rFonts w:cs="Calibri"/>
                <w:lang w:val="es-ES"/>
              </w:rPr>
            </w:pPr>
            <w:r w:rsidRPr="00EB3D94">
              <w:rPr>
                <w:rFonts w:cs="Calibri"/>
              </w:rPr>
              <w:t>Institut Català d'Energia (ICAEN)</w:t>
            </w:r>
          </w:p>
        </w:tc>
        <w:tc>
          <w:tcPr>
            <w:tcW w:w="8760" w:type="dxa"/>
            <w:tcBorders>
              <w:top w:val="nil"/>
              <w:left w:val="nil"/>
              <w:bottom w:val="nil"/>
              <w:right w:val="nil"/>
            </w:tcBorders>
            <w:shd w:val="clear" w:color="000000" w:fill="FFFFFF"/>
            <w:noWrap/>
            <w:vAlign w:val="bottom"/>
            <w:hideMark/>
          </w:tcPr>
          <w:p w14:paraId="028A8184" w14:textId="71AE2D86" w:rsidR="002C2C3E" w:rsidRPr="00EB3D94" w:rsidRDefault="002C2C3E" w:rsidP="002C2C3E">
            <w:pPr>
              <w:rPr>
                <w:rFonts w:cs="Calibri"/>
                <w:lang w:val="es-ES"/>
              </w:rPr>
            </w:pPr>
            <w:r w:rsidRPr="00EB3D94">
              <w:rPr>
                <w:rFonts w:cs="Calibri"/>
                <w:lang w:val="es-ES"/>
              </w:rPr>
              <w:t>Instituto Catalán de Energía (ICAEN)</w:t>
            </w:r>
          </w:p>
        </w:tc>
      </w:tr>
      <w:tr w:rsidR="00EB3D94" w:rsidRPr="00EB3D94" w14:paraId="1EBA9899" w14:textId="77777777" w:rsidTr="0001199B">
        <w:trPr>
          <w:trHeight w:val="290"/>
        </w:trPr>
        <w:tc>
          <w:tcPr>
            <w:tcW w:w="8760" w:type="dxa"/>
            <w:tcBorders>
              <w:top w:val="nil"/>
              <w:left w:val="nil"/>
              <w:bottom w:val="nil"/>
              <w:right w:val="nil"/>
            </w:tcBorders>
            <w:shd w:val="clear" w:color="000000" w:fill="FFFFFF"/>
            <w:vAlign w:val="bottom"/>
          </w:tcPr>
          <w:p w14:paraId="5589DA15" w14:textId="1C7E4717" w:rsidR="002C2C3E" w:rsidRPr="00EB3D94" w:rsidRDefault="002C2C3E" w:rsidP="002C2C3E">
            <w:pPr>
              <w:rPr>
                <w:rFonts w:cs="Calibri"/>
                <w:lang w:val="es-ES"/>
              </w:rPr>
            </w:pPr>
            <w:r w:rsidRPr="00EB3D94">
              <w:rPr>
                <w:rFonts w:cs="Calibri"/>
              </w:rPr>
              <w:t>Institut Català d'Oncologia</w:t>
            </w:r>
          </w:p>
        </w:tc>
        <w:tc>
          <w:tcPr>
            <w:tcW w:w="8760" w:type="dxa"/>
            <w:tcBorders>
              <w:top w:val="nil"/>
              <w:left w:val="nil"/>
              <w:bottom w:val="nil"/>
              <w:right w:val="nil"/>
            </w:tcBorders>
            <w:shd w:val="clear" w:color="000000" w:fill="FFFFFF"/>
            <w:noWrap/>
            <w:vAlign w:val="bottom"/>
            <w:hideMark/>
          </w:tcPr>
          <w:p w14:paraId="447384CD" w14:textId="46F23937" w:rsidR="002C2C3E" w:rsidRPr="00EB3D94" w:rsidRDefault="002C2C3E" w:rsidP="002C2C3E">
            <w:pPr>
              <w:rPr>
                <w:rFonts w:cs="Calibri"/>
                <w:lang w:val="es-ES"/>
              </w:rPr>
            </w:pPr>
            <w:r w:rsidRPr="00EB3D94">
              <w:rPr>
                <w:rFonts w:cs="Calibri"/>
                <w:lang w:val="es-ES"/>
              </w:rPr>
              <w:t>Instituto Catalán de Oncología</w:t>
            </w:r>
          </w:p>
        </w:tc>
      </w:tr>
      <w:tr w:rsidR="00EB3D94" w:rsidRPr="00EB3D94" w14:paraId="0C3DFF03" w14:textId="77777777" w:rsidTr="0001199B">
        <w:trPr>
          <w:trHeight w:val="290"/>
        </w:trPr>
        <w:tc>
          <w:tcPr>
            <w:tcW w:w="8760" w:type="dxa"/>
            <w:tcBorders>
              <w:top w:val="nil"/>
              <w:left w:val="nil"/>
              <w:bottom w:val="nil"/>
              <w:right w:val="nil"/>
            </w:tcBorders>
            <w:shd w:val="clear" w:color="000000" w:fill="FFFFFF"/>
            <w:vAlign w:val="bottom"/>
          </w:tcPr>
          <w:p w14:paraId="649A9E67" w14:textId="3379FD92" w:rsidR="002C2C3E" w:rsidRPr="00EB3D94" w:rsidRDefault="002C2C3E" w:rsidP="002C2C3E">
            <w:pPr>
              <w:rPr>
                <w:rFonts w:cs="Calibri"/>
                <w:lang w:val="es-ES"/>
              </w:rPr>
            </w:pPr>
            <w:r w:rsidRPr="00EB3D94">
              <w:rPr>
                <w:rFonts w:cs="Calibri"/>
              </w:rPr>
              <w:t>Institut d'Assistència Sanitària</w:t>
            </w:r>
          </w:p>
        </w:tc>
        <w:tc>
          <w:tcPr>
            <w:tcW w:w="8760" w:type="dxa"/>
            <w:tcBorders>
              <w:top w:val="nil"/>
              <w:left w:val="nil"/>
              <w:bottom w:val="nil"/>
              <w:right w:val="nil"/>
            </w:tcBorders>
            <w:shd w:val="clear" w:color="000000" w:fill="FFFFFF"/>
            <w:noWrap/>
            <w:vAlign w:val="bottom"/>
            <w:hideMark/>
          </w:tcPr>
          <w:p w14:paraId="777CDD2D" w14:textId="24802F12" w:rsidR="002C2C3E" w:rsidRPr="00EB3D94" w:rsidRDefault="002C2C3E" w:rsidP="002C2C3E">
            <w:pPr>
              <w:rPr>
                <w:rFonts w:cs="Calibri"/>
                <w:lang w:val="es-ES"/>
              </w:rPr>
            </w:pPr>
            <w:r w:rsidRPr="00EB3D94">
              <w:rPr>
                <w:rFonts w:cs="Calibri"/>
                <w:lang w:val="es-ES"/>
              </w:rPr>
              <w:t>Instituto de Asistencia Sanitaria</w:t>
            </w:r>
          </w:p>
        </w:tc>
      </w:tr>
      <w:tr w:rsidR="00EB3D94" w:rsidRPr="00EB3D94" w14:paraId="05F64BEB" w14:textId="77777777" w:rsidTr="0001199B">
        <w:trPr>
          <w:trHeight w:val="290"/>
        </w:trPr>
        <w:tc>
          <w:tcPr>
            <w:tcW w:w="8760" w:type="dxa"/>
            <w:tcBorders>
              <w:top w:val="nil"/>
              <w:left w:val="nil"/>
              <w:bottom w:val="nil"/>
              <w:right w:val="nil"/>
            </w:tcBorders>
            <w:shd w:val="clear" w:color="000000" w:fill="FFFFFF"/>
            <w:vAlign w:val="bottom"/>
          </w:tcPr>
          <w:p w14:paraId="2FB1EC75" w14:textId="6A019710" w:rsidR="002C2C3E" w:rsidRPr="00EB3D94" w:rsidRDefault="002C2C3E" w:rsidP="002C2C3E">
            <w:pPr>
              <w:rPr>
                <w:rFonts w:cs="Calibri"/>
                <w:lang w:val="es-ES"/>
              </w:rPr>
            </w:pPr>
            <w:r w:rsidRPr="00EB3D94">
              <w:rPr>
                <w:rFonts w:cs="Calibri"/>
              </w:rPr>
              <w:t>Institut de Diagnòstic per la Imatge (IDI)</w:t>
            </w:r>
          </w:p>
        </w:tc>
        <w:tc>
          <w:tcPr>
            <w:tcW w:w="8760" w:type="dxa"/>
            <w:tcBorders>
              <w:top w:val="nil"/>
              <w:left w:val="nil"/>
              <w:bottom w:val="nil"/>
              <w:right w:val="nil"/>
            </w:tcBorders>
            <w:shd w:val="clear" w:color="000000" w:fill="FFFFFF"/>
            <w:noWrap/>
            <w:vAlign w:val="bottom"/>
            <w:hideMark/>
          </w:tcPr>
          <w:p w14:paraId="416CCCB6" w14:textId="1ABBBF98" w:rsidR="002C2C3E" w:rsidRPr="00EB3D94" w:rsidRDefault="002C2C3E" w:rsidP="002C2C3E">
            <w:pPr>
              <w:rPr>
                <w:rFonts w:cs="Calibri"/>
                <w:lang w:val="es-ES"/>
              </w:rPr>
            </w:pPr>
            <w:r w:rsidRPr="00EB3D94">
              <w:rPr>
                <w:rFonts w:cs="Calibri"/>
                <w:lang w:val="es-ES"/>
              </w:rPr>
              <w:t>Instituto de Diagnóstico por la Imagen (IDI)</w:t>
            </w:r>
          </w:p>
        </w:tc>
      </w:tr>
      <w:tr w:rsidR="00EB3D94" w:rsidRPr="00EB3D94" w14:paraId="13CE9BF4" w14:textId="77777777" w:rsidTr="0001199B">
        <w:trPr>
          <w:trHeight w:val="290"/>
        </w:trPr>
        <w:tc>
          <w:tcPr>
            <w:tcW w:w="8760" w:type="dxa"/>
            <w:tcBorders>
              <w:top w:val="nil"/>
              <w:left w:val="nil"/>
              <w:bottom w:val="nil"/>
              <w:right w:val="nil"/>
            </w:tcBorders>
            <w:shd w:val="clear" w:color="000000" w:fill="FFFFFF"/>
            <w:vAlign w:val="bottom"/>
          </w:tcPr>
          <w:p w14:paraId="57258417" w14:textId="5A0D3686" w:rsidR="002C2C3E" w:rsidRPr="00EB3D94" w:rsidRDefault="002C2C3E" w:rsidP="002C2C3E">
            <w:pPr>
              <w:rPr>
                <w:rFonts w:cs="Calibri"/>
                <w:lang w:val="es-ES"/>
              </w:rPr>
            </w:pPr>
            <w:r w:rsidRPr="00EB3D94">
              <w:rPr>
                <w:rFonts w:cs="Calibri"/>
              </w:rPr>
              <w:t>Institut de Recerca i Tecnologia Agroalimentàries (IRTA)</w:t>
            </w:r>
          </w:p>
        </w:tc>
        <w:tc>
          <w:tcPr>
            <w:tcW w:w="8760" w:type="dxa"/>
            <w:tcBorders>
              <w:top w:val="nil"/>
              <w:left w:val="nil"/>
              <w:bottom w:val="nil"/>
              <w:right w:val="nil"/>
            </w:tcBorders>
            <w:shd w:val="clear" w:color="000000" w:fill="FFFFFF"/>
            <w:noWrap/>
            <w:vAlign w:val="bottom"/>
            <w:hideMark/>
          </w:tcPr>
          <w:p w14:paraId="54CB3C21" w14:textId="57C90DDC" w:rsidR="002C2C3E" w:rsidRPr="00EB3D94" w:rsidRDefault="002C2C3E" w:rsidP="002C2C3E">
            <w:pPr>
              <w:rPr>
                <w:rFonts w:cs="Calibri"/>
                <w:lang w:val="es-ES"/>
              </w:rPr>
            </w:pPr>
            <w:r w:rsidRPr="00EB3D94">
              <w:rPr>
                <w:rFonts w:cs="Calibri"/>
                <w:lang w:val="es-ES"/>
              </w:rPr>
              <w:t>Instituto de Investigación</w:t>
            </w:r>
            <w:r w:rsidRPr="00EB3D94">
              <w:rPr>
                <w:rFonts w:cs="Calibri"/>
                <w:vanish/>
                <w:lang w:val="es-ES"/>
              </w:rPr>
              <w:t>&lt;A[Investigación|Búsqueda]&gt;</w:t>
            </w:r>
            <w:r w:rsidRPr="00EB3D94">
              <w:rPr>
                <w:rFonts w:cs="Calibri"/>
                <w:lang w:val="es-ES"/>
              </w:rPr>
              <w:t xml:space="preserve"> y Tecnología Agroalimentarias (IRTA)</w:t>
            </w:r>
          </w:p>
        </w:tc>
      </w:tr>
      <w:tr w:rsidR="00EB3D94" w:rsidRPr="00EB3D94" w14:paraId="056E0651" w14:textId="77777777" w:rsidTr="0001199B">
        <w:trPr>
          <w:trHeight w:val="290"/>
        </w:trPr>
        <w:tc>
          <w:tcPr>
            <w:tcW w:w="8760" w:type="dxa"/>
            <w:tcBorders>
              <w:top w:val="nil"/>
              <w:left w:val="nil"/>
              <w:bottom w:val="nil"/>
              <w:right w:val="nil"/>
            </w:tcBorders>
            <w:shd w:val="clear" w:color="000000" w:fill="FFFFFF"/>
            <w:vAlign w:val="bottom"/>
          </w:tcPr>
          <w:p w14:paraId="79C2A6B5" w14:textId="47F19A3B" w:rsidR="002C2C3E" w:rsidRPr="00EB3D94" w:rsidRDefault="002C2C3E" w:rsidP="002C2C3E">
            <w:pPr>
              <w:rPr>
                <w:rFonts w:cs="Calibri"/>
                <w:lang w:val="es-ES"/>
              </w:rPr>
            </w:pPr>
            <w:r w:rsidRPr="00EB3D94">
              <w:rPr>
                <w:rFonts w:cs="Calibri"/>
              </w:rPr>
              <w:t>Institut de Seguretat Pública de Catalunya</w:t>
            </w:r>
          </w:p>
        </w:tc>
        <w:tc>
          <w:tcPr>
            <w:tcW w:w="8760" w:type="dxa"/>
            <w:tcBorders>
              <w:top w:val="nil"/>
              <w:left w:val="nil"/>
              <w:bottom w:val="nil"/>
              <w:right w:val="nil"/>
            </w:tcBorders>
            <w:shd w:val="clear" w:color="000000" w:fill="FFFFFF"/>
            <w:noWrap/>
            <w:vAlign w:val="bottom"/>
            <w:hideMark/>
          </w:tcPr>
          <w:p w14:paraId="78418A92" w14:textId="55495805" w:rsidR="002C2C3E" w:rsidRPr="00EB3D94" w:rsidRDefault="002C2C3E" w:rsidP="002C2C3E">
            <w:pPr>
              <w:rPr>
                <w:rFonts w:cs="Calibri"/>
                <w:lang w:val="es-ES"/>
              </w:rPr>
            </w:pPr>
            <w:r w:rsidRPr="00EB3D94">
              <w:rPr>
                <w:rFonts w:cs="Calibri"/>
                <w:lang w:val="es-ES"/>
              </w:rPr>
              <w:t>Instituto de Seguridad Pública de Cataluña</w:t>
            </w:r>
          </w:p>
        </w:tc>
      </w:tr>
      <w:tr w:rsidR="00EB3D94" w:rsidRPr="00EB3D94" w14:paraId="1C22D413" w14:textId="77777777" w:rsidTr="0001199B">
        <w:trPr>
          <w:trHeight w:val="290"/>
        </w:trPr>
        <w:tc>
          <w:tcPr>
            <w:tcW w:w="8760" w:type="dxa"/>
            <w:tcBorders>
              <w:top w:val="nil"/>
              <w:left w:val="nil"/>
              <w:bottom w:val="nil"/>
              <w:right w:val="nil"/>
            </w:tcBorders>
            <w:shd w:val="clear" w:color="000000" w:fill="FFFFFF"/>
            <w:vAlign w:val="bottom"/>
          </w:tcPr>
          <w:p w14:paraId="14C42D22" w14:textId="1AB6A453" w:rsidR="002C2C3E" w:rsidRPr="00EB3D94" w:rsidRDefault="002C2C3E" w:rsidP="002C2C3E">
            <w:pPr>
              <w:rPr>
                <w:rFonts w:cs="Calibri"/>
                <w:lang w:val="es-ES"/>
              </w:rPr>
            </w:pPr>
            <w:r w:rsidRPr="00EB3D94">
              <w:rPr>
                <w:rFonts w:cs="Calibri"/>
              </w:rPr>
              <w:t>Institut d'Estadística de Catalunya</w:t>
            </w:r>
          </w:p>
        </w:tc>
        <w:tc>
          <w:tcPr>
            <w:tcW w:w="8760" w:type="dxa"/>
            <w:tcBorders>
              <w:top w:val="nil"/>
              <w:left w:val="nil"/>
              <w:bottom w:val="nil"/>
              <w:right w:val="nil"/>
            </w:tcBorders>
            <w:shd w:val="clear" w:color="000000" w:fill="FFFFFF"/>
            <w:noWrap/>
            <w:vAlign w:val="bottom"/>
            <w:hideMark/>
          </w:tcPr>
          <w:p w14:paraId="68F50DE4" w14:textId="3B82675D" w:rsidR="002C2C3E" w:rsidRPr="00EB3D94" w:rsidRDefault="002C2C3E" w:rsidP="002C2C3E">
            <w:pPr>
              <w:rPr>
                <w:rFonts w:cs="Calibri"/>
                <w:lang w:val="es-ES"/>
              </w:rPr>
            </w:pPr>
            <w:r w:rsidRPr="00EB3D94">
              <w:rPr>
                <w:rFonts w:cs="Calibri"/>
                <w:lang w:val="es-ES"/>
              </w:rPr>
              <w:t>Instituto de Estadística de Cataluña</w:t>
            </w:r>
          </w:p>
        </w:tc>
      </w:tr>
      <w:tr w:rsidR="00EB3D94" w:rsidRPr="00EB3D94" w14:paraId="38F56472" w14:textId="77777777" w:rsidTr="0001199B">
        <w:trPr>
          <w:trHeight w:val="290"/>
        </w:trPr>
        <w:tc>
          <w:tcPr>
            <w:tcW w:w="8760" w:type="dxa"/>
            <w:tcBorders>
              <w:top w:val="nil"/>
              <w:left w:val="nil"/>
              <w:bottom w:val="nil"/>
              <w:right w:val="nil"/>
            </w:tcBorders>
            <w:shd w:val="clear" w:color="000000" w:fill="FFFFFF"/>
            <w:vAlign w:val="bottom"/>
          </w:tcPr>
          <w:p w14:paraId="4E9AA16F" w14:textId="6BCAC44A" w:rsidR="002C2C3E" w:rsidRPr="00EB3D94" w:rsidRDefault="002C2C3E" w:rsidP="002C2C3E">
            <w:pPr>
              <w:rPr>
                <w:rFonts w:cs="Calibri"/>
                <w:lang w:val="es-ES"/>
              </w:rPr>
            </w:pPr>
            <w:r w:rsidRPr="00EB3D94">
              <w:rPr>
                <w:rFonts w:cs="Calibri"/>
              </w:rPr>
              <w:t>Institut Nacional d'Educació Física de Catalunya</w:t>
            </w:r>
          </w:p>
        </w:tc>
        <w:tc>
          <w:tcPr>
            <w:tcW w:w="8760" w:type="dxa"/>
            <w:tcBorders>
              <w:top w:val="nil"/>
              <w:left w:val="nil"/>
              <w:bottom w:val="nil"/>
              <w:right w:val="nil"/>
            </w:tcBorders>
            <w:shd w:val="clear" w:color="000000" w:fill="FFFFFF"/>
            <w:noWrap/>
            <w:vAlign w:val="bottom"/>
            <w:hideMark/>
          </w:tcPr>
          <w:p w14:paraId="7F2E941F" w14:textId="45043CBB" w:rsidR="002C2C3E" w:rsidRPr="00EB3D94" w:rsidRDefault="002C2C3E" w:rsidP="002C2C3E">
            <w:pPr>
              <w:rPr>
                <w:rFonts w:cs="Calibri"/>
                <w:lang w:val="es-ES"/>
              </w:rPr>
            </w:pPr>
            <w:r w:rsidRPr="00EB3D94">
              <w:rPr>
                <w:rFonts w:cs="Calibri"/>
                <w:lang w:val="es-ES"/>
              </w:rPr>
              <w:t>Instituto Nacional de Educación Física de Cataluña</w:t>
            </w:r>
          </w:p>
        </w:tc>
      </w:tr>
      <w:tr w:rsidR="00EB3D94" w:rsidRPr="00EB3D94" w14:paraId="63BC7FA2" w14:textId="77777777" w:rsidTr="0001199B">
        <w:trPr>
          <w:trHeight w:val="290"/>
        </w:trPr>
        <w:tc>
          <w:tcPr>
            <w:tcW w:w="8760" w:type="dxa"/>
            <w:tcBorders>
              <w:top w:val="nil"/>
              <w:left w:val="nil"/>
              <w:bottom w:val="nil"/>
              <w:right w:val="nil"/>
            </w:tcBorders>
            <w:shd w:val="clear" w:color="000000" w:fill="FFFFFF"/>
            <w:vAlign w:val="bottom"/>
          </w:tcPr>
          <w:p w14:paraId="52DB846C" w14:textId="5CD9374D" w:rsidR="002C2C3E" w:rsidRPr="00EB3D94" w:rsidRDefault="002C2C3E" w:rsidP="002C2C3E">
            <w:pPr>
              <w:rPr>
                <w:rFonts w:cs="Calibri"/>
                <w:lang w:val="es-ES"/>
              </w:rPr>
            </w:pPr>
            <w:r w:rsidRPr="00EB3D94">
              <w:rPr>
                <w:rFonts w:cs="Calibri"/>
              </w:rPr>
              <w:t>Institut per al Desenvolupament de les Comarques de l'Ebre (IDECE)</w:t>
            </w:r>
          </w:p>
        </w:tc>
        <w:tc>
          <w:tcPr>
            <w:tcW w:w="8760" w:type="dxa"/>
            <w:tcBorders>
              <w:top w:val="nil"/>
              <w:left w:val="nil"/>
              <w:bottom w:val="nil"/>
              <w:right w:val="nil"/>
            </w:tcBorders>
            <w:shd w:val="clear" w:color="000000" w:fill="FFFFFF"/>
            <w:noWrap/>
            <w:vAlign w:val="bottom"/>
            <w:hideMark/>
          </w:tcPr>
          <w:p w14:paraId="391B3491" w14:textId="1D2FEE73" w:rsidR="002C2C3E" w:rsidRPr="00EB3D94" w:rsidRDefault="002C2C3E" w:rsidP="002C2C3E">
            <w:pPr>
              <w:rPr>
                <w:rFonts w:cs="Calibri"/>
                <w:lang w:val="es-ES"/>
              </w:rPr>
            </w:pPr>
            <w:r w:rsidRPr="00EB3D94">
              <w:rPr>
                <w:rFonts w:cs="Calibri"/>
                <w:lang w:val="es-ES"/>
              </w:rPr>
              <w:t>Instituto para el Desarrollo de las Comarcas del Ebro (IDECE)</w:t>
            </w:r>
          </w:p>
        </w:tc>
      </w:tr>
      <w:tr w:rsidR="00EB3D94" w:rsidRPr="00EB3D94" w14:paraId="3465EC21" w14:textId="77777777" w:rsidTr="0001199B">
        <w:trPr>
          <w:trHeight w:val="290"/>
        </w:trPr>
        <w:tc>
          <w:tcPr>
            <w:tcW w:w="8760" w:type="dxa"/>
            <w:tcBorders>
              <w:top w:val="nil"/>
              <w:left w:val="nil"/>
              <w:bottom w:val="nil"/>
              <w:right w:val="nil"/>
            </w:tcBorders>
            <w:shd w:val="clear" w:color="000000" w:fill="FFFFFF"/>
            <w:vAlign w:val="bottom"/>
          </w:tcPr>
          <w:p w14:paraId="60C31C6C" w14:textId="142B7EE2" w:rsidR="002C2C3E" w:rsidRPr="00EB3D94" w:rsidRDefault="002C2C3E" w:rsidP="002C2C3E">
            <w:pPr>
              <w:rPr>
                <w:rFonts w:cs="Calibri"/>
                <w:lang w:val="es-ES"/>
              </w:rPr>
            </w:pPr>
            <w:r w:rsidRPr="00EB3D94">
              <w:rPr>
                <w:rFonts w:cs="Calibri"/>
              </w:rPr>
              <w:t>Institut per al Desenvolupament i la Promoció de l'Alt Pirineu i Aran</w:t>
            </w:r>
          </w:p>
        </w:tc>
        <w:tc>
          <w:tcPr>
            <w:tcW w:w="8760" w:type="dxa"/>
            <w:tcBorders>
              <w:top w:val="nil"/>
              <w:left w:val="nil"/>
              <w:bottom w:val="nil"/>
              <w:right w:val="nil"/>
            </w:tcBorders>
            <w:shd w:val="clear" w:color="000000" w:fill="FFFFFF"/>
            <w:noWrap/>
            <w:vAlign w:val="bottom"/>
            <w:hideMark/>
          </w:tcPr>
          <w:p w14:paraId="51794557" w14:textId="4A740A7C" w:rsidR="002C2C3E" w:rsidRPr="00EB3D94" w:rsidRDefault="002C2C3E" w:rsidP="002C2C3E">
            <w:pPr>
              <w:rPr>
                <w:rFonts w:cs="Calibri"/>
                <w:lang w:val="es-ES"/>
              </w:rPr>
            </w:pPr>
            <w:r w:rsidRPr="00EB3D94">
              <w:rPr>
                <w:rFonts w:cs="Calibri"/>
                <w:lang w:val="es-ES"/>
              </w:rPr>
              <w:t>Instituto para el Desarrollo y la Promoción del Alto Pirineo y Arán</w:t>
            </w:r>
          </w:p>
        </w:tc>
      </w:tr>
      <w:tr w:rsidR="00EB3D94" w:rsidRPr="00EB3D94" w14:paraId="09DFBA86" w14:textId="77777777" w:rsidTr="0001199B">
        <w:trPr>
          <w:trHeight w:val="290"/>
        </w:trPr>
        <w:tc>
          <w:tcPr>
            <w:tcW w:w="8760" w:type="dxa"/>
            <w:tcBorders>
              <w:top w:val="nil"/>
              <w:left w:val="nil"/>
              <w:bottom w:val="nil"/>
              <w:right w:val="nil"/>
            </w:tcBorders>
            <w:shd w:val="clear" w:color="000000" w:fill="FFFFFF"/>
            <w:vAlign w:val="bottom"/>
          </w:tcPr>
          <w:p w14:paraId="312D1945" w14:textId="63AF6BE2" w:rsidR="002C2C3E" w:rsidRPr="00EB3D94" w:rsidRDefault="002C2C3E" w:rsidP="002C2C3E">
            <w:pPr>
              <w:rPr>
                <w:rFonts w:cs="Calibri"/>
                <w:lang w:val="es-ES"/>
              </w:rPr>
            </w:pPr>
            <w:proofErr w:type="spellStart"/>
            <w:r w:rsidRPr="00EB3D94">
              <w:rPr>
                <w:rFonts w:cs="Calibri"/>
              </w:rPr>
              <w:t>Intracatalònia</w:t>
            </w:r>
            <w:proofErr w:type="spellEnd"/>
            <w:r w:rsidRPr="00EB3D94">
              <w:rPr>
                <w:rFonts w:cs="Calibri"/>
              </w:rPr>
              <w:t>, SA</w:t>
            </w:r>
          </w:p>
        </w:tc>
        <w:tc>
          <w:tcPr>
            <w:tcW w:w="8760" w:type="dxa"/>
            <w:tcBorders>
              <w:top w:val="nil"/>
              <w:left w:val="nil"/>
              <w:bottom w:val="nil"/>
              <w:right w:val="nil"/>
            </w:tcBorders>
            <w:shd w:val="clear" w:color="000000" w:fill="FFFFFF"/>
            <w:noWrap/>
            <w:vAlign w:val="bottom"/>
            <w:hideMark/>
          </w:tcPr>
          <w:p w14:paraId="45207971" w14:textId="38265239" w:rsidR="002C2C3E" w:rsidRPr="00EB3D94" w:rsidRDefault="002C2C3E" w:rsidP="002C2C3E">
            <w:pPr>
              <w:rPr>
                <w:rFonts w:cs="Calibri"/>
                <w:lang w:val="es-ES"/>
              </w:rPr>
            </w:pPr>
            <w:proofErr w:type="spellStart"/>
            <w:r w:rsidRPr="00EB3D94">
              <w:rPr>
                <w:rFonts w:cs="Calibri"/>
                <w:lang w:val="es-ES"/>
              </w:rPr>
              <w:t>Intracatalònia</w:t>
            </w:r>
            <w:proofErr w:type="spellEnd"/>
            <w:r w:rsidRPr="00EB3D94">
              <w:rPr>
                <w:rFonts w:cs="Calibri"/>
                <w:lang w:val="es-ES"/>
              </w:rPr>
              <w:t>, S. A.</w:t>
            </w:r>
          </w:p>
        </w:tc>
      </w:tr>
      <w:tr w:rsidR="00EB3D94" w:rsidRPr="00EB3D94" w14:paraId="046D5BD0" w14:textId="77777777" w:rsidTr="0001199B">
        <w:trPr>
          <w:trHeight w:val="290"/>
        </w:trPr>
        <w:tc>
          <w:tcPr>
            <w:tcW w:w="8760" w:type="dxa"/>
            <w:tcBorders>
              <w:top w:val="nil"/>
              <w:left w:val="nil"/>
              <w:bottom w:val="nil"/>
              <w:right w:val="nil"/>
            </w:tcBorders>
            <w:shd w:val="clear" w:color="000000" w:fill="FFFFFF"/>
            <w:vAlign w:val="bottom"/>
          </w:tcPr>
          <w:p w14:paraId="6E01FBD8" w14:textId="5BCA9764" w:rsidR="002C2C3E" w:rsidRPr="00EB3D94" w:rsidRDefault="002C2C3E" w:rsidP="002C2C3E">
            <w:pPr>
              <w:rPr>
                <w:rFonts w:cs="Calibri"/>
                <w:lang w:val="es-ES"/>
              </w:rPr>
            </w:pPr>
            <w:r w:rsidRPr="00EB3D94">
              <w:rPr>
                <w:rFonts w:cs="Calibri"/>
              </w:rPr>
              <w:t>Junta d'Herències</w:t>
            </w:r>
          </w:p>
        </w:tc>
        <w:tc>
          <w:tcPr>
            <w:tcW w:w="8760" w:type="dxa"/>
            <w:tcBorders>
              <w:top w:val="nil"/>
              <w:left w:val="nil"/>
              <w:bottom w:val="nil"/>
              <w:right w:val="nil"/>
            </w:tcBorders>
            <w:shd w:val="clear" w:color="000000" w:fill="FFFFFF"/>
            <w:noWrap/>
            <w:vAlign w:val="bottom"/>
            <w:hideMark/>
          </w:tcPr>
          <w:p w14:paraId="67034B51" w14:textId="2A2F2743" w:rsidR="002C2C3E" w:rsidRPr="00EB3D94" w:rsidRDefault="002C2C3E" w:rsidP="002C2C3E">
            <w:pPr>
              <w:rPr>
                <w:rFonts w:cs="Calibri"/>
                <w:lang w:val="es-ES"/>
              </w:rPr>
            </w:pPr>
            <w:r w:rsidRPr="00EB3D94">
              <w:rPr>
                <w:rFonts w:cs="Calibri"/>
                <w:lang w:val="es-ES"/>
              </w:rPr>
              <w:t>Junta de Herencias</w:t>
            </w:r>
          </w:p>
        </w:tc>
      </w:tr>
      <w:tr w:rsidR="00EB3D94" w:rsidRPr="00EB3D94" w14:paraId="199F363C" w14:textId="77777777" w:rsidTr="0001199B">
        <w:trPr>
          <w:trHeight w:val="290"/>
        </w:trPr>
        <w:tc>
          <w:tcPr>
            <w:tcW w:w="8760" w:type="dxa"/>
            <w:tcBorders>
              <w:top w:val="nil"/>
              <w:left w:val="nil"/>
              <w:bottom w:val="nil"/>
              <w:right w:val="nil"/>
            </w:tcBorders>
            <w:shd w:val="clear" w:color="000000" w:fill="FFFFFF"/>
            <w:vAlign w:val="bottom"/>
          </w:tcPr>
          <w:p w14:paraId="5102B633" w14:textId="061EAC73" w:rsidR="002C2C3E" w:rsidRPr="00EB3D94" w:rsidRDefault="002C2C3E" w:rsidP="002C2C3E">
            <w:pPr>
              <w:rPr>
                <w:rFonts w:cs="Calibri"/>
                <w:lang w:val="es-ES"/>
              </w:rPr>
            </w:pPr>
            <w:r w:rsidRPr="00EB3D94">
              <w:rPr>
                <w:rFonts w:cs="Calibri"/>
              </w:rPr>
              <w:t>Logaritme, Serveis Logístics, AIE</w:t>
            </w:r>
          </w:p>
        </w:tc>
        <w:tc>
          <w:tcPr>
            <w:tcW w:w="8760" w:type="dxa"/>
            <w:tcBorders>
              <w:top w:val="nil"/>
              <w:left w:val="nil"/>
              <w:bottom w:val="nil"/>
              <w:right w:val="nil"/>
            </w:tcBorders>
            <w:shd w:val="clear" w:color="000000" w:fill="FFFFFF"/>
            <w:noWrap/>
            <w:vAlign w:val="bottom"/>
            <w:hideMark/>
          </w:tcPr>
          <w:p w14:paraId="7267F7ED" w14:textId="5D278ABF" w:rsidR="002C2C3E" w:rsidRPr="00EB3D94" w:rsidRDefault="002C2C3E" w:rsidP="002C2C3E">
            <w:pPr>
              <w:rPr>
                <w:rFonts w:cs="Calibri"/>
                <w:lang w:val="es-ES"/>
              </w:rPr>
            </w:pPr>
            <w:r w:rsidRPr="00EB3D94">
              <w:rPr>
                <w:rFonts w:cs="Calibri"/>
                <w:lang w:val="es-ES"/>
              </w:rPr>
              <w:t>Logaritmo, Servicios Logísticos, AIE</w:t>
            </w:r>
          </w:p>
        </w:tc>
      </w:tr>
      <w:tr w:rsidR="00EB3D94" w:rsidRPr="00EB3D94" w14:paraId="21C9CC4E" w14:textId="77777777" w:rsidTr="0001199B">
        <w:trPr>
          <w:trHeight w:val="290"/>
        </w:trPr>
        <w:tc>
          <w:tcPr>
            <w:tcW w:w="8760" w:type="dxa"/>
            <w:tcBorders>
              <w:top w:val="nil"/>
              <w:left w:val="nil"/>
              <w:bottom w:val="nil"/>
              <w:right w:val="nil"/>
            </w:tcBorders>
            <w:shd w:val="clear" w:color="000000" w:fill="FFFFFF"/>
            <w:vAlign w:val="bottom"/>
          </w:tcPr>
          <w:p w14:paraId="62C5280D" w14:textId="61CA7870" w:rsidR="002C2C3E" w:rsidRPr="00EB3D94" w:rsidRDefault="002C2C3E" w:rsidP="002C2C3E">
            <w:pPr>
              <w:rPr>
                <w:rFonts w:cs="Calibri"/>
                <w:lang w:val="es-ES"/>
              </w:rPr>
            </w:pPr>
            <w:r w:rsidRPr="00EB3D94">
              <w:rPr>
                <w:rFonts w:cs="Calibri"/>
              </w:rPr>
              <w:t>Loteries de Catalunya, SAU</w:t>
            </w:r>
          </w:p>
        </w:tc>
        <w:tc>
          <w:tcPr>
            <w:tcW w:w="8760" w:type="dxa"/>
            <w:tcBorders>
              <w:top w:val="nil"/>
              <w:left w:val="nil"/>
              <w:bottom w:val="nil"/>
              <w:right w:val="nil"/>
            </w:tcBorders>
            <w:shd w:val="clear" w:color="000000" w:fill="FFFFFF"/>
            <w:noWrap/>
            <w:vAlign w:val="bottom"/>
            <w:hideMark/>
          </w:tcPr>
          <w:p w14:paraId="0BF06E72" w14:textId="7014A32F" w:rsidR="002C2C3E" w:rsidRPr="00EB3D94" w:rsidRDefault="002C2C3E" w:rsidP="002C2C3E">
            <w:pPr>
              <w:rPr>
                <w:rFonts w:cs="Calibri"/>
                <w:lang w:val="es-ES"/>
              </w:rPr>
            </w:pPr>
            <w:r w:rsidRPr="00EB3D94">
              <w:rPr>
                <w:rFonts w:cs="Calibri"/>
                <w:lang w:val="es-ES"/>
              </w:rPr>
              <w:t>Loterías de Cataluña, SAU</w:t>
            </w:r>
          </w:p>
        </w:tc>
      </w:tr>
      <w:tr w:rsidR="00EB3D94" w:rsidRPr="00EB3D94" w14:paraId="4A81CC51" w14:textId="77777777" w:rsidTr="0001199B">
        <w:trPr>
          <w:trHeight w:val="290"/>
        </w:trPr>
        <w:tc>
          <w:tcPr>
            <w:tcW w:w="8760" w:type="dxa"/>
            <w:tcBorders>
              <w:top w:val="nil"/>
              <w:left w:val="nil"/>
              <w:bottom w:val="nil"/>
              <w:right w:val="nil"/>
            </w:tcBorders>
            <w:shd w:val="clear" w:color="000000" w:fill="FFFFFF"/>
            <w:vAlign w:val="bottom"/>
          </w:tcPr>
          <w:p w14:paraId="165B1BC3" w14:textId="2F7B5786" w:rsidR="002C2C3E" w:rsidRPr="00EB3D94" w:rsidRDefault="002C2C3E" w:rsidP="002C2C3E">
            <w:pPr>
              <w:rPr>
                <w:rFonts w:cs="Calibri"/>
                <w:lang w:val="es-ES"/>
              </w:rPr>
            </w:pPr>
            <w:r w:rsidRPr="00EB3D94">
              <w:rPr>
                <w:rFonts w:cs="Calibri"/>
              </w:rPr>
              <w:t>Oficina de Suport a la Iniciativa Cultural</w:t>
            </w:r>
          </w:p>
        </w:tc>
        <w:tc>
          <w:tcPr>
            <w:tcW w:w="8760" w:type="dxa"/>
            <w:tcBorders>
              <w:top w:val="nil"/>
              <w:left w:val="nil"/>
              <w:bottom w:val="nil"/>
              <w:right w:val="nil"/>
            </w:tcBorders>
            <w:shd w:val="clear" w:color="000000" w:fill="FFFFFF"/>
            <w:noWrap/>
            <w:vAlign w:val="bottom"/>
            <w:hideMark/>
          </w:tcPr>
          <w:p w14:paraId="55AF8B5A" w14:textId="409E5CCE" w:rsidR="002C2C3E" w:rsidRPr="00EB3D94" w:rsidRDefault="002C2C3E" w:rsidP="002C2C3E">
            <w:pPr>
              <w:rPr>
                <w:rFonts w:cs="Calibri"/>
                <w:lang w:val="es-ES"/>
              </w:rPr>
            </w:pPr>
            <w:r w:rsidRPr="00EB3D94">
              <w:rPr>
                <w:rFonts w:cs="Calibri"/>
                <w:lang w:val="es-ES"/>
              </w:rPr>
              <w:t>Oficina de Apoyo</w:t>
            </w:r>
            <w:r w:rsidRPr="00EB3D94">
              <w:rPr>
                <w:rFonts w:cs="Calibri"/>
                <w:vanish/>
                <w:lang w:val="es-ES"/>
              </w:rPr>
              <w:t>&lt;A[Apoyo|Soporte]&gt;</w:t>
            </w:r>
            <w:r w:rsidRPr="00EB3D94">
              <w:rPr>
                <w:rFonts w:cs="Calibri"/>
                <w:lang w:val="es-ES"/>
              </w:rPr>
              <w:t xml:space="preserve"> a la Iniciativa Cultural</w:t>
            </w:r>
          </w:p>
        </w:tc>
      </w:tr>
      <w:tr w:rsidR="00EB3D94" w:rsidRPr="00EB3D94" w14:paraId="32CD79E4" w14:textId="77777777" w:rsidTr="0001199B">
        <w:trPr>
          <w:trHeight w:val="290"/>
        </w:trPr>
        <w:tc>
          <w:tcPr>
            <w:tcW w:w="8760" w:type="dxa"/>
            <w:tcBorders>
              <w:top w:val="nil"/>
              <w:left w:val="nil"/>
              <w:bottom w:val="nil"/>
              <w:right w:val="nil"/>
            </w:tcBorders>
            <w:shd w:val="clear" w:color="000000" w:fill="FFFFFF"/>
            <w:vAlign w:val="bottom"/>
          </w:tcPr>
          <w:p w14:paraId="28CFD8B8" w14:textId="29D98CAB" w:rsidR="002C2C3E" w:rsidRPr="00EB3D94" w:rsidRDefault="002C2C3E" w:rsidP="002C2C3E">
            <w:pPr>
              <w:rPr>
                <w:rFonts w:cs="Calibri"/>
                <w:lang w:val="es-ES"/>
              </w:rPr>
            </w:pPr>
            <w:r w:rsidRPr="00EB3D94">
              <w:rPr>
                <w:rFonts w:cs="Calibri"/>
              </w:rPr>
              <w:t>Parc Sanitari Pere Virgili</w:t>
            </w:r>
          </w:p>
        </w:tc>
        <w:tc>
          <w:tcPr>
            <w:tcW w:w="8760" w:type="dxa"/>
            <w:tcBorders>
              <w:top w:val="nil"/>
              <w:left w:val="nil"/>
              <w:bottom w:val="nil"/>
              <w:right w:val="nil"/>
            </w:tcBorders>
            <w:shd w:val="clear" w:color="000000" w:fill="FFFFFF"/>
            <w:noWrap/>
            <w:vAlign w:val="bottom"/>
            <w:hideMark/>
          </w:tcPr>
          <w:p w14:paraId="70882A59" w14:textId="4044C1E9" w:rsidR="002C2C3E" w:rsidRPr="00EB3D94" w:rsidRDefault="002C2C3E" w:rsidP="002C2C3E">
            <w:pPr>
              <w:rPr>
                <w:rFonts w:cs="Calibri"/>
                <w:lang w:val="es-ES"/>
              </w:rPr>
            </w:pPr>
            <w:r w:rsidRPr="00EB3D94">
              <w:rPr>
                <w:rFonts w:cs="Calibri"/>
                <w:lang w:val="es-ES"/>
              </w:rPr>
              <w:t>Parque Sanitari Pere Virgili</w:t>
            </w:r>
          </w:p>
        </w:tc>
      </w:tr>
      <w:tr w:rsidR="00EB3D94" w:rsidRPr="00EB3D94" w14:paraId="4F9C07E6" w14:textId="77777777" w:rsidTr="0001199B">
        <w:trPr>
          <w:trHeight w:val="290"/>
        </w:trPr>
        <w:tc>
          <w:tcPr>
            <w:tcW w:w="8760" w:type="dxa"/>
            <w:tcBorders>
              <w:top w:val="nil"/>
              <w:left w:val="nil"/>
              <w:bottom w:val="nil"/>
              <w:right w:val="nil"/>
            </w:tcBorders>
            <w:shd w:val="clear" w:color="000000" w:fill="FFFFFF"/>
            <w:vAlign w:val="bottom"/>
          </w:tcPr>
          <w:p w14:paraId="1BDABE07" w14:textId="19F63F8F" w:rsidR="002C2C3E" w:rsidRPr="00EB3D94" w:rsidRDefault="002C2C3E" w:rsidP="002C2C3E">
            <w:pPr>
              <w:rPr>
                <w:rFonts w:cs="Calibri"/>
                <w:lang w:val="es-ES"/>
              </w:rPr>
            </w:pPr>
            <w:r w:rsidRPr="00EB3D94">
              <w:rPr>
                <w:rFonts w:cs="Calibri"/>
              </w:rPr>
              <w:t>Patronat de la Muntanya de Montserrat</w:t>
            </w:r>
          </w:p>
        </w:tc>
        <w:tc>
          <w:tcPr>
            <w:tcW w:w="8760" w:type="dxa"/>
            <w:tcBorders>
              <w:top w:val="nil"/>
              <w:left w:val="nil"/>
              <w:bottom w:val="nil"/>
              <w:right w:val="nil"/>
            </w:tcBorders>
            <w:shd w:val="clear" w:color="000000" w:fill="FFFFFF"/>
            <w:noWrap/>
            <w:vAlign w:val="bottom"/>
            <w:hideMark/>
          </w:tcPr>
          <w:p w14:paraId="0FC9E67D" w14:textId="48B9D2DA" w:rsidR="002C2C3E" w:rsidRPr="00EB3D94" w:rsidRDefault="002C2C3E" w:rsidP="002C2C3E">
            <w:pPr>
              <w:rPr>
                <w:rFonts w:cs="Calibri"/>
                <w:lang w:val="es-ES"/>
              </w:rPr>
            </w:pPr>
            <w:r w:rsidRPr="00EB3D94">
              <w:rPr>
                <w:rFonts w:cs="Calibri"/>
                <w:lang w:val="es-ES"/>
              </w:rPr>
              <w:t>Patronato de la Montaña de Montserrat</w:t>
            </w:r>
          </w:p>
        </w:tc>
      </w:tr>
      <w:tr w:rsidR="00EB3D94" w:rsidRPr="00EB3D94" w14:paraId="6FCD8007" w14:textId="77777777" w:rsidTr="0001199B">
        <w:trPr>
          <w:trHeight w:val="290"/>
        </w:trPr>
        <w:tc>
          <w:tcPr>
            <w:tcW w:w="8760" w:type="dxa"/>
            <w:tcBorders>
              <w:top w:val="nil"/>
              <w:left w:val="nil"/>
              <w:bottom w:val="nil"/>
              <w:right w:val="nil"/>
            </w:tcBorders>
            <w:shd w:val="clear" w:color="000000" w:fill="FFFFFF"/>
            <w:vAlign w:val="bottom"/>
          </w:tcPr>
          <w:p w14:paraId="1BC1DAC3" w14:textId="16F116B6" w:rsidR="002C2C3E" w:rsidRPr="00EB3D94" w:rsidRDefault="002C2C3E" w:rsidP="002C2C3E">
            <w:pPr>
              <w:rPr>
                <w:rFonts w:cs="Calibri"/>
                <w:lang w:val="es-ES"/>
              </w:rPr>
            </w:pPr>
            <w:r w:rsidRPr="00EB3D94">
              <w:rPr>
                <w:rFonts w:cs="Calibri"/>
              </w:rPr>
              <w:t>Ports de la Generalitat</w:t>
            </w:r>
          </w:p>
        </w:tc>
        <w:tc>
          <w:tcPr>
            <w:tcW w:w="8760" w:type="dxa"/>
            <w:tcBorders>
              <w:top w:val="nil"/>
              <w:left w:val="nil"/>
              <w:bottom w:val="nil"/>
              <w:right w:val="nil"/>
            </w:tcBorders>
            <w:shd w:val="clear" w:color="000000" w:fill="FFFFFF"/>
            <w:noWrap/>
            <w:vAlign w:val="bottom"/>
            <w:hideMark/>
          </w:tcPr>
          <w:p w14:paraId="2FE7EF21" w14:textId="31B8DB4D" w:rsidR="002C2C3E" w:rsidRPr="00EB3D94" w:rsidRDefault="002C2C3E" w:rsidP="002C2C3E">
            <w:pPr>
              <w:rPr>
                <w:rFonts w:cs="Calibri"/>
                <w:lang w:val="es-ES"/>
              </w:rPr>
            </w:pPr>
            <w:r w:rsidRPr="00EB3D94">
              <w:rPr>
                <w:rFonts w:cs="Calibri"/>
                <w:lang w:val="es-ES"/>
              </w:rPr>
              <w:t>Puertos de la Generalitat</w:t>
            </w:r>
          </w:p>
        </w:tc>
      </w:tr>
      <w:tr w:rsidR="00EB3D94" w:rsidRPr="00EB3D94" w14:paraId="05A8C458" w14:textId="77777777" w:rsidTr="0001199B">
        <w:trPr>
          <w:trHeight w:val="290"/>
        </w:trPr>
        <w:tc>
          <w:tcPr>
            <w:tcW w:w="8760" w:type="dxa"/>
            <w:tcBorders>
              <w:top w:val="nil"/>
              <w:left w:val="nil"/>
              <w:bottom w:val="nil"/>
              <w:right w:val="nil"/>
            </w:tcBorders>
            <w:shd w:val="clear" w:color="000000" w:fill="FFFFFF"/>
            <w:vAlign w:val="bottom"/>
          </w:tcPr>
          <w:p w14:paraId="4444FB49" w14:textId="3A00FBB7" w:rsidR="002C2C3E" w:rsidRPr="00EB3D94" w:rsidRDefault="002C2C3E" w:rsidP="002C2C3E">
            <w:pPr>
              <w:rPr>
                <w:rFonts w:cs="Calibri"/>
                <w:lang w:val="es-ES"/>
              </w:rPr>
            </w:pPr>
            <w:r w:rsidRPr="00EB3D94">
              <w:rPr>
                <w:rFonts w:cs="Calibri"/>
              </w:rPr>
              <w:t>Promotora d'Exportacions Catalanes, SA</w:t>
            </w:r>
          </w:p>
        </w:tc>
        <w:tc>
          <w:tcPr>
            <w:tcW w:w="8760" w:type="dxa"/>
            <w:tcBorders>
              <w:top w:val="nil"/>
              <w:left w:val="nil"/>
              <w:bottom w:val="nil"/>
              <w:right w:val="nil"/>
            </w:tcBorders>
            <w:shd w:val="clear" w:color="000000" w:fill="FFFFFF"/>
            <w:noWrap/>
            <w:vAlign w:val="bottom"/>
            <w:hideMark/>
          </w:tcPr>
          <w:p w14:paraId="39B591D7" w14:textId="76F230BF" w:rsidR="002C2C3E" w:rsidRPr="00EB3D94" w:rsidRDefault="002C2C3E" w:rsidP="002C2C3E">
            <w:pPr>
              <w:rPr>
                <w:rFonts w:cs="Calibri"/>
                <w:lang w:val="es-ES"/>
              </w:rPr>
            </w:pPr>
            <w:r w:rsidRPr="00EB3D94">
              <w:rPr>
                <w:rFonts w:cs="Calibri"/>
                <w:lang w:val="es-ES"/>
              </w:rPr>
              <w:t>Promotora de Exportaciones Catalanas, S. A.</w:t>
            </w:r>
          </w:p>
        </w:tc>
      </w:tr>
      <w:tr w:rsidR="00EB3D94" w:rsidRPr="00EB3D94" w14:paraId="10A6EB03" w14:textId="77777777" w:rsidTr="0001199B">
        <w:trPr>
          <w:trHeight w:val="290"/>
        </w:trPr>
        <w:tc>
          <w:tcPr>
            <w:tcW w:w="8760" w:type="dxa"/>
            <w:tcBorders>
              <w:top w:val="nil"/>
              <w:left w:val="nil"/>
              <w:bottom w:val="nil"/>
              <w:right w:val="nil"/>
            </w:tcBorders>
            <w:shd w:val="clear" w:color="000000" w:fill="FFFFFF"/>
            <w:vAlign w:val="bottom"/>
          </w:tcPr>
          <w:p w14:paraId="44AF2D10" w14:textId="52C56CC7" w:rsidR="002C2C3E" w:rsidRPr="00EB3D94" w:rsidRDefault="002C2C3E" w:rsidP="002C2C3E">
            <w:pPr>
              <w:rPr>
                <w:rFonts w:cs="Calibri"/>
                <w:lang w:val="es-ES"/>
              </w:rPr>
            </w:pPr>
            <w:r w:rsidRPr="00EB3D94">
              <w:rPr>
                <w:rFonts w:cs="Calibri"/>
              </w:rPr>
              <w:t>Salut Catalunya Central</w:t>
            </w:r>
          </w:p>
        </w:tc>
        <w:tc>
          <w:tcPr>
            <w:tcW w:w="8760" w:type="dxa"/>
            <w:tcBorders>
              <w:top w:val="nil"/>
              <w:left w:val="nil"/>
              <w:bottom w:val="nil"/>
              <w:right w:val="nil"/>
            </w:tcBorders>
            <w:shd w:val="clear" w:color="000000" w:fill="FFFFFF"/>
            <w:noWrap/>
            <w:vAlign w:val="bottom"/>
            <w:hideMark/>
          </w:tcPr>
          <w:p w14:paraId="36811246" w14:textId="2568E894" w:rsidR="002C2C3E" w:rsidRPr="00EB3D94" w:rsidRDefault="002C2C3E" w:rsidP="002C2C3E">
            <w:pPr>
              <w:rPr>
                <w:rFonts w:cs="Calibri"/>
                <w:lang w:val="es-ES"/>
              </w:rPr>
            </w:pPr>
            <w:r w:rsidRPr="00EB3D94">
              <w:rPr>
                <w:rFonts w:cs="Calibri"/>
                <w:lang w:val="es-ES"/>
              </w:rPr>
              <w:t>Salud Cataluña Central</w:t>
            </w:r>
          </w:p>
        </w:tc>
      </w:tr>
      <w:tr w:rsidR="00EB3D94" w:rsidRPr="00EB3D94" w14:paraId="086822D7" w14:textId="77777777" w:rsidTr="0001199B">
        <w:trPr>
          <w:trHeight w:val="290"/>
        </w:trPr>
        <w:tc>
          <w:tcPr>
            <w:tcW w:w="8760" w:type="dxa"/>
            <w:tcBorders>
              <w:top w:val="nil"/>
              <w:left w:val="nil"/>
              <w:bottom w:val="nil"/>
              <w:right w:val="nil"/>
            </w:tcBorders>
            <w:shd w:val="clear" w:color="000000" w:fill="FFFFFF"/>
            <w:vAlign w:val="bottom"/>
          </w:tcPr>
          <w:p w14:paraId="0817CCFB" w14:textId="7AEAEB33" w:rsidR="002C2C3E" w:rsidRPr="00EB3D94" w:rsidRDefault="002C2C3E" w:rsidP="002C2C3E">
            <w:pPr>
              <w:rPr>
                <w:rFonts w:cs="Calibri"/>
                <w:lang w:val="es-ES"/>
              </w:rPr>
            </w:pPr>
            <w:r w:rsidRPr="00EB3D94">
              <w:rPr>
                <w:rFonts w:cs="Calibri"/>
              </w:rPr>
              <w:t>Salut Sant Joan de Reus – Baix Camp</w:t>
            </w:r>
          </w:p>
        </w:tc>
        <w:tc>
          <w:tcPr>
            <w:tcW w:w="8760" w:type="dxa"/>
            <w:tcBorders>
              <w:top w:val="nil"/>
              <w:left w:val="nil"/>
              <w:bottom w:val="nil"/>
              <w:right w:val="nil"/>
            </w:tcBorders>
            <w:shd w:val="clear" w:color="000000" w:fill="FFFFFF"/>
            <w:noWrap/>
            <w:vAlign w:val="bottom"/>
            <w:hideMark/>
          </w:tcPr>
          <w:p w14:paraId="6E9294EC" w14:textId="0F609A9A" w:rsidR="002C2C3E" w:rsidRPr="00EB3D94" w:rsidRDefault="002C2C3E" w:rsidP="002C2C3E">
            <w:pPr>
              <w:rPr>
                <w:rFonts w:cs="Calibri"/>
                <w:lang w:val="es-ES"/>
              </w:rPr>
            </w:pPr>
            <w:r w:rsidRPr="00EB3D94">
              <w:rPr>
                <w:rFonts w:cs="Calibri"/>
                <w:lang w:val="es-ES"/>
              </w:rPr>
              <w:t>Salud Sant Joan de Reus – Baix Camp</w:t>
            </w:r>
          </w:p>
        </w:tc>
      </w:tr>
      <w:tr w:rsidR="00EB3D94" w:rsidRPr="00EB3D94" w14:paraId="7E0538DE" w14:textId="77777777" w:rsidTr="0001199B">
        <w:trPr>
          <w:trHeight w:val="290"/>
        </w:trPr>
        <w:tc>
          <w:tcPr>
            <w:tcW w:w="8760" w:type="dxa"/>
            <w:tcBorders>
              <w:top w:val="nil"/>
              <w:left w:val="nil"/>
              <w:bottom w:val="nil"/>
              <w:right w:val="nil"/>
            </w:tcBorders>
            <w:shd w:val="clear" w:color="000000" w:fill="FFFFFF"/>
            <w:vAlign w:val="bottom"/>
          </w:tcPr>
          <w:p w14:paraId="15B7D423" w14:textId="214E0CB9" w:rsidR="002C2C3E" w:rsidRPr="00EB3D94" w:rsidRDefault="002C2C3E" w:rsidP="002C2C3E">
            <w:pPr>
              <w:rPr>
                <w:rFonts w:cs="Calibri"/>
                <w:lang w:val="es-ES"/>
              </w:rPr>
            </w:pPr>
            <w:r w:rsidRPr="00EB3D94">
              <w:rPr>
                <w:rFonts w:cs="Calibri"/>
              </w:rPr>
              <w:t>Salut Terres de l'Ebre</w:t>
            </w:r>
          </w:p>
        </w:tc>
        <w:tc>
          <w:tcPr>
            <w:tcW w:w="8760" w:type="dxa"/>
            <w:tcBorders>
              <w:top w:val="nil"/>
              <w:left w:val="nil"/>
              <w:bottom w:val="nil"/>
              <w:right w:val="nil"/>
            </w:tcBorders>
            <w:shd w:val="clear" w:color="000000" w:fill="FFFFFF"/>
            <w:noWrap/>
            <w:vAlign w:val="bottom"/>
            <w:hideMark/>
          </w:tcPr>
          <w:p w14:paraId="1E0D4462" w14:textId="141F7428" w:rsidR="002C2C3E" w:rsidRPr="00EB3D94" w:rsidRDefault="002C2C3E" w:rsidP="002C2C3E">
            <w:pPr>
              <w:rPr>
                <w:rFonts w:cs="Calibri"/>
                <w:lang w:val="es-ES"/>
              </w:rPr>
            </w:pPr>
            <w:r w:rsidRPr="00EB3D94">
              <w:rPr>
                <w:rFonts w:cs="Calibri"/>
                <w:lang w:val="es-ES"/>
              </w:rPr>
              <w:t>Salud Tierras del Ebro</w:t>
            </w:r>
          </w:p>
        </w:tc>
      </w:tr>
      <w:tr w:rsidR="00EB3D94" w:rsidRPr="00EB3D94" w14:paraId="6BD5FC57" w14:textId="77777777" w:rsidTr="0001199B">
        <w:trPr>
          <w:trHeight w:val="290"/>
        </w:trPr>
        <w:tc>
          <w:tcPr>
            <w:tcW w:w="8760" w:type="dxa"/>
            <w:tcBorders>
              <w:top w:val="nil"/>
              <w:left w:val="nil"/>
              <w:bottom w:val="nil"/>
              <w:right w:val="nil"/>
            </w:tcBorders>
            <w:shd w:val="clear" w:color="000000" w:fill="FFFFFF"/>
            <w:vAlign w:val="bottom"/>
          </w:tcPr>
          <w:p w14:paraId="0CC8B72E" w14:textId="4A4ADF29" w:rsidR="002C2C3E" w:rsidRPr="00EB3D94" w:rsidRDefault="002C2C3E" w:rsidP="002C2C3E">
            <w:pPr>
              <w:rPr>
                <w:rFonts w:cs="Calibri"/>
                <w:lang w:val="es-ES"/>
              </w:rPr>
            </w:pPr>
            <w:r w:rsidRPr="00EB3D94">
              <w:rPr>
                <w:rFonts w:cs="Calibri"/>
              </w:rPr>
              <w:t>Servei Català de la Salut</w:t>
            </w:r>
          </w:p>
        </w:tc>
        <w:tc>
          <w:tcPr>
            <w:tcW w:w="8760" w:type="dxa"/>
            <w:tcBorders>
              <w:top w:val="nil"/>
              <w:left w:val="nil"/>
              <w:bottom w:val="nil"/>
              <w:right w:val="nil"/>
            </w:tcBorders>
            <w:shd w:val="clear" w:color="000000" w:fill="FFFFFF"/>
            <w:noWrap/>
            <w:vAlign w:val="bottom"/>
            <w:hideMark/>
          </w:tcPr>
          <w:p w14:paraId="2963919D" w14:textId="4851FFA2" w:rsidR="002C2C3E" w:rsidRPr="00EB3D94" w:rsidRDefault="002C2C3E" w:rsidP="002C2C3E">
            <w:pPr>
              <w:rPr>
                <w:rFonts w:cs="Calibri"/>
                <w:lang w:val="es-ES"/>
              </w:rPr>
            </w:pPr>
            <w:r w:rsidRPr="00EB3D94">
              <w:rPr>
                <w:rFonts w:cs="Calibri"/>
                <w:lang w:val="es-ES"/>
              </w:rPr>
              <w:t>Servicio Catalán de la Salud</w:t>
            </w:r>
          </w:p>
        </w:tc>
      </w:tr>
      <w:tr w:rsidR="00EB3D94" w:rsidRPr="00EB3D94" w14:paraId="76E70755" w14:textId="77777777" w:rsidTr="0001199B">
        <w:trPr>
          <w:trHeight w:val="290"/>
        </w:trPr>
        <w:tc>
          <w:tcPr>
            <w:tcW w:w="8760" w:type="dxa"/>
            <w:tcBorders>
              <w:top w:val="nil"/>
              <w:left w:val="nil"/>
              <w:bottom w:val="nil"/>
              <w:right w:val="nil"/>
            </w:tcBorders>
            <w:shd w:val="clear" w:color="000000" w:fill="FFFFFF"/>
            <w:vAlign w:val="bottom"/>
          </w:tcPr>
          <w:p w14:paraId="1E0FCC1C" w14:textId="35600C73" w:rsidR="002C2C3E" w:rsidRPr="00EB3D94" w:rsidRDefault="002C2C3E" w:rsidP="002C2C3E">
            <w:pPr>
              <w:rPr>
                <w:rFonts w:cs="Calibri"/>
                <w:lang w:val="es-ES"/>
              </w:rPr>
            </w:pPr>
            <w:r w:rsidRPr="00EB3D94">
              <w:rPr>
                <w:rFonts w:cs="Calibri"/>
              </w:rPr>
              <w:t>Servei Català de Trànsit</w:t>
            </w:r>
          </w:p>
        </w:tc>
        <w:tc>
          <w:tcPr>
            <w:tcW w:w="8760" w:type="dxa"/>
            <w:tcBorders>
              <w:top w:val="nil"/>
              <w:left w:val="nil"/>
              <w:bottom w:val="nil"/>
              <w:right w:val="nil"/>
            </w:tcBorders>
            <w:shd w:val="clear" w:color="000000" w:fill="FFFFFF"/>
            <w:noWrap/>
            <w:vAlign w:val="bottom"/>
            <w:hideMark/>
          </w:tcPr>
          <w:p w14:paraId="0B3E7A50" w14:textId="0B282493" w:rsidR="002C2C3E" w:rsidRPr="00EB3D94" w:rsidRDefault="002C2C3E" w:rsidP="002C2C3E">
            <w:pPr>
              <w:rPr>
                <w:rFonts w:cs="Calibri"/>
                <w:lang w:val="es-ES"/>
              </w:rPr>
            </w:pPr>
            <w:r w:rsidRPr="00EB3D94">
              <w:rPr>
                <w:rFonts w:cs="Calibri"/>
                <w:lang w:val="es-ES"/>
              </w:rPr>
              <w:t>Servicio Catalán de Tráfico</w:t>
            </w:r>
          </w:p>
        </w:tc>
      </w:tr>
      <w:tr w:rsidR="00EB3D94" w:rsidRPr="00EB3D94" w14:paraId="66A5E660" w14:textId="77777777" w:rsidTr="0001199B">
        <w:trPr>
          <w:trHeight w:val="290"/>
        </w:trPr>
        <w:tc>
          <w:tcPr>
            <w:tcW w:w="8760" w:type="dxa"/>
            <w:tcBorders>
              <w:top w:val="nil"/>
              <w:left w:val="nil"/>
              <w:bottom w:val="nil"/>
              <w:right w:val="nil"/>
            </w:tcBorders>
            <w:shd w:val="clear" w:color="000000" w:fill="FFFFFF"/>
            <w:vAlign w:val="bottom"/>
          </w:tcPr>
          <w:p w14:paraId="6AABCA94" w14:textId="40CA687A" w:rsidR="002C2C3E" w:rsidRPr="00EB3D94" w:rsidRDefault="002C2C3E" w:rsidP="002C2C3E">
            <w:pPr>
              <w:rPr>
                <w:rFonts w:cs="Calibri"/>
                <w:lang w:val="es-ES"/>
              </w:rPr>
            </w:pPr>
            <w:r w:rsidRPr="00EB3D94">
              <w:rPr>
                <w:rFonts w:cs="Calibri"/>
              </w:rPr>
              <w:t>Servei Meteorològic de Catalunya</w:t>
            </w:r>
          </w:p>
        </w:tc>
        <w:tc>
          <w:tcPr>
            <w:tcW w:w="8760" w:type="dxa"/>
            <w:tcBorders>
              <w:top w:val="nil"/>
              <w:left w:val="nil"/>
              <w:bottom w:val="nil"/>
              <w:right w:val="nil"/>
            </w:tcBorders>
            <w:shd w:val="clear" w:color="000000" w:fill="FFFFFF"/>
            <w:noWrap/>
            <w:vAlign w:val="bottom"/>
            <w:hideMark/>
          </w:tcPr>
          <w:p w14:paraId="18113188" w14:textId="5F160432" w:rsidR="002C2C3E" w:rsidRPr="00EB3D94" w:rsidRDefault="002C2C3E" w:rsidP="002C2C3E">
            <w:pPr>
              <w:rPr>
                <w:rFonts w:cs="Calibri"/>
                <w:lang w:val="es-ES"/>
              </w:rPr>
            </w:pPr>
            <w:r w:rsidRPr="00EB3D94">
              <w:rPr>
                <w:rFonts w:cs="Calibri"/>
                <w:lang w:val="es-ES"/>
              </w:rPr>
              <w:t>Servicio Meteorológico de Cataluña</w:t>
            </w:r>
          </w:p>
        </w:tc>
      </w:tr>
      <w:tr w:rsidR="00EB3D94" w:rsidRPr="00EB3D94" w14:paraId="2FF592C3" w14:textId="77777777" w:rsidTr="0001199B">
        <w:trPr>
          <w:trHeight w:val="290"/>
        </w:trPr>
        <w:tc>
          <w:tcPr>
            <w:tcW w:w="8760" w:type="dxa"/>
            <w:tcBorders>
              <w:top w:val="nil"/>
              <w:left w:val="nil"/>
              <w:bottom w:val="nil"/>
              <w:right w:val="nil"/>
            </w:tcBorders>
            <w:shd w:val="clear" w:color="000000" w:fill="FFFFFF"/>
            <w:vAlign w:val="bottom"/>
          </w:tcPr>
          <w:p w14:paraId="76D99ABC" w14:textId="3016DBD9" w:rsidR="002C2C3E" w:rsidRPr="00EB3D94" w:rsidRDefault="002C2C3E" w:rsidP="002C2C3E">
            <w:pPr>
              <w:rPr>
                <w:rFonts w:cs="Calibri"/>
                <w:lang w:val="es-ES"/>
              </w:rPr>
            </w:pPr>
            <w:r w:rsidRPr="00EB3D94">
              <w:rPr>
                <w:rFonts w:cs="Calibri"/>
              </w:rPr>
              <w:t>Servei Públic d'Ocupació de Catalunya</w:t>
            </w:r>
          </w:p>
        </w:tc>
        <w:tc>
          <w:tcPr>
            <w:tcW w:w="8760" w:type="dxa"/>
            <w:tcBorders>
              <w:top w:val="nil"/>
              <w:left w:val="nil"/>
              <w:bottom w:val="nil"/>
              <w:right w:val="nil"/>
            </w:tcBorders>
            <w:shd w:val="clear" w:color="000000" w:fill="FFFFFF"/>
            <w:noWrap/>
            <w:vAlign w:val="bottom"/>
            <w:hideMark/>
          </w:tcPr>
          <w:p w14:paraId="0583E505" w14:textId="5B87767E" w:rsidR="002C2C3E" w:rsidRPr="00EB3D94" w:rsidRDefault="002C2C3E" w:rsidP="002C2C3E">
            <w:pPr>
              <w:rPr>
                <w:rFonts w:cs="Calibri"/>
                <w:lang w:val="es-ES"/>
              </w:rPr>
            </w:pPr>
            <w:r w:rsidRPr="00EB3D94">
              <w:rPr>
                <w:rFonts w:cs="Calibri"/>
                <w:lang w:val="es-ES"/>
              </w:rPr>
              <w:t>Servicio Público de Empleo</w:t>
            </w:r>
            <w:r w:rsidRPr="00EB3D94">
              <w:rPr>
                <w:rFonts w:cs="Calibri"/>
                <w:vanish/>
                <w:lang w:val="es-ES"/>
              </w:rPr>
              <w:t>&lt;A[Empleo|Ocupación]&gt;</w:t>
            </w:r>
            <w:r w:rsidRPr="00EB3D94">
              <w:rPr>
                <w:rFonts w:cs="Calibri"/>
                <w:lang w:val="es-ES"/>
              </w:rPr>
              <w:t xml:space="preserve"> de Cataluña</w:t>
            </w:r>
          </w:p>
        </w:tc>
      </w:tr>
      <w:tr w:rsidR="00EB3D94" w:rsidRPr="00EB3D94" w14:paraId="16962059" w14:textId="77777777" w:rsidTr="0001199B">
        <w:trPr>
          <w:trHeight w:val="290"/>
        </w:trPr>
        <w:tc>
          <w:tcPr>
            <w:tcW w:w="8760" w:type="dxa"/>
            <w:tcBorders>
              <w:top w:val="nil"/>
              <w:left w:val="nil"/>
              <w:bottom w:val="nil"/>
              <w:right w:val="nil"/>
            </w:tcBorders>
            <w:shd w:val="clear" w:color="000000" w:fill="FFFFFF"/>
            <w:vAlign w:val="bottom"/>
          </w:tcPr>
          <w:p w14:paraId="705A4693" w14:textId="77FCF144" w:rsidR="002C2C3E" w:rsidRPr="00EB3D94" w:rsidRDefault="002C2C3E" w:rsidP="002C2C3E">
            <w:pPr>
              <w:rPr>
                <w:rFonts w:cs="Calibri"/>
                <w:lang w:val="es-ES"/>
              </w:rPr>
            </w:pPr>
            <w:r w:rsidRPr="00EB3D94">
              <w:rPr>
                <w:rFonts w:cs="Calibri"/>
              </w:rPr>
              <w:t>Sistema d'Emergències Mèdiques (SEM)</w:t>
            </w:r>
          </w:p>
        </w:tc>
        <w:tc>
          <w:tcPr>
            <w:tcW w:w="8760" w:type="dxa"/>
            <w:tcBorders>
              <w:top w:val="nil"/>
              <w:left w:val="nil"/>
              <w:bottom w:val="nil"/>
              <w:right w:val="nil"/>
            </w:tcBorders>
            <w:shd w:val="clear" w:color="000000" w:fill="FFFFFF"/>
            <w:noWrap/>
            <w:vAlign w:val="bottom"/>
            <w:hideMark/>
          </w:tcPr>
          <w:p w14:paraId="7B0C012D" w14:textId="15120BC5" w:rsidR="002C2C3E" w:rsidRPr="00EB3D94" w:rsidRDefault="002C2C3E" w:rsidP="002C2C3E">
            <w:pPr>
              <w:rPr>
                <w:rFonts w:cs="Calibri"/>
                <w:lang w:val="es-ES"/>
              </w:rPr>
            </w:pPr>
            <w:r w:rsidRPr="00EB3D94">
              <w:rPr>
                <w:rFonts w:cs="Calibri"/>
                <w:lang w:val="es-ES"/>
              </w:rPr>
              <w:t>Sistema de Emergencias Médicas (SEM)</w:t>
            </w:r>
          </w:p>
        </w:tc>
      </w:tr>
      <w:tr w:rsidR="00EB3D94" w:rsidRPr="00EB3D94" w14:paraId="44D7A074" w14:textId="77777777" w:rsidTr="0001199B">
        <w:trPr>
          <w:trHeight w:val="290"/>
        </w:trPr>
        <w:tc>
          <w:tcPr>
            <w:tcW w:w="8760" w:type="dxa"/>
            <w:tcBorders>
              <w:top w:val="nil"/>
              <w:left w:val="nil"/>
              <w:bottom w:val="nil"/>
              <w:right w:val="nil"/>
            </w:tcBorders>
            <w:shd w:val="clear" w:color="000000" w:fill="FFFFFF"/>
            <w:vAlign w:val="bottom"/>
          </w:tcPr>
          <w:p w14:paraId="409BEB4D" w14:textId="3DC0AAF3" w:rsidR="002C2C3E" w:rsidRPr="00EB3D94" w:rsidRDefault="002C2C3E" w:rsidP="002C2C3E">
            <w:pPr>
              <w:rPr>
                <w:rFonts w:cs="Calibri"/>
                <w:lang w:val="es-ES"/>
              </w:rPr>
            </w:pPr>
            <w:r w:rsidRPr="00EB3D94">
              <w:rPr>
                <w:rFonts w:cs="Calibri"/>
              </w:rPr>
              <w:t>Teatre Nacional de Catalunya, SA</w:t>
            </w:r>
          </w:p>
        </w:tc>
        <w:tc>
          <w:tcPr>
            <w:tcW w:w="8760" w:type="dxa"/>
            <w:tcBorders>
              <w:top w:val="nil"/>
              <w:left w:val="nil"/>
              <w:bottom w:val="nil"/>
              <w:right w:val="nil"/>
            </w:tcBorders>
            <w:shd w:val="clear" w:color="000000" w:fill="FFFFFF"/>
            <w:noWrap/>
            <w:vAlign w:val="bottom"/>
            <w:hideMark/>
          </w:tcPr>
          <w:p w14:paraId="1863B9B2" w14:textId="52527694" w:rsidR="002C2C3E" w:rsidRPr="00EB3D94" w:rsidRDefault="002C2C3E" w:rsidP="002C2C3E">
            <w:pPr>
              <w:rPr>
                <w:rFonts w:cs="Calibri"/>
                <w:lang w:val="es-ES"/>
              </w:rPr>
            </w:pPr>
            <w:r w:rsidRPr="00EB3D94">
              <w:rPr>
                <w:rFonts w:cs="Calibri"/>
                <w:lang w:val="es-ES"/>
              </w:rPr>
              <w:t>Teatro Nacional de Cataluña, S. A.</w:t>
            </w:r>
          </w:p>
        </w:tc>
      </w:tr>
    </w:tbl>
    <w:p w14:paraId="1F336439" w14:textId="77777777" w:rsidR="00D540F5" w:rsidRPr="00EB3D94" w:rsidRDefault="00D540F5" w:rsidP="00D540F5">
      <w:pPr>
        <w:rPr>
          <w:lang w:val="es-ES"/>
        </w:rPr>
      </w:pPr>
    </w:p>
    <w:p w14:paraId="1198AFA2" w14:textId="77777777" w:rsidR="00D540F5" w:rsidRPr="00EB3D94" w:rsidRDefault="00D540F5" w:rsidP="00D540F5">
      <w:pPr>
        <w:rPr>
          <w:lang w:val="es-ES"/>
        </w:rPr>
      </w:pPr>
    </w:p>
    <w:p w14:paraId="299693EC" w14:textId="77777777" w:rsidR="00D540F5" w:rsidRPr="00EB3D94" w:rsidRDefault="00D540F5" w:rsidP="00D540F5">
      <w:pPr>
        <w:rPr>
          <w:lang w:val="es-ES"/>
        </w:rPr>
      </w:pPr>
    </w:p>
    <w:p w14:paraId="10B595CF" w14:textId="77777777" w:rsidR="00F32EE2" w:rsidRPr="00EB3D94" w:rsidRDefault="00F32EE2" w:rsidP="00D540F5">
      <w:pPr>
        <w:spacing w:line="234" w:lineRule="exact"/>
        <w:rPr>
          <w:rFonts w:cs="Arial"/>
          <w:szCs w:val="22"/>
          <w:lang w:val="es-ES"/>
        </w:rPr>
        <w:sectPr w:rsidR="00F32EE2" w:rsidRPr="00EB3D94" w:rsidSect="002462B8">
          <w:headerReference w:type="default" r:id="rId12"/>
          <w:footerReference w:type="default" r:id="rId13"/>
          <w:pgSz w:w="11910" w:h="16840"/>
          <w:pgMar w:top="1730" w:right="1133" w:bottom="1701" w:left="1060" w:header="567" w:footer="808" w:gutter="0"/>
          <w:cols w:space="708"/>
        </w:sectPr>
      </w:pPr>
    </w:p>
    <w:p w14:paraId="2140EE35" w14:textId="77777777" w:rsidR="008C7827" w:rsidRPr="00EB3D94" w:rsidRDefault="008C7827" w:rsidP="00BC4866">
      <w:pPr>
        <w:jc w:val="both"/>
        <w:rPr>
          <w:rFonts w:cs="Arial"/>
          <w:sz w:val="20"/>
          <w:highlight w:val="yellow"/>
          <w:lang w:val="es-ES"/>
        </w:rPr>
      </w:pPr>
    </w:p>
    <w:p w14:paraId="52FF3015" w14:textId="77777777" w:rsidR="008C7827" w:rsidRPr="00EB3D94" w:rsidRDefault="008C7827" w:rsidP="00BC4866">
      <w:pPr>
        <w:jc w:val="both"/>
        <w:rPr>
          <w:rFonts w:cs="Arial"/>
          <w:sz w:val="20"/>
          <w:highlight w:val="yellow"/>
          <w:lang w:val="es-ES"/>
        </w:rPr>
      </w:pPr>
    </w:p>
    <w:p w14:paraId="22E484C0" w14:textId="77777777" w:rsidR="008C7827" w:rsidRPr="00EB3D94" w:rsidRDefault="008C7827" w:rsidP="00BC4866">
      <w:pPr>
        <w:outlineLvl w:val="0"/>
        <w:rPr>
          <w:b/>
          <w:sz w:val="20"/>
          <w:lang w:val="es-ES"/>
        </w:rPr>
      </w:pPr>
      <w:bookmarkStart w:id="26" w:name="OLE_LINK8"/>
      <w:r w:rsidRPr="00EB3D94">
        <w:rPr>
          <w:b/>
          <w:sz w:val="20"/>
          <w:lang w:val="es-ES"/>
        </w:rPr>
        <w:t>ANEXO 2.1:</w:t>
      </w:r>
    </w:p>
    <w:p w14:paraId="33C57B8A" w14:textId="77777777" w:rsidR="008C7827" w:rsidRPr="00EB3D94" w:rsidRDefault="008C7827" w:rsidP="00BC4866">
      <w:pPr>
        <w:outlineLvl w:val="0"/>
        <w:rPr>
          <w:b/>
          <w:sz w:val="20"/>
          <w:lang w:val="es-ES"/>
        </w:rPr>
      </w:pPr>
    </w:p>
    <w:bookmarkEnd w:id="26"/>
    <w:p w14:paraId="46F85AB9" w14:textId="77777777" w:rsidR="00785E2F" w:rsidRPr="00EB3D94" w:rsidRDefault="00785E2F" w:rsidP="00785E2F">
      <w:pPr>
        <w:rPr>
          <w:rFonts w:cs="Arial"/>
          <w:sz w:val="20"/>
          <w:lang w:val="es-ES"/>
        </w:rPr>
      </w:pPr>
      <w:r w:rsidRPr="00EB3D94">
        <w:rPr>
          <w:rFonts w:cs="Arial"/>
          <w:b/>
          <w:bCs/>
          <w:sz w:val="20"/>
          <w:u w:val="thick"/>
          <w:lang w:val="es-ES"/>
        </w:rPr>
        <w:t>DECLARACIÓN DE COMPROMISO DE DAR COBERTURA A LOS REQUERIMIENTOS MÍNIMOS DEL SERVICIO – LOTE 1</w:t>
      </w:r>
      <w:r w:rsidRPr="00EB3D94">
        <w:rPr>
          <w:rFonts w:cs="Arial"/>
          <w:b/>
          <w:bCs/>
          <w:sz w:val="20"/>
          <w:lang w:val="es-ES"/>
        </w:rPr>
        <w:t xml:space="preserve"> [</w:t>
      </w:r>
      <w:r w:rsidRPr="00EB3D94">
        <w:rPr>
          <w:rFonts w:cs="Arial"/>
          <w:sz w:val="20"/>
          <w:lang w:val="es-ES"/>
        </w:rPr>
        <w:t>no puntúa, pero el no compromiso o incumplimiento es motivo de exclusión]</w:t>
      </w:r>
    </w:p>
    <w:p w14:paraId="7F9A5118" w14:textId="77777777" w:rsidR="00F4281C" w:rsidRPr="00EB3D94" w:rsidRDefault="00F4281C" w:rsidP="00785E2F">
      <w:pPr>
        <w:rPr>
          <w:rFonts w:cs="Arial"/>
          <w:sz w:val="20"/>
          <w:lang w:val="es-ES"/>
        </w:rPr>
      </w:pPr>
    </w:p>
    <w:p w14:paraId="40BD3922" w14:textId="77777777" w:rsidR="00785E2F" w:rsidRPr="00EB3D94" w:rsidRDefault="00785E2F" w:rsidP="00785E2F">
      <w:pPr>
        <w:pStyle w:val="Pargrafdellista"/>
        <w:numPr>
          <w:ilvl w:val="0"/>
          <w:numId w:val="42"/>
        </w:numPr>
        <w:autoSpaceDE w:val="0"/>
        <w:autoSpaceDN w:val="0"/>
        <w:adjustRightInd w:val="0"/>
        <w:spacing w:after="220"/>
        <w:jc w:val="both"/>
        <w:rPr>
          <w:rFonts w:cs="Arial"/>
          <w:sz w:val="20"/>
          <w:u w:val="thick"/>
          <w:lang w:val="es-ES"/>
        </w:rPr>
      </w:pPr>
      <w:r w:rsidRPr="00EB3D94">
        <w:rPr>
          <w:rFonts w:cs="Arial"/>
          <w:sz w:val="20"/>
          <w:u w:val="thick"/>
          <w:lang w:val="es-ES"/>
        </w:rPr>
        <w:t>Declaración de compromiso de dar cobertura a los requerimientos mínimos imprescindibles al inicio de ejecución del contrato, según los requisitos especificados en los pliegos – LOTE 1</w:t>
      </w:r>
    </w:p>
    <w:tbl>
      <w:tblPr>
        <w:tblW w:w="9351" w:type="dxa"/>
        <w:tblCellMar>
          <w:left w:w="70" w:type="dxa"/>
          <w:right w:w="70" w:type="dxa"/>
        </w:tblCellMar>
        <w:tblLook w:val="04A0" w:firstRow="1" w:lastRow="0" w:firstColumn="1" w:lastColumn="0" w:noHBand="0" w:noVBand="1"/>
      </w:tblPr>
      <w:tblGrid>
        <w:gridCol w:w="7988"/>
        <w:gridCol w:w="1363"/>
      </w:tblGrid>
      <w:tr w:rsidR="00EB3D94" w:rsidRPr="00EB3D94" w14:paraId="644F2498" w14:textId="77777777" w:rsidTr="007F3043">
        <w:trPr>
          <w:trHeight w:val="640"/>
        </w:trPr>
        <w:tc>
          <w:tcPr>
            <w:tcW w:w="8075"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3645A398" w14:textId="77777777" w:rsidR="00785E2F" w:rsidRPr="00EB3D94" w:rsidRDefault="00785E2F" w:rsidP="007F3043">
            <w:pPr>
              <w:rPr>
                <w:rFonts w:cs="Arial"/>
                <w:b/>
                <w:bCs/>
                <w:sz w:val="20"/>
                <w:lang w:val="es-ES"/>
              </w:rPr>
            </w:pPr>
            <w:r w:rsidRPr="00EB3D94">
              <w:rPr>
                <w:rFonts w:eastAsia="Calibri" w:cs="Arial"/>
                <w:b/>
                <w:bCs/>
                <w:sz w:val="20"/>
                <w:lang w:val="es-ES" w:eastAsia="en-US"/>
              </w:rPr>
              <w:t>Requerimientos mínimos inicio ejecución contrato – LOTE 1</w:t>
            </w:r>
          </w:p>
        </w:tc>
        <w:tc>
          <w:tcPr>
            <w:tcW w:w="1276" w:type="dxa"/>
            <w:tcBorders>
              <w:top w:val="single" w:sz="4" w:space="0" w:color="auto"/>
              <w:left w:val="nil"/>
              <w:bottom w:val="single" w:sz="4" w:space="0" w:color="auto"/>
              <w:right w:val="single" w:sz="4" w:space="0" w:color="auto"/>
            </w:tcBorders>
            <w:shd w:val="clear" w:color="000000" w:fill="D6DCE4"/>
            <w:vAlign w:val="center"/>
            <w:hideMark/>
          </w:tcPr>
          <w:p w14:paraId="28A1DAAF" w14:textId="77777777" w:rsidR="00785E2F" w:rsidRPr="00EB3D94" w:rsidRDefault="00785E2F" w:rsidP="007F3043">
            <w:pPr>
              <w:jc w:val="center"/>
              <w:rPr>
                <w:rFonts w:cs="Arial"/>
                <w:sz w:val="20"/>
                <w:lang w:val="es-ES"/>
              </w:rPr>
            </w:pPr>
            <w:r w:rsidRPr="00EB3D94">
              <w:rPr>
                <w:rFonts w:eastAsia="Calibri" w:cs="Arial"/>
                <w:sz w:val="20"/>
                <w:lang w:val="es-ES" w:eastAsia="en-US"/>
              </w:rPr>
              <w:t>Compromiso/ Cumplimiento</w:t>
            </w:r>
          </w:p>
        </w:tc>
      </w:tr>
      <w:tr w:rsidR="00EB3D94" w:rsidRPr="00EB3D94" w14:paraId="43C12DDC" w14:textId="77777777" w:rsidTr="007F3043">
        <w:trPr>
          <w:trHeight w:val="290"/>
        </w:trPr>
        <w:tc>
          <w:tcPr>
            <w:tcW w:w="8075" w:type="dxa"/>
            <w:tcBorders>
              <w:top w:val="nil"/>
              <w:left w:val="single" w:sz="4" w:space="0" w:color="auto"/>
              <w:bottom w:val="single" w:sz="4" w:space="0" w:color="auto"/>
              <w:right w:val="single" w:sz="4" w:space="0" w:color="auto"/>
            </w:tcBorders>
            <w:shd w:val="clear" w:color="000000" w:fill="E7E6E6"/>
            <w:vAlign w:val="center"/>
            <w:hideMark/>
          </w:tcPr>
          <w:p w14:paraId="4B3BBDD3" w14:textId="77777777" w:rsidR="00785E2F" w:rsidRPr="00EB3D94" w:rsidRDefault="00785E2F" w:rsidP="007F3043">
            <w:pPr>
              <w:rPr>
                <w:rFonts w:cs="Arial"/>
                <w:b/>
                <w:bCs/>
                <w:sz w:val="20"/>
                <w:lang w:val="es-ES"/>
              </w:rPr>
            </w:pPr>
            <w:r w:rsidRPr="00EB3D94">
              <w:rPr>
                <w:rFonts w:eastAsia="Calibri" w:cs="Arial"/>
                <w:b/>
                <w:bCs/>
                <w:sz w:val="20"/>
                <w:lang w:val="es-ES" w:eastAsia="en-US"/>
              </w:rPr>
              <w:t>1) Creación estructura de cuentas</w:t>
            </w:r>
          </w:p>
        </w:tc>
        <w:tc>
          <w:tcPr>
            <w:tcW w:w="1276" w:type="dxa"/>
            <w:tcBorders>
              <w:top w:val="nil"/>
              <w:left w:val="nil"/>
              <w:bottom w:val="single" w:sz="4" w:space="0" w:color="auto"/>
              <w:right w:val="single" w:sz="4" w:space="0" w:color="auto"/>
            </w:tcBorders>
            <w:shd w:val="clear" w:color="000000" w:fill="E7E6E6"/>
            <w:vAlign w:val="center"/>
            <w:hideMark/>
          </w:tcPr>
          <w:p w14:paraId="4DEE22FD" w14:textId="77777777" w:rsidR="00785E2F" w:rsidRPr="00EB3D94" w:rsidRDefault="00785E2F" w:rsidP="007F3043">
            <w:pPr>
              <w:jc w:val="center"/>
              <w:rPr>
                <w:rFonts w:cs="Arial"/>
                <w:sz w:val="20"/>
                <w:lang w:val="es-ES"/>
              </w:rPr>
            </w:pPr>
            <w:r w:rsidRPr="00EB3D94">
              <w:rPr>
                <w:rFonts w:eastAsia="Calibri" w:cs="Arial"/>
                <w:sz w:val="20"/>
                <w:lang w:val="es-ES" w:eastAsia="en-US"/>
              </w:rPr>
              <w:t> </w:t>
            </w:r>
          </w:p>
        </w:tc>
      </w:tr>
      <w:tr w:rsidR="00EB3D94" w:rsidRPr="00EB3D94" w14:paraId="52882BF2" w14:textId="77777777" w:rsidTr="007F3043">
        <w:trPr>
          <w:trHeight w:val="290"/>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6509249D" w14:textId="77777777" w:rsidR="00785E2F" w:rsidRPr="00EB3D94" w:rsidRDefault="00785E2F" w:rsidP="007F3043">
            <w:pPr>
              <w:ind w:firstLineChars="200" w:firstLine="400"/>
              <w:rPr>
                <w:rFonts w:cs="Arial"/>
                <w:sz w:val="20"/>
                <w:lang w:val="es-ES"/>
              </w:rPr>
            </w:pPr>
            <w:r w:rsidRPr="00EB3D94">
              <w:rPr>
                <w:rFonts w:eastAsia="Calibri" w:cs="Arial"/>
                <w:sz w:val="20"/>
                <w:lang w:val="es-ES" w:eastAsia="en-US"/>
              </w:rPr>
              <w:t>a) Apertura cuentas operativas y tesorera</w:t>
            </w:r>
          </w:p>
        </w:tc>
        <w:tc>
          <w:tcPr>
            <w:tcW w:w="1276" w:type="dxa"/>
            <w:tcBorders>
              <w:top w:val="nil"/>
              <w:left w:val="nil"/>
              <w:bottom w:val="single" w:sz="4" w:space="0" w:color="auto"/>
              <w:right w:val="single" w:sz="4" w:space="0" w:color="auto"/>
            </w:tcBorders>
            <w:shd w:val="clear" w:color="000000" w:fill="FFFFFF"/>
            <w:vAlign w:val="center"/>
            <w:hideMark/>
          </w:tcPr>
          <w:p w14:paraId="2ACE971E" w14:textId="77777777" w:rsidR="00785E2F" w:rsidRPr="00EB3D94" w:rsidRDefault="00785E2F" w:rsidP="007F3043">
            <w:pPr>
              <w:jc w:val="center"/>
              <w:rPr>
                <w:rFonts w:cs="Arial"/>
                <w:sz w:val="20"/>
                <w:lang w:val="es-ES"/>
              </w:rPr>
            </w:pPr>
            <w:r w:rsidRPr="00EB3D94">
              <w:rPr>
                <w:rFonts w:eastAsia="Calibri" w:cs="Arial"/>
                <w:sz w:val="20"/>
                <w:lang w:val="es-ES" w:eastAsia="en-US"/>
              </w:rPr>
              <w:t>SI</w:t>
            </w:r>
          </w:p>
        </w:tc>
      </w:tr>
      <w:tr w:rsidR="00EB3D94" w:rsidRPr="00EB3D94" w14:paraId="05085135" w14:textId="77777777" w:rsidTr="007F3043">
        <w:trPr>
          <w:trHeight w:val="290"/>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4D0AB8C8" w14:textId="77777777" w:rsidR="00785E2F" w:rsidRPr="00EB3D94" w:rsidRDefault="00785E2F" w:rsidP="007F3043">
            <w:pPr>
              <w:ind w:firstLineChars="200" w:firstLine="400"/>
              <w:rPr>
                <w:rFonts w:cs="Arial"/>
                <w:sz w:val="20"/>
                <w:lang w:val="es-ES"/>
              </w:rPr>
            </w:pPr>
            <w:r w:rsidRPr="00EB3D94">
              <w:rPr>
                <w:rFonts w:eastAsia="Calibri" w:cs="Arial"/>
                <w:sz w:val="20"/>
                <w:lang w:val="es-ES" w:eastAsia="en-US"/>
              </w:rPr>
              <w:t>b) Apertura póliza de crédito Tesorería Corporativa</w:t>
            </w:r>
          </w:p>
        </w:tc>
        <w:tc>
          <w:tcPr>
            <w:tcW w:w="1276" w:type="dxa"/>
            <w:tcBorders>
              <w:top w:val="nil"/>
              <w:left w:val="nil"/>
              <w:bottom w:val="single" w:sz="4" w:space="0" w:color="auto"/>
              <w:right w:val="single" w:sz="4" w:space="0" w:color="auto"/>
            </w:tcBorders>
            <w:shd w:val="clear" w:color="000000" w:fill="FFFFFF"/>
            <w:vAlign w:val="center"/>
            <w:hideMark/>
          </w:tcPr>
          <w:p w14:paraId="2F5FB0A4" w14:textId="77777777" w:rsidR="00785E2F" w:rsidRPr="00EB3D94" w:rsidRDefault="00785E2F" w:rsidP="007F3043">
            <w:pPr>
              <w:jc w:val="center"/>
              <w:rPr>
                <w:rFonts w:cs="Arial"/>
                <w:sz w:val="20"/>
                <w:lang w:val="es-ES"/>
              </w:rPr>
            </w:pPr>
            <w:r w:rsidRPr="00EB3D94">
              <w:rPr>
                <w:rFonts w:eastAsia="Calibri" w:cs="Arial"/>
                <w:sz w:val="20"/>
                <w:lang w:val="es-ES" w:eastAsia="en-US"/>
              </w:rPr>
              <w:t>SI</w:t>
            </w:r>
          </w:p>
        </w:tc>
      </w:tr>
      <w:tr w:rsidR="00EB3D94" w:rsidRPr="00EB3D94" w14:paraId="61EC95A3" w14:textId="77777777" w:rsidTr="007F3043">
        <w:trPr>
          <w:trHeight w:val="290"/>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2B2018A0" w14:textId="77777777" w:rsidR="00785E2F" w:rsidRPr="00EB3D94" w:rsidRDefault="00785E2F" w:rsidP="007F3043">
            <w:pPr>
              <w:ind w:firstLineChars="200" w:firstLine="400"/>
              <w:rPr>
                <w:rFonts w:cs="Arial"/>
                <w:sz w:val="20"/>
                <w:lang w:val="es-ES"/>
              </w:rPr>
            </w:pPr>
            <w:r w:rsidRPr="00EB3D94">
              <w:rPr>
                <w:rFonts w:eastAsia="Calibri" w:cs="Arial"/>
                <w:sz w:val="20"/>
                <w:lang w:val="es-ES" w:eastAsia="en-US"/>
              </w:rPr>
              <w:t xml:space="preserve">c) Cobertura máximo tres niveles cash </w:t>
            </w:r>
            <w:proofErr w:type="spellStart"/>
            <w:r w:rsidRPr="00EB3D94">
              <w:rPr>
                <w:rFonts w:eastAsia="Calibri" w:cs="Arial"/>
                <w:sz w:val="20"/>
                <w:lang w:val="es-ES" w:eastAsia="en-US"/>
              </w:rPr>
              <w:t>pooling</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095D78B6" w14:textId="77777777" w:rsidR="00785E2F" w:rsidRPr="00EB3D94" w:rsidRDefault="00785E2F" w:rsidP="007F3043">
            <w:pPr>
              <w:jc w:val="center"/>
              <w:rPr>
                <w:rFonts w:cs="Arial"/>
                <w:sz w:val="20"/>
                <w:lang w:val="es-ES"/>
              </w:rPr>
            </w:pPr>
            <w:r w:rsidRPr="00EB3D94">
              <w:rPr>
                <w:rFonts w:eastAsia="Calibri" w:cs="Arial"/>
                <w:sz w:val="20"/>
                <w:lang w:val="es-ES" w:eastAsia="en-US"/>
              </w:rPr>
              <w:t>SI</w:t>
            </w:r>
          </w:p>
        </w:tc>
      </w:tr>
      <w:tr w:rsidR="00EB3D94" w:rsidRPr="00EB3D94" w14:paraId="63EBBE84" w14:textId="77777777" w:rsidTr="007F3043">
        <w:trPr>
          <w:trHeight w:val="290"/>
        </w:trPr>
        <w:tc>
          <w:tcPr>
            <w:tcW w:w="8075" w:type="dxa"/>
            <w:tcBorders>
              <w:top w:val="nil"/>
              <w:left w:val="single" w:sz="4" w:space="0" w:color="auto"/>
              <w:bottom w:val="single" w:sz="4" w:space="0" w:color="auto"/>
              <w:right w:val="single" w:sz="4" w:space="0" w:color="auto"/>
            </w:tcBorders>
            <w:shd w:val="clear" w:color="000000" w:fill="E7E6E6"/>
            <w:vAlign w:val="center"/>
            <w:hideMark/>
          </w:tcPr>
          <w:p w14:paraId="4C357EE8" w14:textId="77777777" w:rsidR="00785E2F" w:rsidRPr="00EB3D94" w:rsidRDefault="00785E2F" w:rsidP="007F3043">
            <w:pPr>
              <w:rPr>
                <w:rFonts w:cs="Arial"/>
                <w:b/>
                <w:bCs/>
                <w:sz w:val="20"/>
                <w:lang w:val="es-ES"/>
              </w:rPr>
            </w:pPr>
            <w:r w:rsidRPr="00EB3D94">
              <w:rPr>
                <w:rFonts w:eastAsia="Calibri" w:cs="Arial"/>
                <w:b/>
                <w:bCs/>
                <w:sz w:val="20"/>
                <w:lang w:val="es-ES" w:eastAsia="en-US"/>
              </w:rPr>
              <w:t>2) Operativa</w:t>
            </w:r>
          </w:p>
        </w:tc>
        <w:tc>
          <w:tcPr>
            <w:tcW w:w="1276" w:type="dxa"/>
            <w:tcBorders>
              <w:top w:val="nil"/>
              <w:left w:val="nil"/>
              <w:bottom w:val="single" w:sz="4" w:space="0" w:color="auto"/>
              <w:right w:val="single" w:sz="4" w:space="0" w:color="auto"/>
            </w:tcBorders>
            <w:shd w:val="clear" w:color="000000" w:fill="E7E6E6"/>
            <w:vAlign w:val="center"/>
            <w:hideMark/>
          </w:tcPr>
          <w:p w14:paraId="3B526B50" w14:textId="77777777" w:rsidR="00785E2F" w:rsidRPr="00EB3D94" w:rsidRDefault="00785E2F" w:rsidP="007F3043">
            <w:pPr>
              <w:jc w:val="center"/>
              <w:rPr>
                <w:rFonts w:cs="Arial"/>
                <w:sz w:val="20"/>
                <w:lang w:val="es-ES"/>
              </w:rPr>
            </w:pPr>
            <w:r w:rsidRPr="00EB3D94">
              <w:rPr>
                <w:rFonts w:eastAsia="Calibri" w:cs="Arial"/>
                <w:sz w:val="20"/>
                <w:lang w:val="es-ES" w:eastAsia="en-US"/>
              </w:rPr>
              <w:t> </w:t>
            </w:r>
          </w:p>
        </w:tc>
      </w:tr>
      <w:tr w:rsidR="00EB3D94" w:rsidRPr="00EB3D94" w14:paraId="2C91486E" w14:textId="77777777" w:rsidTr="007F3043">
        <w:trPr>
          <w:trHeight w:val="290"/>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65F8C1B7" w14:textId="77777777" w:rsidR="00785E2F" w:rsidRPr="00EB3D94" w:rsidRDefault="00785E2F" w:rsidP="007F3043">
            <w:pPr>
              <w:ind w:firstLineChars="200" w:firstLine="400"/>
              <w:rPr>
                <w:rFonts w:cs="Arial"/>
                <w:sz w:val="20"/>
                <w:lang w:val="es-ES"/>
              </w:rPr>
            </w:pPr>
            <w:r w:rsidRPr="00EB3D94">
              <w:rPr>
                <w:rFonts w:eastAsia="Calibri" w:cs="Arial"/>
                <w:sz w:val="20"/>
                <w:lang w:val="es-ES" w:eastAsia="en-US"/>
              </w:rPr>
              <w:t xml:space="preserve">a) Carga semanal límites operativos </w:t>
            </w:r>
          </w:p>
        </w:tc>
        <w:tc>
          <w:tcPr>
            <w:tcW w:w="1276" w:type="dxa"/>
            <w:tcBorders>
              <w:top w:val="nil"/>
              <w:left w:val="nil"/>
              <w:bottom w:val="single" w:sz="4" w:space="0" w:color="auto"/>
              <w:right w:val="single" w:sz="4" w:space="0" w:color="auto"/>
            </w:tcBorders>
            <w:shd w:val="clear" w:color="000000" w:fill="FFFFFF"/>
            <w:vAlign w:val="center"/>
            <w:hideMark/>
          </w:tcPr>
          <w:p w14:paraId="132C7BAD" w14:textId="77777777" w:rsidR="00785E2F" w:rsidRPr="00EB3D94" w:rsidRDefault="00785E2F" w:rsidP="007F3043">
            <w:pPr>
              <w:jc w:val="center"/>
              <w:rPr>
                <w:rFonts w:cs="Arial"/>
                <w:sz w:val="20"/>
                <w:lang w:val="es-ES"/>
              </w:rPr>
            </w:pPr>
            <w:r w:rsidRPr="00EB3D94">
              <w:rPr>
                <w:rFonts w:eastAsia="Calibri" w:cs="Arial"/>
                <w:sz w:val="20"/>
                <w:lang w:val="es-ES" w:eastAsia="en-US"/>
              </w:rPr>
              <w:t>SI</w:t>
            </w:r>
          </w:p>
        </w:tc>
      </w:tr>
      <w:tr w:rsidR="00EB3D94" w:rsidRPr="00EB3D94" w14:paraId="50F8CD91" w14:textId="77777777" w:rsidTr="007F3043">
        <w:trPr>
          <w:trHeight w:val="290"/>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5C9480B9" w14:textId="77777777" w:rsidR="00785E2F" w:rsidRPr="00EB3D94" w:rsidRDefault="00785E2F" w:rsidP="007F3043">
            <w:pPr>
              <w:ind w:firstLineChars="200" w:firstLine="400"/>
              <w:rPr>
                <w:rFonts w:cs="Arial"/>
                <w:sz w:val="20"/>
                <w:lang w:val="es-ES"/>
              </w:rPr>
            </w:pPr>
            <w:r w:rsidRPr="00EB3D94">
              <w:rPr>
                <w:rFonts w:eastAsia="Calibri" w:cs="Arial"/>
                <w:sz w:val="20"/>
                <w:lang w:val="es-ES" w:eastAsia="en-US"/>
              </w:rPr>
              <w:t>b) Gestión límites y bloqueo si procede</w:t>
            </w:r>
          </w:p>
        </w:tc>
        <w:tc>
          <w:tcPr>
            <w:tcW w:w="1276" w:type="dxa"/>
            <w:tcBorders>
              <w:top w:val="nil"/>
              <w:left w:val="nil"/>
              <w:bottom w:val="single" w:sz="4" w:space="0" w:color="auto"/>
              <w:right w:val="single" w:sz="4" w:space="0" w:color="auto"/>
            </w:tcBorders>
            <w:shd w:val="clear" w:color="000000" w:fill="FFFFFF"/>
            <w:vAlign w:val="center"/>
            <w:hideMark/>
          </w:tcPr>
          <w:p w14:paraId="481B0E1A" w14:textId="77777777" w:rsidR="00785E2F" w:rsidRPr="00EB3D94" w:rsidRDefault="00785E2F" w:rsidP="007F3043">
            <w:pPr>
              <w:jc w:val="center"/>
              <w:rPr>
                <w:rFonts w:cs="Arial"/>
                <w:sz w:val="20"/>
                <w:lang w:val="es-ES"/>
              </w:rPr>
            </w:pPr>
            <w:r w:rsidRPr="00EB3D94">
              <w:rPr>
                <w:rFonts w:eastAsia="Calibri" w:cs="Arial"/>
                <w:sz w:val="20"/>
                <w:lang w:val="es-ES" w:eastAsia="en-US"/>
              </w:rPr>
              <w:t>SI</w:t>
            </w:r>
          </w:p>
        </w:tc>
      </w:tr>
      <w:tr w:rsidR="00EB3D94" w:rsidRPr="00EB3D94" w14:paraId="3521294B" w14:textId="77777777" w:rsidTr="007F3043">
        <w:trPr>
          <w:trHeight w:val="290"/>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73F31082" w14:textId="77777777" w:rsidR="00785E2F" w:rsidRPr="00EB3D94" w:rsidRDefault="00785E2F" w:rsidP="007F3043">
            <w:pPr>
              <w:ind w:firstLineChars="200" w:firstLine="400"/>
              <w:rPr>
                <w:rFonts w:cs="Arial"/>
                <w:sz w:val="20"/>
                <w:lang w:val="es-ES"/>
              </w:rPr>
            </w:pPr>
            <w:r w:rsidRPr="00EB3D94">
              <w:rPr>
                <w:rFonts w:eastAsia="Calibri" w:cs="Arial"/>
                <w:sz w:val="20"/>
                <w:lang w:val="es-ES" w:eastAsia="en-US"/>
              </w:rPr>
              <w:t>c) Gestión automática póliza crédito corporativa</w:t>
            </w:r>
          </w:p>
        </w:tc>
        <w:tc>
          <w:tcPr>
            <w:tcW w:w="1276" w:type="dxa"/>
            <w:tcBorders>
              <w:top w:val="nil"/>
              <w:left w:val="nil"/>
              <w:bottom w:val="single" w:sz="4" w:space="0" w:color="auto"/>
              <w:right w:val="single" w:sz="4" w:space="0" w:color="auto"/>
            </w:tcBorders>
            <w:shd w:val="clear" w:color="000000" w:fill="FFFFFF"/>
            <w:vAlign w:val="center"/>
            <w:hideMark/>
          </w:tcPr>
          <w:p w14:paraId="4ECD4D74" w14:textId="77777777" w:rsidR="00785E2F" w:rsidRPr="00EB3D94" w:rsidRDefault="00785E2F" w:rsidP="007F3043">
            <w:pPr>
              <w:jc w:val="center"/>
              <w:rPr>
                <w:rFonts w:cs="Arial"/>
                <w:sz w:val="20"/>
                <w:lang w:val="es-ES"/>
              </w:rPr>
            </w:pPr>
            <w:r w:rsidRPr="00EB3D94">
              <w:rPr>
                <w:rFonts w:eastAsia="Calibri" w:cs="Arial"/>
                <w:sz w:val="20"/>
                <w:lang w:val="es-ES" w:eastAsia="en-US"/>
              </w:rPr>
              <w:t>SI</w:t>
            </w:r>
          </w:p>
        </w:tc>
      </w:tr>
      <w:tr w:rsidR="00EB3D94" w:rsidRPr="00EB3D94" w14:paraId="3D977CDF" w14:textId="77777777" w:rsidTr="007F3043">
        <w:trPr>
          <w:trHeight w:val="290"/>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5439E708" w14:textId="77777777" w:rsidR="00785E2F" w:rsidRPr="00EB3D94" w:rsidRDefault="00785E2F" w:rsidP="007F3043">
            <w:pPr>
              <w:ind w:firstLineChars="200" w:firstLine="400"/>
              <w:rPr>
                <w:rFonts w:cs="Arial"/>
                <w:sz w:val="20"/>
                <w:lang w:val="es-ES"/>
              </w:rPr>
            </w:pPr>
            <w:r w:rsidRPr="00EB3D94">
              <w:rPr>
                <w:rFonts w:eastAsia="Calibri" w:cs="Arial"/>
                <w:sz w:val="20"/>
                <w:lang w:val="es-ES" w:eastAsia="en-US"/>
              </w:rPr>
              <w:t>d) Arrastre saldos diario agrupado data valor y data operación</w:t>
            </w:r>
          </w:p>
        </w:tc>
        <w:tc>
          <w:tcPr>
            <w:tcW w:w="1276" w:type="dxa"/>
            <w:tcBorders>
              <w:top w:val="nil"/>
              <w:left w:val="nil"/>
              <w:bottom w:val="single" w:sz="4" w:space="0" w:color="auto"/>
              <w:right w:val="single" w:sz="4" w:space="0" w:color="auto"/>
            </w:tcBorders>
            <w:shd w:val="clear" w:color="000000" w:fill="FFFFFF"/>
            <w:vAlign w:val="center"/>
            <w:hideMark/>
          </w:tcPr>
          <w:p w14:paraId="4C60EE01" w14:textId="77777777" w:rsidR="00785E2F" w:rsidRPr="00EB3D94" w:rsidRDefault="00785E2F" w:rsidP="007F3043">
            <w:pPr>
              <w:jc w:val="center"/>
              <w:rPr>
                <w:rFonts w:cs="Arial"/>
                <w:sz w:val="20"/>
                <w:lang w:val="es-ES"/>
              </w:rPr>
            </w:pPr>
            <w:r w:rsidRPr="00EB3D94">
              <w:rPr>
                <w:rFonts w:eastAsia="Calibri" w:cs="Arial"/>
                <w:sz w:val="20"/>
                <w:lang w:val="es-ES" w:eastAsia="en-US"/>
              </w:rPr>
              <w:t>SI</w:t>
            </w:r>
          </w:p>
        </w:tc>
      </w:tr>
      <w:tr w:rsidR="00EB3D94" w:rsidRPr="00EB3D94" w14:paraId="60DF0CCF" w14:textId="77777777" w:rsidTr="007F3043">
        <w:trPr>
          <w:trHeight w:val="290"/>
        </w:trPr>
        <w:tc>
          <w:tcPr>
            <w:tcW w:w="8075" w:type="dxa"/>
            <w:tcBorders>
              <w:top w:val="nil"/>
              <w:left w:val="single" w:sz="4" w:space="0" w:color="auto"/>
              <w:bottom w:val="single" w:sz="4" w:space="0" w:color="auto"/>
              <w:right w:val="single" w:sz="4" w:space="0" w:color="auto"/>
            </w:tcBorders>
            <w:shd w:val="clear" w:color="000000" w:fill="E7E6E6"/>
            <w:vAlign w:val="center"/>
            <w:hideMark/>
          </w:tcPr>
          <w:p w14:paraId="779E4F0D" w14:textId="77777777" w:rsidR="00785E2F" w:rsidRPr="00EB3D94" w:rsidRDefault="00785E2F" w:rsidP="007F3043">
            <w:pPr>
              <w:rPr>
                <w:rFonts w:cs="Arial"/>
                <w:b/>
                <w:bCs/>
                <w:sz w:val="20"/>
                <w:lang w:val="es-ES"/>
              </w:rPr>
            </w:pPr>
            <w:r w:rsidRPr="00EB3D94">
              <w:rPr>
                <w:rFonts w:eastAsia="Arial" w:cs="Arial"/>
                <w:b/>
                <w:bCs/>
                <w:w w:val="99"/>
                <w:sz w:val="20"/>
                <w:lang w:val="es-ES"/>
              </w:rPr>
              <w:t>3)  Operativa transaccional</w:t>
            </w:r>
          </w:p>
        </w:tc>
        <w:tc>
          <w:tcPr>
            <w:tcW w:w="1276" w:type="dxa"/>
            <w:tcBorders>
              <w:top w:val="nil"/>
              <w:left w:val="nil"/>
              <w:bottom w:val="single" w:sz="4" w:space="0" w:color="auto"/>
              <w:right w:val="single" w:sz="4" w:space="0" w:color="auto"/>
            </w:tcBorders>
            <w:shd w:val="clear" w:color="000000" w:fill="E7E6E6"/>
            <w:vAlign w:val="center"/>
            <w:hideMark/>
          </w:tcPr>
          <w:p w14:paraId="0F4B8FF9" w14:textId="77777777" w:rsidR="00785E2F" w:rsidRPr="00EB3D94" w:rsidRDefault="00785E2F" w:rsidP="007F3043">
            <w:pPr>
              <w:jc w:val="center"/>
              <w:rPr>
                <w:rFonts w:cs="Arial"/>
                <w:sz w:val="20"/>
                <w:lang w:val="es-ES"/>
              </w:rPr>
            </w:pPr>
            <w:r w:rsidRPr="00EB3D94">
              <w:rPr>
                <w:rFonts w:cs="Arial"/>
                <w:sz w:val="20"/>
                <w:lang w:val="es-ES"/>
              </w:rPr>
              <w:t> </w:t>
            </w:r>
          </w:p>
        </w:tc>
      </w:tr>
      <w:tr w:rsidR="00EB3D94" w:rsidRPr="00EB3D94" w14:paraId="697B4179" w14:textId="77777777" w:rsidTr="007F3043">
        <w:trPr>
          <w:trHeight w:val="290"/>
        </w:trPr>
        <w:tc>
          <w:tcPr>
            <w:tcW w:w="8075" w:type="dxa"/>
            <w:tcBorders>
              <w:top w:val="nil"/>
              <w:left w:val="single" w:sz="4" w:space="0" w:color="auto"/>
              <w:bottom w:val="nil"/>
              <w:right w:val="single" w:sz="4" w:space="0" w:color="auto"/>
            </w:tcBorders>
            <w:shd w:val="clear" w:color="000000" w:fill="FFFFFF"/>
            <w:vAlign w:val="center"/>
            <w:hideMark/>
          </w:tcPr>
          <w:p w14:paraId="67FB5ABB" w14:textId="77777777" w:rsidR="00785E2F" w:rsidRPr="00EB3D94" w:rsidRDefault="00785E2F" w:rsidP="007F3043">
            <w:pPr>
              <w:ind w:firstLineChars="200" w:firstLine="400"/>
              <w:rPr>
                <w:rFonts w:cs="Arial"/>
                <w:sz w:val="20"/>
                <w:lang w:val="es-ES"/>
              </w:rPr>
            </w:pPr>
            <w:r w:rsidRPr="00EB3D94">
              <w:rPr>
                <w:rFonts w:cs="Arial"/>
                <w:sz w:val="20"/>
                <w:lang w:val="es-ES"/>
              </w:rPr>
              <w:t>[incluye las diferentes modalidades de pagos y cobros indicadas en los pliegos]</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0D4A99A" w14:textId="77777777" w:rsidR="00785E2F" w:rsidRPr="00EB3D94" w:rsidRDefault="00785E2F" w:rsidP="007F3043">
            <w:pPr>
              <w:jc w:val="center"/>
              <w:rPr>
                <w:rFonts w:cs="Arial"/>
                <w:sz w:val="20"/>
                <w:lang w:val="es-ES"/>
              </w:rPr>
            </w:pPr>
            <w:r w:rsidRPr="00EB3D94">
              <w:rPr>
                <w:rFonts w:eastAsia="Calibri" w:cs="Arial"/>
                <w:sz w:val="20"/>
                <w:lang w:val="es-ES" w:eastAsia="en-US"/>
              </w:rPr>
              <w:t>SI</w:t>
            </w:r>
          </w:p>
        </w:tc>
      </w:tr>
      <w:tr w:rsidR="00EB3D94" w:rsidRPr="00EB3D94" w14:paraId="6C1182AF" w14:textId="77777777" w:rsidTr="007F3043">
        <w:trPr>
          <w:trHeight w:val="290"/>
        </w:trPr>
        <w:tc>
          <w:tcPr>
            <w:tcW w:w="8075" w:type="dxa"/>
            <w:tcBorders>
              <w:top w:val="nil"/>
              <w:left w:val="single" w:sz="4" w:space="0" w:color="auto"/>
              <w:bottom w:val="nil"/>
              <w:right w:val="single" w:sz="4" w:space="0" w:color="auto"/>
            </w:tcBorders>
            <w:shd w:val="clear" w:color="000000" w:fill="FFFFFF"/>
            <w:vAlign w:val="center"/>
            <w:hideMark/>
          </w:tcPr>
          <w:p w14:paraId="388BB891" w14:textId="77777777" w:rsidR="00785E2F" w:rsidRPr="00EB3D94" w:rsidRDefault="00785E2F" w:rsidP="007F3043">
            <w:pPr>
              <w:ind w:firstLineChars="200" w:firstLine="400"/>
              <w:rPr>
                <w:rFonts w:cs="Arial"/>
                <w:sz w:val="20"/>
                <w:lang w:val="es-ES"/>
              </w:rPr>
            </w:pPr>
            <w:r w:rsidRPr="00EB3D94">
              <w:rPr>
                <w:rFonts w:cs="Arial"/>
                <w:sz w:val="20"/>
                <w:lang w:val="es-ES"/>
              </w:rPr>
              <w:t xml:space="preserve"> · Volumen estimado anual operativa LOTE 1: 40.000 millones de euros</w:t>
            </w:r>
          </w:p>
        </w:tc>
        <w:tc>
          <w:tcPr>
            <w:tcW w:w="1276" w:type="dxa"/>
            <w:vMerge/>
            <w:tcBorders>
              <w:top w:val="nil"/>
              <w:left w:val="single" w:sz="4" w:space="0" w:color="auto"/>
              <w:bottom w:val="single" w:sz="4" w:space="0" w:color="000000"/>
              <w:right w:val="single" w:sz="4" w:space="0" w:color="auto"/>
            </w:tcBorders>
            <w:vAlign w:val="center"/>
            <w:hideMark/>
          </w:tcPr>
          <w:p w14:paraId="633464F2" w14:textId="77777777" w:rsidR="00785E2F" w:rsidRPr="00EB3D94" w:rsidRDefault="00785E2F" w:rsidP="007F3043">
            <w:pPr>
              <w:rPr>
                <w:rFonts w:cs="Arial"/>
                <w:sz w:val="20"/>
                <w:lang w:val="es-ES"/>
              </w:rPr>
            </w:pPr>
          </w:p>
        </w:tc>
      </w:tr>
      <w:tr w:rsidR="00EB3D94" w:rsidRPr="00EB3D94" w14:paraId="4AD50A45" w14:textId="77777777" w:rsidTr="007F3043">
        <w:trPr>
          <w:trHeight w:val="290"/>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76CF6D8E" w14:textId="77777777" w:rsidR="00785E2F" w:rsidRPr="00EB3D94" w:rsidRDefault="00785E2F" w:rsidP="007F3043">
            <w:pPr>
              <w:ind w:firstLineChars="200" w:firstLine="400"/>
              <w:rPr>
                <w:rFonts w:cs="Arial"/>
                <w:sz w:val="20"/>
                <w:lang w:val="es-ES"/>
              </w:rPr>
            </w:pPr>
            <w:r w:rsidRPr="00EB3D94">
              <w:rPr>
                <w:rFonts w:cs="Arial"/>
                <w:sz w:val="20"/>
                <w:lang w:val="es-ES"/>
              </w:rPr>
              <w:t xml:space="preserve"> -  Coste máximo operativa sobre volumen LOTE 1: 0,062%</w:t>
            </w:r>
          </w:p>
        </w:tc>
        <w:tc>
          <w:tcPr>
            <w:tcW w:w="1276" w:type="dxa"/>
            <w:vMerge/>
            <w:tcBorders>
              <w:top w:val="nil"/>
              <w:left w:val="single" w:sz="4" w:space="0" w:color="auto"/>
              <w:bottom w:val="single" w:sz="4" w:space="0" w:color="000000"/>
              <w:right w:val="single" w:sz="4" w:space="0" w:color="auto"/>
            </w:tcBorders>
            <w:vAlign w:val="center"/>
            <w:hideMark/>
          </w:tcPr>
          <w:p w14:paraId="0EAAD5B4" w14:textId="77777777" w:rsidR="00785E2F" w:rsidRPr="00EB3D94" w:rsidRDefault="00785E2F" w:rsidP="007F3043">
            <w:pPr>
              <w:rPr>
                <w:rFonts w:cs="Arial"/>
                <w:sz w:val="20"/>
                <w:lang w:val="es-ES"/>
              </w:rPr>
            </w:pPr>
          </w:p>
        </w:tc>
      </w:tr>
      <w:tr w:rsidR="00EB3D94" w:rsidRPr="00EB3D94" w14:paraId="76D6E733" w14:textId="77777777" w:rsidTr="007F3043">
        <w:trPr>
          <w:trHeight w:val="290"/>
        </w:trPr>
        <w:tc>
          <w:tcPr>
            <w:tcW w:w="8075" w:type="dxa"/>
            <w:tcBorders>
              <w:top w:val="nil"/>
              <w:left w:val="single" w:sz="4" w:space="0" w:color="auto"/>
              <w:bottom w:val="single" w:sz="4" w:space="0" w:color="auto"/>
              <w:right w:val="single" w:sz="4" w:space="0" w:color="auto"/>
            </w:tcBorders>
            <w:shd w:val="clear" w:color="000000" w:fill="E7E6E6"/>
            <w:vAlign w:val="center"/>
            <w:hideMark/>
          </w:tcPr>
          <w:p w14:paraId="69F7D587" w14:textId="77777777" w:rsidR="00785E2F" w:rsidRPr="00EB3D94" w:rsidRDefault="00785E2F" w:rsidP="007F3043">
            <w:pPr>
              <w:rPr>
                <w:rFonts w:cs="Arial"/>
                <w:b/>
                <w:bCs/>
                <w:sz w:val="20"/>
                <w:lang w:val="es-ES"/>
              </w:rPr>
            </w:pPr>
            <w:r w:rsidRPr="00EB3D94">
              <w:rPr>
                <w:rFonts w:eastAsia="Calibri" w:cs="Arial"/>
                <w:b/>
                <w:bCs/>
                <w:sz w:val="20"/>
                <w:lang w:val="es-ES" w:eastAsia="en-US"/>
              </w:rPr>
              <w:t>4) Control e información</w:t>
            </w:r>
          </w:p>
        </w:tc>
        <w:tc>
          <w:tcPr>
            <w:tcW w:w="1276" w:type="dxa"/>
            <w:tcBorders>
              <w:top w:val="nil"/>
              <w:left w:val="nil"/>
              <w:bottom w:val="single" w:sz="4" w:space="0" w:color="auto"/>
              <w:right w:val="single" w:sz="4" w:space="0" w:color="auto"/>
            </w:tcBorders>
            <w:shd w:val="clear" w:color="000000" w:fill="E7E6E6"/>
            <w:vAlign w:val="center"/>
            <w:hideMark/>
          </w:tcPr>
          <w:p w14:paraId="63C77B6D" w14:textId="77777777" w:rsidR="00785E2F" w:rsidRPr="00EB3D94" w:rsidRDefault="00785E2F" w:rsidP="007F3043">
            <w:pPr>
              <w:jc w:val="center"/>
              <w:rPr>
                <w:rFonts w:cs="Arial"/>
                <w:sz w:val="20"/>
                <w:lang w:val="es-ES"/>
              </w:rPr>
            </w:pPr>
            <w:r w:rsidRPr="00EB3D94">
              <w:rPr>
                <w:rFonts w:eastAsia="Calibri" w:cs="Arial"/>
                <w:sz w:val="20"/>
                <w:lang w:val="es-ES" w:eastAsia="en-US"/>
              </w:rPr>
              <w:t> </w:t>
            </w:r>
          </w:p>
        </w:tc>
      </w:tr>
      <w:tr w:rsidR="00EB3D94" w:rsidRPr="00EB3D94" w14:paraId="1E5A9B62" w14:textId="77777777" w:rsidTr="007F3043">
        <w:trPr>
          <w:trHeight w:val="290"/>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2D70913B" w14:textId="77777777" w:rsidR="00785E2F" w:rsidRPr="00EB3D94" w:rsidRDefault="00785E2F" w:rsidP="007F3043">
            <w:pPr>
              <w:ind w:firstLineChars="200" w:firstLine="400"/>
              <w:rPr>
                <w:rFonts w:cs="Arial"/>
                <w:sz w:val="20"/>
                <w:lang w:val="es-ES"/>
              </w:rPr>
            </w:pPr>
            <w:r w:rsidRPr="00EB3D94">
              <w:rPr>
                <w:rFonts w:eastAsia="Calibri" w:cs="Arial"/>
                <w:sz w:val="20"/>
                <w:lang w:val="es-ES" w:eastAsia="en-US"/>
              </w:rPr>
              <w:t>a) Avisos y resolución de incidencias</w:t>
            </w:r>
          </w:p>
        </w:tc>
        <w:tc>
          <w:tcPr>
            <w:tcW w:w="1276" w:type="dxa"/>
            <w:tcBorders>
              <w:top w:val="nil"/>
              <w:left w:val="nil"/>
              <w:bottom w:val="single" w:sz="4" w:space="0" w:color="auto"/>
              <w:right w:val="single" w:sz="4" w:space="0" w:color="auto"/>
            </w:tcBorders>
            <w:shd w:val="clear" w:color="000000" w:fill="FFFFFF"/>
            <w:vAlign w:val="center"/>
            <w:hideMark/>
          </w:tcPr>
          <w:p w14:paraId="52804818" w14:textId="77777777" w:rsidR="00785E2F" w:rsidRPr="00EB3D94" w:rsidRDefault="00785E2F" w:rsidP="007F3043">
            <w:pPr>
              <w:jc w:val="center"/>
              <w:rPr>
                <w:rFonts w:cs="Arial"/>
                <w:sz w:val="20"/>
                <w:lang w:val="es-ES"/>
              </w:rPr>
            </w:pPr>
            <w:r w:rsidRPr="00EB3D94">
              <w:rPr>
                <w:rFonts w:eastAsia="Calibri" w:cs="Arial"/>
                <w:sz w:val="20"/>
                <w:lang w:val="es-ES" w:eastAsia="en-US"/>
              </w:rPr>
              <w:t>SI</w:t>
            </w:r>
          </w:p>
        </w:tc>
      </w:tr>
      <w:tr w:rsidR="00EB3D94" w:rsidRPr="00EB3D94" w14:paraId="72D66A9F" w14:textId="77777777" w:rsidTr="007F3043">
        <w:trPr>
          <w:trHeight w:val="290"/>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1507D034" w14:textId="77777777" w:rsidR="00785E2F" w:rsidRPr="00EB3D94" w:rsidRDefault="00785E2F" w:rsidP="007F3043">
            <w:pPr>
              <w:ind w:firstLineChars="200" w:firstLine="400"/>
              <w:rPr>
                <w:rFonts w:cs="Arial"/>
                <w:sz w:val="20"/>
                <w:lang w:val="es-ES"/>
              </w:rPr>
            </w:pPr>
            <w:r w:rsidRPr="00EB3D94">
              <w:rPr>
                <w:rFonts w:eastAsia="Calibri" w:cs="Arial"/>
                <w:sz w:val="20"/>
                <w:lang w:val="es-ES" w:eastAsia="en-US"/>
              </w:rPr>
              <w:t>b) Extractos de cuentas</w:t>
            </w:r>
          </w:p>
        </w:tc>
        <w:tc>
          <w:tcPr>
            <w:tcW w:w="1276" w:type="dxa"/>
            <w:tcBorders>
              <w:top w:val="nil"/>
              <w:left w:val="nil"/>
              <w:bottom w:val="single" w:sz="4" w:space="0" w:color="auto"/>
              <w:right w:val="single" w:sz="4" w:space="0" w:color="auto"/>
            </w:tcBorders>
            <w:shd w:val="clear" w:color="000000" w:fill="FFFFFF"/>
            <w:vAlign w:val="center"/>
            <w:hideMark/>
          </w:tcPr>
          <w:p w14:paraId="67CB06F2" w14:textId="77777777" w:rsidR="00785E2F" w:rsidRPr="00EB3D94" w:rsidRDefault="00785E2F" w:rsidP="007F3043">
            <w:pPr>
              <w:jc w:val="center"/>
              <w:rPr>
                <w:rFonts w:cs="Arial"/>
                <w:sz w:val="20"/>
                <w:lang w:val="es-ES"/>
              </w:rPr>
            </w:pPr>
            <w:r w:rsidRPr="00EB3D94">
              <w:rPr>
                <w:rFonts w:eastAsia="Calibri" w:cs="Arial"/>
                <w:sz w:val="20"/>
                <w:lang w:val="es-ES" w:eastAsia="en-US"/>
              </w:rPr>
              <w:t>SI</w:t>
            </w:r>
          </w:p>
        </w:tc>
      </w:tr>
      <w:tr w:rsidR="00EB3D94" w:rsidRPr="00EB3D94" w14:paraId="4A7551A7" w14:textId="77777777" w:rsidTr="007F3043">
        <w:trPr>
          <w:trHeight w:val="290"/>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26C54781" w14:textId="77777777" w:rsidR="00785E2F" w:rsidRPr="00EB3D94" w:rsidRDefault="00785E2F" w:rsidP="007F3043">
            <w:pPr>
              <w:ind w:firstLineChars="200" w:firstLine="400"/>
              <w:rPr>
                <w:rFonts w:cs="Arial"/>
                <w:sz w:val="20"/>
                <w:lang w:val="es-ES"/>
              </w:rPr>
            </w:pPr>
            <w:r w:rsidRPr="00EB3D94">
              <w:rPr>
                <w:rFonts w:eastAsia="Calibri" w:cs="Arial"/>
                <w:sz w:val="20"/>
                <w:lang w:val="es-ES" w:eastAsia="en-US"/>
              </w:rPr>
              <w:t>c) Acceso cuentas Tesorería Corporativa / Entidades Públicas</w:t>
            </w:r>
          </w:p>
        </w:tc>
        <w:tc>
          <w:tcPr>
            <w:tcW w:w="1276" w:type="dxa"/>
            <w:tcBorders>
              <w:top w:val="nil"/>
              <w:left w:val="nil"/>
              <w:bottom w:val="single" w:sz="4" w:space="0" w:color="auto"/>
              <w:right w:val="single" w:sz="4" w:space="0" w:color="auto"/>
            </w:tcBorders>
            <w:shd w:val="clear" w:color="000000" w:fill="FFFFFF"/>
            <w:vAlign w:val="center"/>
            <w:hideMark/>
          </w:tcPr>
          <w:p w14:paraId="7954EF82" w14:textId="77777777" w:rsidR="00785E2F" w:rsidRPr="00EB3D94" w:rsidRDefault="00785E2F" w:rsidP="007F3043">
            <w:pPr>
              <w:jc w:val="center"/>
              <w:rPr>
                <w:rFonts w:cs="Arial"/>
                <w:sz w:val="20"/>
                <w:lang w:val="es-ES"/>
              </w:rPr>
            </w:pPr>
            <w:r w:rsidRPr="00EB3D94">
              <w:rPr>
                <w:rFonts w:eastAsia="Calibri" w:cs="Arial"/>
                <w:sz w:val="20"/>
                <w:lang w:val="es-ES" w:eastAsia="en-US"/>
              </w:rPr>
              <w:t>SI</w:t>
            </w:r>
          </w:p>
        </w:tc>
      </w:tr>
      <w:tr w:rsidR="00EB3D94" w:rsidRPr="00EB3D94" w14:paraId="26C60040" w14:textId="77777777" w:rsidTr="007F3043">
        <w:trPr>
          <w:trHeight w:val="290"/>
        </w:trPr>
        <w:tc>
          <w:tcPr>
            <w:tcW w:w="8075" w:type="dxa"/>
            <w:tcBorders>
              <w:top w:val="nil"/>
              <w:left w:val="single" w:sz="4" w:space="0" w:color="auto"/>
              <w:bottom w:val="single" w:sz="4" w:space="0" w:color="auto"/>
              <w:right w:val="single" w:sz="4" w:space="0" w:color="auto"/>
            </w:tcBorders>
            <w:shd w:val="clear" w:color="000000" w:fill="E7E6E6"/>
            <w:vAlign w:val="center"/>
            <w:hideMark/>
          </w:tcPr>
          <w:p w14:paraId="11CA3E3A" w14:textId="77777777" w:rsidR="00785E2F" w:rsidRPr="00EB3D94" w:rsidRDefault="00785E2F" w:rsidP="007F3043">
            <w:pPr>
              <w:rPr>
                <w:rFonts w:cs="Arial"/>
                <w:b/>
                <w:bCs/>
                <w:sz w:val="20"/>
                <w:lang w:val="es-ES"/>
              </w:rPr>
            </w:pPr>
            <w:r w:rsidRPr="00EB3D94">
              <w:rPr>
                <w:rFonts w:eastAsia="Calibri" w:cs="Arial"/>
                <w:b/>
                <w:bCs/>
                <w:sz w:val="20"/>
                <w:lang w:val="es-ES" w:eastAsia="en-US"/>
              </w:rPr>
              <w:t xml:space="preserve">5) Requerimientos técnicos recepción y envío de archivos </w:t>
            </w:r>
          </w:p>
        </w:tc>
        <w:tc>
          <w:tcPr>
            <w:tcW w:w="1276" w:type="dxa"/>
            <w:tcBorders>
              <w:top w:val="nil"/>
              <w:left w:val="nil"/>
              <w:bottom w:val="single" w:sz="4" w:space="0" w:color="auto"/>
              <w:right w:val="single" w:sz="4" w:space="0" w:color="auto"/>
            </w:tcBorders>
            <w:shd w:val="clear" w:color="000000" w:fill="E7E6E6"/>
            <w:vAlign w:val="center"/>
            <w:hideMark/>
          </w:tcPr>
          <w:p w14:paraId="16C1E049" w14:textId="77777777" w:rsidR="00785E2F" w:rsidRPr="00EB3D94" w:rsidRDefault="00785E2F" w:rsidP="007F3043">
            <w:pPr>
              <w:jc w:val="center"/>
              <w:rPr>
                <w:rFonts w:cs="Arial"/>
                <w:sz w:val="20"/>
                <w:lang w:val="es-ES"/>
              </w:rPr>
            </w:pPr>
            <w:r w:rsidRPr="00EB3D94">
              <w:rPr>
                <w:rFonts w:cs="Arial"/>
                <w:sz w:val="20"/>
                <w:lang w:val="es-ES"/>
              </w:rPr>
              <w:t> </w:t>
            </w:r>
          </w:p>
        </w:tc>
      </w:tr>
      <w:tr w:rsidR="00EB3D94" w:rsidRPr="00EB3D94" w14:paraId="656FDD71" w14:textId="77777777" w:rsidTr="00F4281C">
        <w:trPr>
          <w:trHeight w:val="1181"/>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150465C7" w14:textId="77777777" w:rsidR="00785E2F" w:rsidRPr="00EB3D94" w:rsidRDefault="00785E2F" w:rsidP="007F3043">
            <w:pPr>
              <w:rPr>
                <w:rFonts w:cs="Arial"/>
                <w:sz w:val="20"/>
                <w:lang w:val="es-ES"/>
              </w:rPr>
            </w:pPr>
            <w:r w:rsidRPr="00EB3D94">
              <w:rPr>
                <w:rFonts w:cs="Arial"/>
                <w:sz w:val="20"/>
                <w:lang w:val="es-ES"/>
              </w:rPr>
              <w:t>[a través plataformas actuales (EDITRAN, SWIFT, Banca electrónica) u otros, sobre; cargos por domiciliación, pagos, efectos pendientes de descuento, créditos pendientes de gestión de cobro, carga límites operativos, u otros formatos estándar de la AEB o de mercado]</w:t>
            </w:r>
          </w:p>
        </w:tc>
        <w:tc>
          <w:tcPr>
            <w:tcW w:w="1276" w:type="dxa"/>
            <w:tcBorders>
              <w:top w:val="nil"/>
              <w:left w:val="nil"/>
              <w:bottom w:val="nil"/>
              <w:right w:val="single" w:sz="4" w:space="0" w:color="auto"/>
            </w:tcBorders>
            <w:shd w:val="clear" w:color="000000" w:fill="FFFFFF"/>
            <w:vAlign w:val="center"/>
            <w:hideMark/>
          </w:tcPr>
          <w:p w14:paraId="64C1448E" w14:textId="77777777" w:rsidR="00785E2F" w:rsidRPr="00EB3D94" w:rsidRDefault="00785E2F" w:rsidP="007F3043">
            <w:pPr>
              <w:jc w:val="center"/>
              <w:rPr>
                <w:rFonts w:cs="Arial"/>
                <w:sz w:val="20"/>
                <w:lang w:val="es-ES"/>
              </w:rPr>
            </w:pPr>
            <w:r w:rsidRPr="00EB3D94">
              <w:rPr>
                <w:rFonts w:cs="Arial"/>
                <w:sz w:val="20"/>
                <w:lang w:val="es-ES"/>
              </w:rPr>
              <w:t>SI</w:t>
            </w:r>
          </w:p>
        </w:tc>
      </w:tr>
      <w:tr w:rsidR="00EB3D94" w:rsidRPr="00EB3D94" w14:paraId="15D6146E" w14:textId="77777777" w:rsidTr="007F3043">
        <w:trPr>
          <w:trHeight w:val="290"/>
        </w:trPr>
        <w:tc>
          <w:tcPr>
            <w:tcW w:w="8075" w:type="dxa"/>
            <w:tcBorders>
              <w:top w:val="nil"/>
              <w:left w:val="single" w:sz="4" w:space="0" w:color="auto"/>
              <w:bottom w:val="single" w:sz="4" w:space="0" w:color="auto"/>
              <w:right w:val="single" w:sz="4" w:space="0" w:color="auto"/>
            </w:tcBorders>
            <w:shd w:val="clear" w:color="000000" w:fill="E7E6E6"/>
            <w:vAlign w:val="center"/>
            <w:hideMark/>
          </w:tcPr>
          <w:p w14:paraId="0F8F1A6F" w14:textId="77777777" w:rsidR="00785E2F" w:rsidRPr="00EB3D94" w:rsidRDefault="00785E2F" w:rsidP="007F3043">
            <w:pPr>
              <w:rPr>
                <w:rFonts w:cs="Arial"/>
                <w:b/>
                <w:bCs/>
                <w:sz w:val="20"/>
                <w:lang w:val="es-ES"/>
              </w:rPr>
            </w:pPr>
            <w:r w:rsidRPr="00EB3D94">
              <w:rPr>
                <w:rFonts w:eastAsia="Calibri" w:cs="Arial"/>
                <w:b/>
                <w:bCs/>
                <w:sz w:val="20"/>
                <w:lang w:val="es-ES" w:eastAsia="en-US"/>
              </w:rPr>
              <w:t>6) Otros requerimientos</w:t>
            </w:r>
          </w:p>
        </w:tc>
        <w:tc>
          <w:tcPr>
            <w:tcW w:w="1276" w:type="dxa"/>
            <w:tcBorders>
              <w:top w:val="single" w:sz="4" w:space="0" w:color="auto"/>
              <w:left w:val="nil"/>
              <w:bottom w:val="single" w:sz="4" w:space="0" w:color="auto"/>
              <w:right w:val="single" w:sz="4" w:space="0" w:color="auto"/>
            </w:tcBorders>
            <w:shd w:val="clear" w:color="000000" w:fill="E7E6E6"/>
            <w:vAlign w:val="center"/>
            <w:hideMark/>
          </w:tcPr>
          <w:p w14:paraId="7FF5DAC1" w14:textId="77777777" w:rsidR="00785E2F" w:rsidRPr="00EB3D94" w:rsidRDefault="00785E2F" w:rsidP="007F3043">
            <w:pPr>
              <w:jc w:val="center"/>
              <w:rPr>
                <w:rFonts w:cs="Arial"/>
                <w:sz w:val="20"/>
                <w:lang w:val="es-ES"/>
              </w:rPr>
            </w:pPr>
            <w:r w:rsidRPr="00EB3D94">
              <w:rPr>
                <w:rFonts w:eastAsia="Calibri" w:cs="Arial"/>
                <w:sz w:val="20"/>
                <w:lang w:val="es-ES" w:eastAsia="en-US"/>
              </w:rPr>
              <w:t> </w:t>
            </w:r>
          </w:p>
        </w:tc>
      </w:tr>
      <w:tr w:rsidR="00EB3D94" w:rsidRPr="00EB3D94" w14:paraId="0EBB2A50" w14:textId="77777777" w:rsidTr="007F3043">
        <w:trPr>
          <w:trHeight w:val="290"/>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50DA6C3E" w14:textId="77777777" w:rsidR="00785E2F" w:rsidRPr="00EB3D94" w:rsidRDefault="00785E2F" w:rsidP="007F3043">
            <w:pPr>
              <w:ind w:firstLineChars="200" w:firstLine="400"/>
              <w:rPr>
                <w:rFonts w:cs="Arial"/>
                <w:sz w:val="20"/>
                <w:lang w:val="es-ES"/>
              </w:rPr>
            </w:pPr>
            <w:r w:rsidRPr="00EB3D94">
              <w:rPr>
                <w:rFonts w:eastAsia="Calibri" w:cs="Arial"/>
                <w:sz w:val="20"/>
                <w:lang w:val="es-ES" w:eastAsia="en-US"/>
              </w:rPr>
              <w:t>a) Interlocutores (especificar los interlocutores)</w:t>
            </w:r>
          </w:p>
        </w:tc>
        <w:tc>
          <w:tcPr>
            <w:tcW w:w="1276" w:type="dxa"/>
            <w:tcBorders>
              <w:top w:val="nil"/>
              <w:left w:val="nil"/>
              <w:bottom w:val="single" w:sz="4" w:space="0" w:color="auto"/>
              <w:right w:val="single" w:sz="4" w:space="0" w:color="auto"/>
            </w:tcBorders>
            <w:shd w:val="clear" w:color="000000" w:fill="FFFFFF"/>
            <w:vAlign w:val="center"/>
            <w:hideMark/>
          </w:tcPr>
          <w:p w14:paraId="66776DC6" w14:textId="77777777" w:rsidR="00785E2F" w:rsidRPr="00EB3D94" w:rsidRDefault="00785E2F" w:rsidP="007F3043">
            <w:pPr>
              <w:jc w:val="center"/>
              <w:rPr>
                <w:rFonts w:cs="Arial"/>
                <w:sz w:val="20"/>
                <w:lang w:val="es-ES"/>
              </w:rPr>
            </w:pPr>
            <w:r w:rsidRPr="00EB3D94">
              <w:rPr>
                <w:rFonts w:eastAsia="Calibri" w:cs="Arial"/>
                <w:sz w:val="20"/>
                <w:lang w:val="es-ES" w:eastAsia="en-US"/>
              </w:rPr>
              <w:t>SI</w:t>
            </w:r>
          </w:p>
        </w:tc>
      </w:tr>
      <w:tr w:rsidR="00EB3D94" w:rsidRPr="00EB3D94" w14:paraId="6425FCAC" w14:textId="77777777" w:rsidTr="007F3043">
        <w:trPr>
          <w:trHeight w:val="290"/>
        </w:trPr>
        <w:tc>
          <w:tcPr>
            <w:tcW w:w="8075" w:type="dxa"/>
            <w:tcBorders>
              <w:top w:val="nil"/>
              <w:left w:val="single" w:sz="4" w:space="0" w:color="auto"/>
              <w:bottom w:val="single" w:sz="4" w:space="0" w:color="auto"/>
              <w:right w:val="single" w:sz="4" w:space="0" w:color="auto"/>
            </w:tcBorders>
            <w:shd w:val="clear" w:color="000000" w:fill="FFFFFF"/>
            <w:vAlign w:val="center"/>
          </w:tcPr>
          <w:p w14:paraId="3D52E953" w14:textId="77777777" w:rsidR="00785E2F" w:rsidRPr="00EB3D94" w:rsidRDefault="00785E2F" w:rsidP="007F3043">
            <w:pPr>
              <w:ind w:firstLineChars="200" w:firstLine="400"/>
              <w:rPr>
                <w:rFonts w:eastAsia="Calibri" w:cs="Arial"/>
                <w:sz w:val="20"/>
                <w:lang w:val="es-ES" w:eastAsia="en-US"/>
              </w:rPr>
            </w:pPr>
            <w:r w:rsidRPr="00EB3D94">
              <w:rPr>
                <w:rFonts w:eastAsia="Calibri" w:cs="Arial"/>
                <w:sz w:val="20"/>
                <w:lang w:val="es-ES" w:eastAsia="en-US"/>
              </w:rPr>
              <w:t>b) Horario cobertura servicio (8h-17h)</w:t>
            </w:r>
          </w:p>
        </w:tc>
        <w:tc>
          <w:tcPr>
            <w:tcW w:w="1276" w:type="dxa"/>
            <w:tcBorders>
              <w:top w:val="nil"/>
              <w:left w:val="nil"/>
              <w:bottom w:val="single" w:sz="4" w:space="0" w:color="auto"/>
              <w:right w:val="single" w:sz="4" w:space="0" w:color="auto"/>
            </w:tcBorders>
            <w:shd w:val="clear" w:color="000000" w:fill="FFFFFF"/>
            <w:vAlign w:val="center"/>
          </w:tcPr>
          <w:p w14:paraId="30CDD9B7" w14:textId="77777777" w:rsidR="00785E2F" w:rsidRPr="00EB3D94" w:rsidRDefault="00785E2F" w:rsidP="007F3043">
            <w:pPr>
              <w:jc w:val="center"/>
              <w:rPr>
                <w:rFonts w:eastAsia="Calibri" w:cs="Arial"/>
                <w:sz w:val="20"/>
                <w:lang w:val="es-ES" w:eastAsia="en-US"/>
              </w:rPr>
            </w:pPr>
            <w:r w:rsidRPr="00EB3D94">
              <w:rPr>
                <w:rFonts w:eastAsia="Calibri" w:cs="Arial"/>
                <w:sz w:val="20"/>
                <w:lang w:val="es-ES" w:eastAsia="en-US"/>
              </w:rPr>
              <w:t>SI</w:t>
            </w:r>
          </w:p>
        </w:tc>
      </w:tr>
      <w:tr w:rsidR="00EB3D94" w:rsidRPr="00EB3D94" w14:paraId="27EDB146" w14:textId="77777777" w:rsidTr="007F3043">
        <w:trPr>
          <w:trHeight w:val="290"/>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205B3F5C" w14:textId="77777777" w:rsidR="00785E2F" w:rsidRPr="00EB3D94" w:rsidRDefault="00785E2F" w:rsidP="007F3043">
            <w:pPr>
              <w:ind w:firstLineChars="200" w:firstLine="400"/>
              <w:rPr>
                <w:rFonts w:cs="Arial"/>
                <w:sz w:val="20"/>
                <w:lang w:val="es-ES"/>
              </w:rPr>
            </w:pPr>
            <w:r w:rsidRPr="00EB3D94">
              <w:rPr>
                <w:rFonts w:eastAsia="Calibri" w:cs="Arial"/>
                <w:sz w:val="20"/>
                <w:lang w:val="es-ES" w:eastAsia="en-US"/>
              </w:rPr>
              <w:t>c) Mínimo operación de endeudamiento de Tesorería Corporativa (400 millones €)</w:t>
            </w:r>
          </w:p>
        </w:tc>
        <w:tc>
          <w:tcPr>
            <w:tcW w:w="1276" w:type="dxa"/>
            <w:tcBorders>
              <w:top w:val="nil"/>
              <w:left w:val="nil"/>
              <w:bottom w:val="single" w:sz="4" w:space="0" w:color="auto"/>
              <w:right w:val="single" w:sz="4" w:space="0" w:color="auto"/>
            </w:tcBorders>
            <w:shd w:val="clear" w:color="000000" w:fill="FFFFFF"/>
            <w:vAlign w:val="center"/>
            <w:hideMark/>
          </w:tcPr>
          <w:p w14:paraId="679A5CF9" w14:textId="77777777" w:rsidR="00785E2F" w:rsidRPr="00EB3D94" w:rsidRDefault="00785E2F" w:rsidP="007F3043">
            <w:pPr>
              <w:jc w:val="center"/>
              <w:rPr>
                <w:rFonts w:cs="Arial"/>
                <w:sz w:val="20"/>
                <w:lang w:val="es-ES"/>
              </w:rPr>
            </w:pPr>
            <w:r w:rsidRPr="00EB3D94">
              <w:rPr>
                <w:rFonts w:eastAsia="Calibri" w:cs="Arial"/>
                <w:sz w:val="20"/>
                <w:lang w:val="es-ES" w:eastAsia="en-US"/>
              </w:rPr>
              <w:t>SI</w:t>
            </w:r>
          </w:p>
        </w:tc>
      </w:tr>
      <w:tr w:rsidR="00EB3D94" w:rsidRPr="00EB3D94" w14:paraId="4F315414" w14:textId="77777777" w:rsidTr="007F3043">
        <w:trPr>
          <w:trHeight w:val="290"/>
        </w:trPr>
        <w:tc>
          <w:tcPr>
            <w:tcW w:w="8075" w:type="dxa"/>
            <w:tcBorders>
              <w:top w:val="nil"/>
              <w:left w:val="single" w:sz="4" w:space="0" w:color="auto"/>
              <w:bottom w:val="nil"/>
              <w:right w:val="single" w:sz="4" w:space="0" w:color="auto"/>
            </w:tcBorders>
            <w:shd w:val="clear" w:color="000000" w:fill="FFFFFF"/>
            <w:vAlign w:val="center"/>
            <w:hideMark/>
          </w:tcPr>
          <w:p w14:paraId="64B684B9" w14:textId="77777777" w:rsidR="00785E2F" w:rsidRPr="00EB3D94" w:rsidRDefault="00785E2F" w:rsidP="007F3043">
            <w:pPr>
              <w:ind w:firstLineChars="200" w:firstLine="400"/>
              <w:rPr>
                <w:rFonts w:cs="Arial"/>
                <w:sz w:val="20"/>
                <w:lang w:val="es-ES"/>
              </w:rPr>
            </w:pPr>
            <w:r w:rsidRPr="00EB3D94">
              <w:rPr>
                <w:rFonts w:eastAsia="Calibri" w:cs="Arial"/>
                <w:sz w:val="20"/>
                <w:lang w:val="es-ES" w:eastAsia="en-US"/>
              </w:rPr>
              <w:t>d) Coste máximo aplicable a las operaciones de endeudamiento a corto plazo de la Tesorería Corporativa:</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90E932F" w14:textId="77777777" w:rsidR="00785E2F" w:rsidRPr="00EB3D94" w:rsidRDefault="00785E2F" w:rsidP="007F3043">
            <w:pPr>
              <w:jc w:val="center"/>
              <w:rPr>
                <w:rFonts w:cs="Arial"/>
                <w:sz w:val="20"/>
                <w:lang w:val="es-ES"/>
              </w:rPr>
            </w:pPr>
            <w:r w:rsidRPr="00EB3D94">
              <w:rPr>
                <w:rFonts w:eastAsia="Calibri" w:cs="Arial"/>
                <w:sz w:val="20"/>
                <w:lang w:val="es-ES" w:eastAsia="en-US"/>
              </w:rPr>
              <w:t>SI</w:t>
            </w:r>
          </w:p>
        </w:tc>
      </w:tr>
      <w:tr w:rsidR="00EB3D94" w:rsidRPr="00EB3D94" w14:paraId="51DA21F5" w14:textId="77777777" w:rsidTr="007F3043">
        <w:trPr>
          <w:trHeight w:val="2060"/>
        </w:trPr>
        <w:tc>
          <w:tcPr>
            <w:tcW w:w="8075" w:type="dxa"/>
            <w:tcBorders>
              <w:top w:val="nil"/>
              <w:left w:val="single" w:sz="4" w:space="0" w:color="auto"/>
              <w:bottom w:val="single" w:sz="4" w:space="0" w:color="auto"/>
              <w:right w:val="single" w:sz="4" w:space="0" w:color="auto"/>
            </w:tcBorders>
            <w:shd w:val="clear" w:color="000000" w:fill="FFFFFF"/>
            <w:vAlign w:val="center"/>
            <w:hideMark/>
          </w:tcPr>
          <w:p w14:paraId="32737396" w14:textId="77777777" w:rsidR="00785E2F" w:rsidRPr="00EB3D94" w:rsidRDefault="00785E2F" w:rsidP="007F3043">
            <w:pPr>
              <w:jc w:val="both"/>
              <w:rPr>
                <w:rFonts w:cs="Arial"/>
                <w:sz w:val="20"/>
                <w:lang w:val="es-ES"/>
              </w:rPr>
            </w:pPr>
            <w:r w:rsidRPr="00EB3D94">
              <w:rPr>
                <w:rFonts w:cs="Arial"/>
                <w:sz w:val="20"/>
                <w:lang w:val="es-ES"/>
              </w:rPr>
              <w:t>El coste máximo de las operaciones de endeudamiento se tendrá que fijar conforme al principio de prudencia financiera al cual hace referencia la Resolución de 4 de julio de 2017 de la Secretaría General del Tesoro y Política Financiera del Ministerio de Asuntos Económicos y Transformación Digital (ahora Ministerio de Economía, Comercio y Empresa). No se podrá cobrar ningún gasto adicional o comisión que las previstas en la resolución mencionada. El coste máximo se calculará en el momento de la apertura del proceso de licitación según lo previsto en el anexo 1 de la mencionada Resolución. En caso de prórroga del contrato, el coste máximo se calculará en la fecha de firma del acuerdo de prórroga del contrato de conformidad con lo previsto en el anexo 1 de la mencionada Resolución ya que es la fecha en que se hace efectivo el acuerdo expreso entre las partes.</w:t>
            </w:r>
          </w:p>
          <w:p w14:paraId="1225FFB0" w14:textId="77777777" w:rsidR="00785E2F" w:rsidRPr="00EB3D94" w:rsidRDefault="00785E2F" w:rsidP="007F3043">
            <w:pPr>
              <w:rPr>
                <w:rFonts w:cs="Arial"/>
                <w:sz w:val="20"/>
                <w:lang w:val="es-ES"/>
              </w:rPr>
            </w:pPr>
          </w:p>
        </w:tc>
        <w:tc>
          <w:tcPr>
            <w:tcW w:w="1276" w:type="dxa"/>
            <w:vMerge/>
            <w:tcBorders>
              <w:top w:val="nil"/>
              <w:left w:val="single" w:sz="4" w:space="0" w:color="auto"/>
              <w:bottom w:val="single" w:sz="4" w:space="0" w:color="auto"/>
              <w:right w:val="single" w:sz="4" w:space="0" w:color="auto"/>
            </w:tcBorders>
            <w:vAlign w:val="center"/>
            <w:hideMark/>
          </w:tcPr>
          <w:p w14:paraId="56CEAD45" w14:textId="77777777" w:rsidR="00785E2F" w:rsidRPr="00EB3D94" w:rsidRDefault="00785E2F" w:rsidP="007F3043">
            <w:pPr>
              <w:rPr>
                <w:rFonts w:cs="Arial"/>
                <w:sz w:val="20"/>
                <w:lang w:val="es-ES"/>
              </w:rPr>
            </w:pPr>
          </w:p>
        </w:tc>
      </w:tr>
    </w:tbl>
    <w:p w14:paraId="38559171" w14:textId="77777777" w:rsidR="00785E2F" w:rsidRPr="00EB3D94" w:rsidRDefault="00785E2F" w:rsidP="00785E2F">
      <w:pPr>
        <w:pStyle w:val="Pargrafdellista"/>
        <w:autoSpaceDE w:val="0"/>
        <w:autoSpaceDN w:val="0"/>
        <w:adjustRightInd w:val="0"/>
        <w:ind w:left="360"/>
        <w:jc w:val="both"/>
        <w:rPr>
          <w:rFonts w:cs="Arial"/>
          <w:sz w:val="20"/>
          <w:u w:val="thick"/>
          <w:lang w:val="es-ES"/>
        </w:rPr>
      </w:pPr>
    </w:p>
    <w:p w14:paraId="45B962EF" w14:textId="77777777" w:rsidR="00785E2F" w:rsidRPr="00EB3D94" w:rsidRDefault="00785E2F" w:rsidP="00785E2F">
      <w:pPr>
        <w:pStyle w:val="Pargrafdellista"/>
        <w:numPr>
          <w:ilvl w:val="0"/>
          <w:numId w:val="42"/>
        </w:numPr>
        <w:autoSpaceDE w:val="0"/>
        <w:autoSpaceDN w:val="0"/>
        <w:adjustRightInd w:val="0"/>
        <w:spacing w:after="220"/>
        <w:jc w:val="both"/>
        <w:rPr>
          <w:rFonts w:cs="Arial"/>
          <w:sz w:val="20"/>
          <w:u w:val="thick"/>
          <w:lang w:val="es-ES"/>
        </w:rPr>
      </w:pPr>
      <w:r w:rsidRPr="00EB3D94">
        <w:rPr>
          <w:rFonts w:cs="Arial"/>
          <w:sz w:val="20"/>
          <w:u w:val="thick"/>
          <w:lang w:val="es-ES"/>
        </w:rPr>
        <w:t>Declaración de compromiso de dar cobertura a los requerimientos mínimos imprescindibles máximo a los tres meses del inicio de ejecución del contrato – LOTE 1</w:t>
      </w:r>
    </w:p>
    <w:tbl>
      <w:tblPr>
        <w:tblW w:w="9426" w:type="dxa"/>
        <w:tblLayout w:type="fixed"/>
        <w:tblCellMar>
          <w:left w:w="70" w:type="dxa"/>
          <w:right w:w="70" w:type="dxa"/>
        </w:tblCellMar>
        <w:tblLook w:val="04A0" w:firstRow="1" w:lastRow="0" w:firstColumn="1" w:lastColumn="0" w:noHBand="0" w:noVBand="1"/>
      </w:tblPr>
      <w:tblGrid>
        <w:gridCol w:w="7792"/>
        <w:gridCol w:w="1634"/>
      </w:tblGrid>
      <w:tr w:rsidR="00EB3D94" w:rsidRPr="00EB3D94" w14:paraId="2F6765C1" w14:textId="77777777" w:rsidTr="00F4281C">
        <w:trPr>
          <w:trHeight w:val="460"/>
        </w:trPr>
        <w:tc>
          <w:tcPr>
            <w:tcW w:w="7792"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74153E37" w14:textId="77777777" w:rsidR="00785E2F" w:rsidRPr="00EB3D94" w:rsidRDefault="00785E2F" w:rsidP="007F3043">
            <w:pPr>
              <w:rPr>
                <w:rFonts w:cs="Arial"/>
                <w:b/>
                <w:bCs/>
                <w:sz w:val="20"/>
                <w:lang w:val="es-ES"/>
              </w:rPr>
            </w:pPr>
            <w:r w:rsidRPr="00EB3D94">
              <w:rPr>
                <w:rFonts w:eastAsia="Calibri" w:cs="Arial"/>
                <w:b/>
                <w:bCs/>
                <w:sz w:val="20"/>
                <w:lang w:val="es-ES" w:eastAsia="en-US"/>
              </w:rPr>
              <w:t xml:space="preserve">Requerimientos </w:t>
            </w:r>
          </w:p>
        </w:tc>
        <w:tc>
          <w:tcPr>
            <w:tcW w:w="1634" w:type="dxa"/>
            <w:tcBorders>
              <w:top w:val="single" w:sz="4" w:space="0" w:color="auto"/>
              <w:left w:val="nil"/>
              <w:bottom w:val="single" w:sz="4" w:space="0" w:color="auto"/>
              <w:right w:val="single" w:sz="4" w:space="0" w:color="auto"/>
            </w:tcBorders>
            <w:shd w:val="clear" w:color="000000" w:fill="D6DCE4"/>
            <w:vAlign w:val="center"/>
            <w:hideMark/>
          </w:tcPr>
          <w:p w14:paraId="6E00CA8D" w14:textId="77777777" w:rsidR="00785E2F" w:rsidRPr="00EB3D94" w:rsidRDefault="00785E2F" w:rsidP="007F3043">
            <w:pPr>
              <w:jc w:val="center"/>
              <w:rPr>
                <w:rFonts w:cs="Arial"/>
                <w:sz w:val="20"/>
                <w:lang w:val="es-ES"/>
              </w:rPr>
            </w:pPr>
            <w:r w:rsidRPr="00EB3D94">
              <w:rPr>
                <w:rFonts w:eastAsia="Calibri" w:cs="Arial"/>
                <w:sz w:val="20"/>
                <w:lang w:val="es-ES" w:eastAsia="en-US"/>
              </w:rPr>
              <w:t>Compromiso/ Cumplimiento</w:t>
            </w:r>
          </w:p>
        </w:tc>
      </w:tr>
      <w:tr w:rsidR="00EB3D94" w:rsidRPr="00EB3D94" w14:paraId="18569FC5" w14:textId="77777777" w:rsidTr="00F4281C">
        <w:trPr>
          <w:trHeight w:val="690"/>
        </w:trPr>
        <w:tc>
          <w:tcPr>
            <w:tcW w:w="7792" w:type="dxa"/>
            <w:tcBorders>
              <w:top w:val="nil"/>
              <w:left w:val="single" w:sz="4" w:space="0" w:color="auto"/>
              <w:bottom w:val="single" w:sz="4" w:space="0" w:color="auto"/>
              <w:right w:val="single" w:sz="4" w:space="0" w:color="auto"/>
            </w:tcBorders>
            <w:shd w:val="clear" w:color="000000" w:fill="FFFFFF"/>
            <w:vAlign w:val="center"/>
            <w:hideMark/>
          </w:tcPr>
          <w:p w14:paraId="2CB7718F" w14:textId="77777777" w:rsidR="00785E2F" w:rsidRPr="00EB3D94" w:rsidRDefault="00785E2F" w:rsidP="007F3043">
            <w:pPr>
              <w:rPr>
                <w:rFonts w:cs="Arial"/>
                <w:b/>
                <w:bCs/>
                <w:sz w:val="20"/>
                <w:lang w:val="es-ES"/>
              </w:rPr>
            </w:pPr>
            <w:r w:rsidRPr="00EB3D94">
              <w:rPr>
                <w:rFonts w:cs="Arial"/>
                <w:b/>
                <w:bCs/>
                <w:sz w:val="20"/>
                <w:lang w:val="es-ES"/>
              </w:rPr>
              <w:t>Desglose del concepto de arrastre</w:t>
            </w:r>
          </w:p>
          <w:p w14:paraId="148C49A0" w14:textId="77777777" w:rsidR="00785E2F" w:rsidRPr="00EB3D94" w:rsidRDefault="00785E2F" w:rsidP="007F3043">
            <w:pPr>
              <w:rPr>
                <w:rFonts w:cs="Arial"/>
                <w:sz w:val="20"/>
                <w:lang w:val="es-ES"/>
              </w:rPr>
            </w:pPr>
            <w:r w:rsidRPr="00EB3D94">
              <w:rPr>
                <w:rFonts w:cs="Arial"/>
                <w:sz w:val="20"/>
                <w:lang w:val="es-ES"/>
              </w:rPr>
              <w:t>[operaciones de traspaso de fondos agrupadas por data valor-data de operación diferenciando los apuntes por los conceptos de pago (acumulado de cargos por cada binomio fecha valor-operación) e ingreso (acumulado de abonos por cada binomio fecha valor-operación.</w:t>
            </w:r>
          </w:p>
        </w:tc>
        <w:tc>
          <w:tcPr>
            <w:tcW w:w="1634" w:type="dxa"/>
            <w:tcBorders>
              <w:top w:val="nil"/>
              <w:left w:val="nil"/>
              <w:bottom w:val="single" w:sz="4" w:space="0" w:color="auto"/>
              <w:right w:val="single" w:sz="4" w:space="0" w:color="auto"/>
            </w:tcBorders>
            <w:shd w:val="clear" w:color="000000" w:fill="FFFFFF"/>
            <w:vAlign w:val="center"/>
            <w:hideMark/>
          </w:tcPr>
          <w:p w14:paraId="64F14E53" w14:textId="77777777" w:rsidR="00785E2F" w:rsidRPr="00EB3D94" w:rsidRDefault="00785E2F" w:rsidP="007F3043">
            <w:pPr>
              <w:jc w:val="center"/>
              <w:rPr>
                <w:rFonts w:cs="Arial"/>
                <w:sz w:val="20"/>
                <w:lang w:val="es-ES"/>
              </w:rPr>
            </w:pPr>
            <w:r w:rsidRPr="00EB3D94">
              <w:rPr>
                <w:rFonts w:eastAsia="Calibri" w:cs="Arial"/>
                <w:sz w:val="20"/>
                <w:lang w:val="es-ES" w:eastAsia="en-US"/>
              </w:rPr>
              <w:t>SI</w:t>
            </w:r>
          </w:p>
        </w:tc>
      </w:tr>
    </w:tbl>
    <w:p w14:paraId="4E3C0555" w14:textId="77777777" w:rsidR="00785E2F" w:rsidRPr="00EB3D94" w:rsidRDefault="00785E2F" w:rsidP="00785E2F">
      <w:pPr>
        <w:rPr>
          <w:rFonts w:cs="Arial"/>
          <w:sz w:val="20"/>
          <w:lang w:val="es-ES"/>
        </w:rPr>
      </w:pPr>
    </w:p>
    <w:p w14:paraId="6FA573A1" w14:textId="77777777" w:rsidR="00785E2F" w:rsidRPr="00EB3D94" w:rsidRDefault="00785E2F" w:rsidP="00785E2F">
      <w:pPr>
        <w:rPr>
          <w:rFonts w:cs="Arial"/>
          <w:sz w:val="20"/>
          <w:lang w:val="es-ES"/>
        </w:rPr>
      </w:pPr>
    </w:p>
    <w:p w14:paraId="3951DAF4" w14:textId="77777777" w:rsidR="00785E2F" w:rsidRPr="00EB3D94" w:rsidRDefault="00785E2F" w:rsidP="00785E2F">
      <w:pPr>
        <w:rPr>
          <w:rFonts w:cs="Arial"/>
          <w:sz w:val="20"/>
          <w:lang w:val="es-ES"/>
        </w:rPr>
      </w:pPr>
    </w:p>
    <w:p w14:paraId="14499909" w14:textId="77777777" w:rsidR="00785E2F" w:rsidRPr="00EB3D94" w:rsidRDefault="00785E2F" w:rsidP="00785E2F">
      <w:pPr>
        <w:rPr>
          <w:rFonts w:cs="Arial"/>
          <w:sz w:val="20"/>
          <w:lang w:val="es-ES"/>
        </w:rPr>
      </w:pPr>
      <w:r w:rsidRPr="00EB3D94">
        <w:rPr>
          <w:rFonts w:cs="Arial"/>
          <w:sz w:val="20"/>
          <w:lang w:val="es-ES"/>
        </w:rPr>
        <w:t>Firma de la entidad licitadora:</w:t>
      </w:r>
    </w:p>
    <w:p w14:paraId="20C8509E" w14:textId="77777777" w:rsidR="008C7827" w:rsidRPr="00EB3D94" w:rsidRDefault="008C7827" w:rsidP="00BC4866">
      <w:pPr>
        <w:rPr>
          <w:rFonts w:cs="Arial"/>
          <w:sz w:val="20"/>
          <w:lang w:val="es-ES"/>
        </w:rPr>
      </w:pPr>
    </w:p>
    <w:p w14:paraId="3199A968" w14:textId="77777777" w:rsidR="008C7827" w:rsidRPr="00EB3D94" w:rsidRDefault="008C7827" w:rsidP="00BC4866">
      <w:pPr>
        <w:rPr>
          <w:rFonts w:cs="Arial"/>
          <w:sz w:val="20"/>
          <w:lang w:val="es-ES"/>
        </w:rPr>
      </w:pPr>
    </w:p>
    <w:p w14:paraId="6F04BD8A" w14:textId="77777777" w:rsidR="008C7827" w:rsidRPr="00EB3D94" w:rsidRDefault="008C7827" w:rsidP="00BC4866">
      <w:pPr>
        <w:rPr>
          <w:sz w:val="20"/>
          <w:lang w:val="es-ES"/>
        </w:rPr>
      </w:pPr>
    </w:p>
    <w:p w14:paraId="23E85145" w14:textId="77777777" w:rsidR="008C7827" w:rsidRPr="00EB3D94" w:rsidRDefault="008C7827" w:rsidP="00BC4866">
      <w:pPr>
        <w:rPr>
          <w:sz w:val="20"/>
          <w:lang w:val="es-ES"/>
        </w:rPr>
      </w:pPr>
    </w:p>
    <w:p w14:paraId="22827A8B" w14:textId="77777777" w:rsidR="008C7827" w:rsidRPr="00EB3D94" w:rsidRDefault="008C7827" w:rsidP="00BC4866">
      <w:pPr>
        <w:spacing w:after="160" w:line="259" w:lineRule="auto"/>
        <w:rPr>
          <w:rFonts w:eastAsia="Calibri"/>
          <w:sz w:val="20"/>
          <w:lang w:val="es-ES"/>
        </w:rPr>
      </w:pPr>
    </w:p>
    <w:p w14:paraId="02A3DC00" w14:textId="77777777" w:rsidR="008C7827" w:rsidRPr="00EB3D94" w:rsidRDefault="008C7827" w:rsidP="00BC4866">
      <w:pPr>
        <w:spacing w:after="160" w:line="259" w:lineRule="auto"/>
        <w:rPr>
          <w:rFonts w:eastAsia="Calibri"/>
          <w:sz w:val="20"/>
          <w:lang w:val="es-ES"/>
        </w:rPr>
      </w:pPr>
    </w:p>
    <w:p w14:paraId="633B93A3" w14:textId="77777777" w:rsidR="008C7827" w:rsidRPr="00EB3D94" w:rsidRDefault="008C7827" w:rsidP="00BC4866">
      <w:pPr>
        <w:spacing w:after="160" w:line="259" w:lineRule="auto"/>
        <w:rPr>
          <w:rFonts w:eastAsia="Calibri"/>
          <w:sz w:val="20"/>
          <w:lang w:val="es-ES"/>
        </w:rPr>
      </w:pPr>
    </w:p>
    <w:p w14:paraId="7F9BB16D" w14:textId="77777777" w:rsidR="008C7827" w:rsidRPr="00EB3D94" w:rsidRDefault="008C7827" w:rsidP="00BC4866">
      <w:pPr>
        <w:spacing w:after="160" w:line="259" w:lineRule="auto"/>
        <w:rPr>
          <w:rFonts w:eastAsia="Calibri"/>
          <w:sz w:val="20"/>
          <w:lang w:val="es-ES"/>
        </w:rPr>
      </w:pPr>
    </w:p>
    <w:p w14:paraId="12F291F2" w14:textId="77777777" w:rsidR="008C7827" w:rsidRPr="00EB3D94" w:rsidRDefault="008C7827" w:rsidP="00BC4866">
      <w:pPr>
        <w:spacing w:after="160" w:line="259" w:lineRule="auto"/>
        <w:rPr>
          <w:rFonts w:eastAsia="Calibri"/>
          <w:sz w:val="20"/>
          <w:lang w:val="es-ES"/>
        </w:rPr>
      </w:pPr>
    </w:p>
    <w:p w14:paraId="7ED5A164" w14:textId="77777777" w:rsidR="008C7827" w:rsidRPr="00EB3D94" w:rsidRDefault="008C7827" w:rsidP="00BC4866">
      <w:pPr>
        <w:spacing w:after="160" w:line="259" w:lineRule="auto"/>
        <w:rPr>
          <w:rFonts w:eastAsia="Calibri"/>
          <w:sz w:val="20"/>
          <w:lang w:val="es-ES"/>
        </w:rPr>
      </w:pPr>
    </w:p>
    <w:p w14:paraId="649D672C" w14:textId="77777777" w:rsidR="008C7827" w:rsidRPr="00EB3D94" w:rsidRDefault="008C7827" w:rsidP="00BC4866">
      <w:pPr>
        <w:spacing w:after="160" w:line="259" w:lineRule="auto"/>
        <w:rPr>
          <w:rFonts w:eastAsia="Calibri"/>
          <w:sz w:val="20"/>
          <w:lang w:val="es-ES"/>
        </w:rPr>
      </w:pPr>
    </w:p>
    <w:p w14:paraId="058BE7EB" w14:textId="77777777" w:rsidR="008C7827" w:rsidRPr="00EB3D94" w:rsidRDefault="008C7827" w:rsidP="00BC4866">
      <w:pPr>
        <w:spacing w:after="160" w:line="259" w:lineRule="auto"/>
        <w:rPr>
          <w:rFonts w:eastAsia="Calibri"/>
          <w:sz w:val="20"/>
          <w:lang w:val="es-ES"/>
        </w:rPr>
      </w:pPr>
    </w:p>
    <w:p w14:paraId="634CC92F" w14:textId="77777777" w:rsidR="008C7827" w:rsidRPr="00EB3D94" w:rsidRDefault="008C7827" w:rsidP="00BC4866">
      <w:pPr>
        <w:spacing w:after="160" w:line="259" w:lineRule="auto"/>
        <w:rPr>
          <w:rFonts w:eastAsia="Calibri"/>
          <w:sz w:val="20"/>
          <w:lang w:val="es-ES"/>
        </w:rPr>
      </w:pPr>
    </w:p>
    <w:p w14:paraId="13CEED5D" w14:textId="77777777" w:rsidR="008C7827" w:rsidRPr="00EB3D94" w:rsidRDefault="008C7827" w:rsidP="00BC4866">
      <w:pPr>
        <w:spacing w:after="160" w:line="259" w:lineRule="auto"/>
        <w:rPr>
          <w:rFonts w:eastAsia="Calibri"/>
          <w:sz w:val="20"/>
          <w:lang w:val="es-ES"/>
        </w:rPr>
      </w:pPr>
    </w:p>
    <w:p w14:paraId="0474C1BC" w14:textId="77777777" w:rsidR="008C7827" w:rsidRPr="00EB3D94" w:rsidRDefault="008C7827" w:rsidP="00BC4866">
      <w:pPr>
        <w:spacing w:after="160" w:line="259" w:lineRule="auto"/>
        <w:rPr>
          <w:rFonts w:eastAsia="Calibri"/>
          <w:sz w:val="20"/>
          <w:lang w:val="es-ES"/>
        </w:rPr>
      </w:pPr>
    </w:p>
    <w:p w14:paraId="0E38FE93" w14:textId="77777777" w:rsidR="008C7827" w:rsidRPr="00EB3D94" w:rsidRDefault="008C7827" w:rsidP="00BC4866">
      <w:pPr>
        <w:spacing w:after="160" w:line="259" w:lineRule="auto"/>
        <w:rPr>
          <w:rFonts w:eastAsia="Calibri"/>
          <w:sz w:val="20"/>
          <w:lang w:val="es-ES"/>
        </w:rPr>
      </w:pPr>
    </w:p>
    <w:p w14:paraId="55628733" w14:textId="77777777" w:rsidR="008C7827" w:rsidRPr="00EB3D94" w:rsidRDefault="008C7827" w:rsidP="00BC4866">
      <w:pPr>
        <w:spacing w:after="160" w:line="259" w:lineRule="auto"/>
        <w:rPr>
          <w:rFonts w:eastAsia="Calibri"/>
          <w:sz w:val="20"/>
          <w:lang w:val="es-ES"/>
        </w:rPr>
      </w:pPr>
    </w:p>
    <w:p w14:paraId="3FE9A610" w14:textId="77777777" w:rsidR="008C7827" w:rsidRPr="00EB3D94" w:rsidRDefault="008C7827" w:rsidP="00BC4866">
      <w:pPr>
        <w:spacing w:after="160" w:line="259" w:lineRule="auto"/>
        <w:rPr>
          <w:rFonts w:eastAsia="Calibri"/>
          <w:sz w:val="20"/>
          <w:lang w:val="es-ES"/>
        </w:rPr>
      </w:pPr>
    </w:p>
    <w:p w14:paraId="01949B4B" w14:textId="77777777" w:rsidR="008C7827" w:rsidRPr="00EB3D94" w:rsidRDefault="003B293F" w:rsidP="00BC4866">
      <w:pPr>
        <w:outlineLvl w:val="0"/>
        <w:rPr>
          <w:rFonts w:eastAsia="Calibri"/>
          <w:sz w:val="20"/>
          <w:lang w:val="es-ES"/>
        </w:rPr>
      </w:pPr>
      <w:r w:rsidRPr="00EB3D94">
        <w:rPr>
          <w:rFonts w:eastAsia="Calibri"/>
          <w:sz w:val="20"/>
          <w:lang w:val="es-ES"/>
        </w:rPr>
        <w:br w:type="page"/>
      </w:r>
      <w:r w:rsidR="008C7827" w:rsidRPr="00EB3D94">
        <w:rPr>
          <w:b/>
          <w:sz w:val="20"/>
          <w:lang w:val="es-ES"/>
        </w:rPr>
        <w:lastRenderedPageBreak/>
        <w:t>ANEXO 2.2:</w:t>
      </w:r>
    </w:p>
    <w:p w14:paraId="3D1639CE" w14:textId="77777777" w:rsidR="003B293F" w:rsidRPr="00EB3D94" w:rsidRDefault="003B293F" w:rsidP="00BC4866">
      <w:pPr>
        <w:outlineLvl w:val="0"/>
        <w:rPr>
          <w:b/>
          <w:sz w:val="20"/>
          <w:lang w:val="es-ES"/>
        </w:rPr>
      </w:pPr>
    </w:p>
    <w:p w14:paraId="258A2D9B" w14:textId="77777777" w:rsidR="00F4281C" w:rsidRPr="00EB3D94" w:rsidRDefault="00F4281C" w:rsidP="00F4281C">
      <w:pPr>
        <w:rPr>
          <w:sz w:val="20"/>
          <w:lang w:val="es-ES"/>
        </w:rPr>
      </w:pPr>
      <w:r w:rsidRPr="00EB3D94">
        <w:rPr>
          <w:b/>
          <w:bCs/>
          <w:sz w:val="20"/>
          <w:u w:val="thick"/>
          <w:lang w:val="es-ES"/>
        </w:rPr>
        <w:t>DECLARACIÓN DE COMPROMISO DE DAR COBERTURA A LOS REQUERIMIENTOS MÍNIMOS DEL SERVICIO – LOTE 2</w:t>
      </w:r>
      <w:r w:rsidRPr="00EB3D94">
        <w:rPr>
          <w:sz w:val="20"/>
          <w:lang w:val="es-ES"/>
        </w:rPr>
        <w:t xml:space="preserve"> [no puntúa, pero el no compromiso o incumplimiento es motivo de exclusión]</w:t>
      </w:r>
    </w:p>
    <w:p w14:paraId="32AC967E" w14:textId="77777777" w:rsidR="00F4281C" w:rsidRPr="00EB3D94" w:rsidRDefault="00F4281C" w:rsidP="00F4281C">
      <w:pPr>
        <w:rPr>
          <w:sz w:val="20"/>
          <w:lang w:val="es-ES"/>
        </w:rPr>
      </w:pPr>
    </w:p>
    <w:p w14:paraId="410468A7" w14:textId="77777777" w:rsidR="00F4281C" w:rsidRPr="00EB3D94" w:rsidRDefault="00F4281C" w:rsidP="00F4281C">
      <w:pPr>
        <w:pStyle w:val="Pargrafdellista"/>
        <w:numPr>
          <w:ilvl w:val="0"/>
          <w:numId w:val="66"/>
        </w:numPr>
        <w:autoSpaceDE w:val="0"/>
        <w:autoSpaceDN w:val="0"/>
        <w:adjustRightInd w:val="0"/>
        <w:spacing w:after="220"/>
        <w:jc w:val="both"/>
        <w:rPr>
          <w:sz w:val="20"/>
          <w:u w:val="thick"/>
          <w:lang w:val="es-ES"/>
        </w:rPr>
      </w:pPr>
      <w:r w:rsidRPr="00EB3D94">
        <w:rPr>
          <w:sz w:val="20"/>
          <w:u w:val="thick"/>
          <w:lang w:val="es-ES"/>
        </w:rPr>
        <w:t>Declaración de compromiso de dar cobertura a los requerimientos mínimos imprescindibles al inicio de ejecución del contrato, según los requisitos especificados en los pliegos – LOTE 2</w:t>
      </w:r>
    </w:p>
    <w:tbl>
      <w:tblPr>
        <w:tblW w:w="9067" w:type="dxa"/>
        <w:tblCellMar>
          <w:left w:w="70" w:type="dxa"/>
          <w:right w:w="70" w:type="dxa"/>
        </w:tblCellMar>
        <w:tblLook w:val="04A0" w:firstRow="1" w:lastRow="0" w:firstColumn="1" w:lastColumn="0" w:noHBand="0" w:noVBand="1"/>
      </w:tblPr>
      <w:tblGrid>
        <w:gridCol w:w="7737"/>
        <w:gridCol w:w="1330"/>
      </w:tblGrid>
      <w:tr w:rsidR="00EB3D94" w:rsidRPr="00EB3D94" w14:paraId="08F8412E" w14:textId="77777777" w:rsidTr="007F3043">
        <w:trPr>
          <w:trHeight w:val="461"/>
        </w:trPr>
        <w:tc>
          <w:tcPr>
            <w:tcW w:w="7792"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612FA43C" w14:textId="77777777" w:rsidR="00F4281C" w:rsidRPr="00EB3D94" w:rsidRDefault="00F4281C" w:rsidP="007F3043">
            <w:pPr>
              <w:rPr>
                <w:b/>
                <w:bCs/>
                <w:sz w:val="20"/>
                <w:lang w:val="es-ES"/>
              </w:rPr>
            </w:pPr>
            <w:r w:rsidRPr="00EB3D94">
              <w:rPr>
                <w:rFonts w:eastAsia="Calibri"/>
                <w:b/>
                <w:bCs/>
                <w:sz w:val="20"/>
                <w:lang w:val="es-ES" w:eastAsia="en-US"/>
              </w:rPr>
              <w:t>Requerimientos mínimos inicio ejecución contrato – LOTE 2</w:t>
            </w:r>
          </w:p>
        </w:tc>
        <w:tc>
          <w:tcPr>
            <w:tcW w:w="1275" w:type="dxa"/>
            <w:tcBorders>
              <w:top w:val="single" w:sz="4" w:space="0" w:color="auto"/>
              <w:left w:val="nil"/>
              <w:bottom w:val="single" w:sz="4" w:space="0" w:color="auto"/>
              <w:right w:val="single" w:sz="4" w:space="0" w:color="auto"/>
            </w:tcBorders>
            <w:shd w:val="clear" w:color="000000" w:fill="D6DCE4"/>
            <w:vAlign w:val="center"/>
            <w:hideMark/>
          </w:tcPr>
          <w:p w14:paraId="7BBC7C44" w14:textId="77777777" w:rsidR="00F4281C" w:rsidRPr="00EB3D94" w:rsidRDefault="00F4281C" w:rsidP="007F3043">
            <w:pPr>
              <w:jc w:val="center"/>
              <w:rPr>
                <w:sz w:val="20"/>
                <w:lang w:val="es-ES"/>
              </w:rPr>
            </w:pPr>
            <w:r w:rsidRPr="00EB3D94">
              <w:rPr>
                <w:rFonts w:eastAsia="Calibri"/>
                <w:sz w:val="20"/>
                <w:lang w:val="es-ES" w:eastAsia="en-US"/>
              </w:rPr>
              <w:t>Compromiso/ Cumplimento</w:t>
            </w:r>
          </w:p>
        </w:tc>
      </w:tr>
      <w:tr w:rsidR="00EB3D94" w:rsidRPr="00EB3D94" w14:paraId="41D187B0" w14:textId="77777777" w:rsidTr="007F3043">
        <w:trPr>
          <w:trHeight w:val="290"/>
        </w:trPr>
        <w:tc>
          <w:tcPr>
            <w:tcW w:w="7792" w:type="dxa"/>
            <w:tcBorders>
              <w:top w:val="nil"/>
              <w:left w:val="single" w:sz="4" w:space="0" w:color="auto"/>
              <w:bottom w:val="single" w:sz="4" w:space="0" w:color="auto"/>
              <w:right w:val="single" w:sz="4" w:space="0" w:color="auto"/>
            </w:tcBorders>
            <w:shd w:val="clear" w:color="000000" w:fill="E7E6E6"/>
            <w:vAlign w:val="center"/>
            <w:hideMark/>
          </w:tcPr>
          <w:p w14:paraId="36E93A95" w14:textId="77777777" w:rsidR="00F4281C" w:rsidRPr="00EB3D94" w:rsidRDefault="00F4281C" w:rsidP="007F3043">
            <w:pPr>
              <w:rPr>
                <w:b/>
                <w:bCs/>
                <w:sz w:val="20"/>
                <w:lang w:val="es-ES"/>
              </w:rPr>
            </w:pPr>
            <w:r w:rsidRPr="00EB3D94">
              <w:rPr>
                <w:rFonts w:eastAsia="Calibri"/>
                <w:b/>
                <w:bCs/>
                <w:sz w:val="20"/>
                <w:lang w:val="es-ES" w:eastAsia="en-US"/>
              </w:rPr>
              <w:t>1) Creación estructura de cuentas</w:t>
            </w:r>
          </w:p>
        </w:tc>
        <w:tc>
          <w:tcPr>
            <w:tcW w:w="1275" w:type="dxa"/>
            <w:tcBorders>
              <w:top w:val="nil"/>
              <w:left w:val="nil"/>
              <w:bottom w:val="single" w:sz="4" w:space="0" w:color="auto"/>
              <w:right w:val="single" w:sz="4" w:space="0" w:color="auto"/>
            </w:tcBorders>
            <w:shd w:val="clear" w:color="000000" w:fill="E7E6E6"/>
            <w:vAlign w:val="center"/>
            <w:hideMark/>
          </w:tcPr>
          <w:p w14:paraId="2C793ACD" w14:textId="77777777" w:rsidR="00F4281C" w:rsidRPr="00EB3D94" w:rsidRDefault="00F4281C" w:rsidP="007F3043">
            <w:pPr>
              <w:jc w:val="center"/>
              <w:rPr>
                <w:sz w:val="20"/>
                <w:lang w:val="es-ES"/>
              </w:rPr>
            </w:pPr>
            <w:r w:rsidRPr="00EB3D94">
              <w:rPr>
                <w:rFonts w:eastAsia="Calibri"/>
                <w:sz w:val="20"/>
                <w:lang w:val="es-ES" w:eastAsia="en-US"/>
              </w:rPr>
              <w:t> </w:t>
            </w:r>
          </w:p>
        </w:tc>
      </w:tr>
      <w:tr w:rsidR="00EB3D94" w:rsidRPr="00EB3D94" w14:paraId="29B443B5" w14:textId="77777777" w:rsidTr="007F3043">
        <w:trPr>
          <w:trHeight w:val="290"/>
        </w:trPr>
        <w:tc>
          <w:tcPr>
            <w:tcW w:w="7792" w:type="dxa"/>
            <w:tcBorders>
              <w:top w:val="nil"/>
              <w:left w:val="single" w:sz="4" w:space="0" w:color="auto"/>
              <w:bottom w:val="single" w:sz="4" w:space="0" w:color="auto"/>
              <w:right w:val="single" w:sz="4" w:space="0" w:color="auto"/>
            </w:tcBorders>
            <w:shd w:val="clear" w:color="000000" w:fill="FFFFFF"/>
            <w:vAlign w:val="center"/>
            <w:hideMark/>
          </w:tcPr>
          <w:p w14:paraId="1E4F5424" w14:textId="77777777" w:rsidR="00F4281C" w:rsidRPr="00EB3D94" w:rsidRDefault="00F4281C" w:rsidP="007F3043">
            <w:pPr>
              <w:ind w:firstLineChars="200" w:firstLine="400"/>
              <w:rPr>
                <w:sz w:val="20"/>
                <w:lang w:val="es-ES"/>
              </w:rPr>
            </w:pPr>
            <w:r w:rsidRPr="00EB3D94">
              <w:rPr>
                <w:rFonts w:eastAsia="Calibri"/>
                <w:sz w:val="20"/>
                <w:lang w:val="es-ES" w:eastAsia="en-US"/>
              </w:rPr>
              <w:t>a) Apertura cuentas operativas y tesorera</w:t>
            </w:r>
          </w:p>
        </w:tc>
        <w:tc>
          <w:tcPr>
            <w:tcW w:w="1275" w:type="dxa"/>
            <w:tcBorders>
              <w:top w:val="nil"/>
              <w:left w:val="nil"/>
              <w:bottom w:val="single" w:sz="4" w:space="0" w:color="auto"/>
              <w:right w:val="single" w:sz="4" w:space="0" w:color="auto"/>
            </w:tcBorders>
            <w:shd w:val="clear" w:color="000000" w:fill="FFFFFF"/>
            <w:vAlign w:val="center"/>
            <w:hideMark/>
          </w:tcPr>
          <w:p w14:paraId="645B9D73" w14:textId="77777777" w:rsidR="00F4281C" w:rsidRPr="00EB3D94" w:rsidRDefault="00F4281C" w:rsidP="007F3043">
            <w:pPr>
              <w:jc w:val="center"/>
              <w:rPr>
                <w:sz w:val="20"/>
                <w:lang w:val="es-ES"/>
              </w:rPr>
            </w:pPr>
            <w:r w:rsidRPr="00EB3D94">
              <w:rPr>
                <w:rFonts w:eastAsia="Calibri"/>
                <w:sz w:val="20"/>
                <w:lang w:val="es-ES" w:eastAsia="en-US"/>
              </w:rPr>
              <w:t>SI</w:t>
            </w:r>
          </w:p>
        </w:tc>
      </w:tr>
      <w:tr w:rsidR="00EB3D94" w:rsidRPr="00EB3D94" w14:paraId="6366590E" w14:textId="77777777" w:rsidTr="007F3043">
        <w:trPr>
          <w:trHeight w:val="290"/>
        </w:trPr>
        <w:tc>
          <w:tcPr>
            <w:tcW w:w="7792" w:type="dxa"/>
            <w:tcBorders>
              <w:top w:val="nil"/>
              <w:left w:val="single" w:sz="4" w:space="0" w:color="auto"/>
              <w:bottom w:val="single" w:sz="4" w:space="0" w:color="auto"/>
              <w:right w:val="single" w:sz="4" w:space="0" w:color="auto"/>
            </w:tcBorders>
            <w:shd w:val="clear" w:color="000000" w:fill="FFFFFF"/>
            <w:vAlign w:val="center"/>
            <w:hideMark/>
          </w:tcPr>
          <w:p w14:paraId="0396450F" w14:textId="77777777" w:rsidR="00F4281C" w:rsidRPr="00EB3D94" w:rsidRDefault="00F4281C" w:rsidP="007F3043">
            <w:pPr>
              <w:ind w:firstLineChars="200" w:firstLine="400"/>
              <w:rPr>
                <w:sz w:val="20"/>
                <w:lang w:val="es-ES"/>
              </w:rPr>
            </w:pPr>
            <w:r w:rsidRPr="00EB3D94">
              <w:rPr>
                <w:rFonts w:eastAsia="Calibri"/>
                <w:sz w:val="20"/>
                <w:lang w:val="es-ES" w:eastAsia="en-US"/>
              </w:rPr>
              <w:t>b) Apertura póliza de crédito Tesorería Corporativa</w:t>
            </w:r>
          </w:p>
        </w:tc>
        <w:tc>
          <w:tcPr>
            <w:tcW w:w="1275" w:type="dxa"/>
            <w:tcBorders>
              <w:top w:val="nil"/>
              <w:left w:val="nil"/>
              <w:bottom w:val="single" w:sz="4" w:space="0" w:color="auto"/>
              <w:right w:val="single" w:sz="4" w:space="0" w:color="auto"/>
            </w:tcBorders>
            <w:shd w:val="clear" w:color="000000" w:fill="FFFFFF"/>
            <w:vAlign w:val="center"/>
            <w:hideMark/>
          </w:tcPr>
          <w:p w14:paraId="36E3FCCF" w14:textId="77777777" w:rsidR="00F4281C" w:rsidRPr="00EB3D94" w:rsidRDefault="00F4281C" w:rsidP="007F3043">
            <w:pPr>
              <w:jc w:val="center"/>
              <w:rPr>
                <w:sz w:val="20"/>
                <w:lang w:val="es-ES"/>
              </w:rPr>
            </w:pPr>
            <w:r w:rsidRPr="00EB3D94">
              <w:rPr>
                <w:rFonts w:eastAsia="Calibri"/>
                <w:sz w:val="20"/>
                <w:lang w:val="es-ES" w:eastAsia="en-US"/>
              </w:rPr>
              <w:t>SI</w:t>
            </w:r>
          </w:p>
        </w:tc>
      </w:tr>
      <w:tr w:rsidR="00EB3D94" w:rsidRPr="00EB3D94" w14:paraId="647FF221" w14:textId="77777777" w:rsidTr="007F3043">
        <w:trPr>
          <w:trHeight w:val="290"/>
        </w:trPr>
        <w:tc>
          <w:tcPr>
            <w:tcW w:w="7792" w:type="dxa"/>
            <w:tcBorders>
              <w:top w:val="nil"/>
              <w:left w:val="single" w:sz="4" w:space="0" w:color="auto"/>
              <w:bottom w:val="single" w:sz="4" w:space="0" w:color="auto"/>
              <w:right w:val="single" w:sz="4" w:space="0" w:color="auto"/>
            </w:tcBorders>
            <w:shd w:val="clear" w:color="000000" w:fill="FFFFFF"/>
            <w:vAlign w:val="center"/>
            <w:hideMark/>
          </w:tcPr>
          <w:p w14:paraId="68734F57" w14:textId="77777777" w:rsidR="00F4281C" w:rsidRPr="00EB3D94" w:rsidRDefault="00F4281C" w:rsidP="007F3043">
            <w:pPr>
              <w:ind w:firstLineChars="200" w:firstLine="400"/>
              <w:rPr>
                <w:sz w:val="20"/>
                <w:lang w:val="es-ES"/>
              </w:rPr>
            </w:pPr>
            <w:r w:rsidRPr="00EB3D94">
              <w:rPr>
                <w:rFonts w:eastAsia="Calibri"/>
                <w:sz w:val="20"/>
                <w:lang w:val="es-ES" w:eastAsia="en-US"/>
              </w:rPr>
              <w:t xml:space="preserve">c) Cobertura máximo tres niveles cash </w:t>
            </w:r>
            <w:proofErr w:type="spellStart"/>
            <w:r w:rsidRPr="00EB3D94">
              <w:rPr>
                <w:rFonts w:eastAsia="Calibri"/>
                <w:sz w:val="20"/>
                <w:lang w:val="es-ES" w:eastAsia="en-US"/>
              </w:rPr>
              <w:t>pooling</w:t>
            </w:r>
            <w:proofErr w:type="spellEnd"/>
          </w:p>
        </w:tc>
        <w:tc>
          <w:tcPr>
            <w:tcW w:w="1275" w:type="dxa"/>
            <w:tcBorders>
              <w:top w:val="nil"/>
              <w:left w:val="nil"/>
              <w:bottom w:val="single" w:sz="4" w:space="0" w:color="auto"/>
              <w:right w:val="single" w:sz="4" w:space="0" w:color="auto"/>
            </w:tcBorders>
            <w:shd w:val="clear" w:color="000000" w:fill="FFFFFF"/>
            <w:vAlign w:val="center"/>
            <w:hideMark/>
          </w:tcPr>
          <w:p w14:paraId="2AB7B3F8" w14:textId="77777777" w:rsidR="00F4281C" w:rsidRPr="00EB3D94" w:rsidRDefault="00F4281C" w:rsidP="007F3043">
            <w:pPr>
              <w:jc w:val="center"/>
              <w:rPr>
                <w:sz w:val="20"/>
                <w:lang w:val="es-ES"/>
              </w:rPr>
            </w:pPr>
            <w:r w:rsidRPr="00EB3D94">
              <w:rPr>
                <w:rFonts w:eastAsia="Calibri"/>
                <w:sz w:val="20"/>
                <w:lang w:val="es-ES" w:eastAsia="en-US"/>
              </w:rPr>
              <w:t>SI</w:t>
            </w:r>
          </w:p>
        </w:tc>
      </w:tr>
      <w:tr w:rsidR="00EB3D94" w:rsidRPr="00EB3D94" w14:paraId="48897727" w14:textId="77777777" w:rsidTr="007F3043">
        <w:trPr>
          <w:trHeight w:val="290"/>
        </w:trPr>
        <w:tc>
          <w:tcPr>
            <w:tcW w:w="7792" w:type="dxa"/>
            <w:tcBorders>
              <w:top w:val="nil"/>
              <w:left w:val="single" w:sz="4" w:space="0" w:color="auto"/>
              <w:bottom w:val="single" w:sz="4" w:space="0" w:color="auto"/>
              <w:right w:val="single" w:sz="4" w:space="0" w:color="auto"/>
            </w:tcBorders>
            <w:shd w:val="clear" w:color="000000" w:fill="E7E6E6"/>
            <w:vAlign w:val="center"/>
            <w:hideMark/>
          </w:tcPr>
          <w:p w14:paraId="1B78CF4E" w14:textId="77777777" w:rsidR="00F4281C" w:rsidRPr="00EB3D94" w:rsidRDefault="00F4281C" w:rsidP="007F3043">
            <w:pPr>
              <w:rPr>
                <w:b/>
                <w:bCs/>
                <w:sz w:val="20"/>
                <w:lang w:val="es-ES"/>
              </w:rPr>
            </w:pPr>
            <w:r w:rsidRPr="00EB3D94">
              <w:rPr>
                <w:rFonts w:eastAsia="Calibri"/>
                <w:b/>
                <w:bCs/>
                <w:sz w:val="20"/>
                <w:lang w:val="es-ES" w:eastAsia="en-US"/>
              </w:rPr>
              <w:t>2) Operativa</w:t>
            </w:r>
          </w:p>
        </w:tc>
        <w:tc>
          <w:tcPr>
            <w:tcW w:w="1275" w:type="dxa"/>
            <w:tcBorders>
              <w:top w:val="nil"/>
              <w:left w:val="nil"/>
              <w:bottom w:val="single" w:sz="4" w:space="0" w:color="auto"/>
              <w:right w:val="single" w:sz="4" w:space="0" w:color="auto"/>
            </w:tcBorders>
            <w:shd w:val="clear" w:color="000000" w:fill="E7E6E6"/>
            <w:vAlign w:val="center"/>
            <w:hideMark/>
          </w:tcPr>
          <w:p w14:paraId="04B5ABB8" w14:textId="77777777" w:rsidR="00F4281C" w:rsidRPr="00EB3D94" w:rsidRDefault="00F4281C" w:rsidP="007F3043">
            <w:pPr>
              <w:jc w:val="center"/>
              <w:rPr>
                <w:sz w:val="20"/>
                <w:lang w:val="es-ES"/>
              </w:rPr>
            </w:pPr>
            <w:r w:rsidRPr="00EB3D94">
              <w:rPr>
                <w:rFonts w:eastAsia="Calibri"/>
                <w:sz w:val="20"/>
                <w:lang w:val="es-ES" w:eastAsia="en-US"/>
              </w:rPr>
              <w:t> </w:t>
            </w:r>
          </w:p>
        </w:tc>
      </w:tr>
      <w:tr w:rsidR="00EB3D94" w:rsidRPr="00EB3D94" w14:paraId="038CD677" w14:textId="77777777" w:rsidTr="007F3043">
        <w:trPr>
          <w:trHeight w:val="290"/>
        </w:trPr>
        <w:tc>
          <w:tcPr>
            <w:tcW w:w="7792" w:type="dxa"/>
            <w:tcBorders>
              <w:top w:val="nil"/>
              <w:left w:val="single" w:sz="4" w:space="0" w:color="auto"/>
              <w:bottom w:val="single" w:sz="4" w:space="0" w:color="auto"/>
              <w:right w:val="single" w:sz="4" w:space="0" w:color="auto"/>
            </w:tcBorders>
            <w:shd w:val="clear" w:color="000000" w:fill="FFFFFF"/>
            <w:vAlign w:val="center"/>
            <w:hideMark/>
          </w:tcPr>
          <w:p w14:paraId="5CACEDAE" w14:textId="77777777" w:rsidR="00F4281C" w:rsidRPr="00EB3D94" w:rsidRDefault="00F4281C" w:rsidP="007F3043">
            <w:pPr>
              <w:ind w:firstLineChars="200" w:firstLine="400"/>
              <w:rPr>
                <w:sz w:val="20"/>
                <w:lang w:val="es-ES"/>
              </w:rPr>
            </w:pPr>
            <w:r w:rsidRPr="00EB3D94">
              <w:rPr>
                <w:rFonts w:eastAsia="Calibri"/>
                <w:sz w:val="20"/>
                <w:lang w:val="es-ES" w:eastAsia="en-US"/>
              </w:rPr>
              <w:t xml:space="preserve">a) Carga semanal límites operativos </w:t>
            </w:r>
          </w:p>
        </w:tc>
        <w:tc>
          <w:tcPr>
            <w:tcW w:w="1275" w:type="dxa"/>
            <w:tcBorders>
              <w:top w:val="nil"/>
              <w:left w:val="nil"/>
              <w:bottom w:val="single" w:sz="4" w:space="0" w:color="auto"/>
              <w:right w:val="single" w:sz="4" w:space="0" w:color="auto"/>
            </w:tcBorders>
            <w:shd w:val="clear" w:color="000000" w:fill="FFFFFF"/>
            <w:vAlign w:val="center"/>
            <w:hideMark/>
          </w:tcPr>
          <w:p w14:paraId="7127163B" w14:textId="77777777" w:rsidR="00F4281C" w:rsidRPr="00EB3D94" w:rsidRDefault="00F4281C" w:rsidP="007F3043">
            <w:pPr>
              <w:jc w:val="center"/>
              <w:rPr>
                <w:sz w:val="20"/>
                <w:lang w:val="es-ES"/>
              </w:rPr>
            </w:pPr>
            <w:r w:rsidRPr="00EB3D94">
              <w:rPr>
                <w:rFonts w:eastAsia="Calibri"/>
                <w:sz w:val="20"/>
                <w:lang w:val="es-ES" w:eastAsia="en-US"/>
              </w:rPr>
              <w:t>SI</w:t>
            </w:r>
          </w:p>
        </w:tc>
      </w:tr>
      <w:tr w:rsidR="00EB3D94" w:rsidRPr="00EB3D94" w14:paraId="290205CC" w14:textId="77777777" w:rsidTr="007F3043">
        <w:trPr>
          <w:trHeight w:val="290"/>
        </w:trPr>
        <w:tc>
          <w:tcPr>
            <w:tcW w:w="7792" w:type="dxa"/>
            <w:tcBorders>
              <w:top w:val="nil"/>
              <w:left w:val="single" w:sz="4" w:space="0" w:color="auto"/>
              <w:bottom w:val="single" w:sz="4" w:space="0" w:color="auto"/>
              <w:right w:val="single" w:sz="4" w:space="0" w:color="auto"/>
            </w:tcBorders>
            <w:shd w:val="clear" w:color="000000" w:fill="FFFFFF"/>
            <w:vAlign w:val="center"/>
            <w:hideMark/>
          </w:tcPr>
          <w:p w14:paraId="4D0C3E9D" w14:textId="77777777" w:rsidR="00F4281C" w:rsidRPr="00EB3D94" w:rsidRDefault="00F4281C" w:rsidP="007F3043">
            <w:pPr>
              <w:ind w:firstLineChars="200" w:firstLine="400"/>
              <w:rPr>
                <w:sz w:val="20"/>
                <w:lang w:val="es-ES"/>
              </w:rPr>
            </w:pPr>
            <w:r w:rsidRPr="00EB3D94">
              <w:rPr>
                <w:rFonts w:eastAsia="Calibri"/>
                <w:sz w:val="20"/>
                <w:lang w:val="es-ES" w:eastAsia="en-US"/>
              </w:rPr>
              <w:t>b) Gestión límites y bloqueo si procede</w:t>
            </w:r>
          </w:p>
        </w:tc>
        <w:tc>
          <w:tcPr>
            <w:tcW w:w="1275" w:type="dxa"/>
            <w:tcBorders>
              <w:top w:val="nil"/>
              <w:left w:val="nil"/>
              <w:bottom w:val="single" w:sz="4" w:space="0" w:color="auto"/>
              <w:right w:val="single" w:sz="4" w:space="0" w:color="auto"/>
            </w:tcBorders>
            <w:shd w:val="clear" w:color="000000" w:fill="FFFFFF"/>
            <w:vAlign w:val="center"/>
            <w:hideMark/>
          </w:tcPr>
          <w:p w14:paraId="69CAED64" w14:textId="77777777" w:rsidR="00F4281C" w:rsidRPr="00EB3D94" w:rsidRDefault="00F4281C" w:rsidP="007F3043">
            <w:pPr>
              <w:jc w:val="center"/>
              <w:rPr>
                <w:sz w:val="20"/>
                <w:lang w:val="es-ES"/>
              </w:rPr>
            </w:pPr>
            <w:r w:rsidRPr="00EB3D94">
              <w:rPr>
                <w:rFonts w:eastAsia="Calibri"/>
                <w:sz w:val="20"/>
                <w:lang w:val="es-ES" w:eastAsia="en-US"/>
              </w:rPr>
              <w:t>SI</w:t>
            </w:r>
          </w:p>
        </w:tc>
      </w:tr>
      <w:tr w:rsidR="00EB3D94" w:rsidRPr="00EB3D94" w14:paraId="2E881CAD" w14:textId="77777777" w:rsidTr="007F3043">
        <w:trPr>
          <w:trHeight w:val="290"/>
        </w:trPr>
        <w:tc>
          <w:tcPr>
            <w:tcW w:w="7792" w:type="dxa"/>
            <w:tcBorders>
              <w:top w:val="nil"/>
              <w:left w:val="single" w:sz="4" w:space="0" w:color="auto"/>
              <w:bottom w:val="single" w:sz="4" w:space="0" w:color="auto"/>
              <w:right w:val="single" w:sz="4" w:space="0" w:color="auto"/>
            </w:tcBorders>
            <w:shd w:val="clear" w:color="000000" w:fill="FFFFFF"/>
            <w:vAlign w:val="center"/>
            <w:hideMark/>
          </w:tcPr>
          <w:p w14:paraId="4DA52F3C" w14:textId="77777777" w:rsidR="00F4281C" w:rsidRPr="00EB3D94" w:rsidRDefault="00F4281C" w:rsidP="007F3043">
            <w:pPr>
              <w:ind w:firstLineChars="200" w:firstLine="400"/>
              <w:rPr>
                <w:sz w:val="20"/>
                <w:lang w:val="es-ES"/>
              </w:rPr>
            </w:pPr>
            <w:r w:rsidRPr="00EB3D94">
              <w:rPr>
                <w:rFonts w:eastAsia="Calibri"/>
                <w:sz w:val="20"/>
                <w:lang w:val="es-ES" w:eastAsia="en-US"/>
              </w:rPr>
              <w:t>c) Gestión automática póliza crédito corporativa</w:t>
            </w:r>
          </w:p>
        </w:tc>
        <w:tc>
          <w:tcPr>
            <w:tcW w:w="1275" w:type="dxa"/>
            <w:tcBorders>
              <w:top w:val="nil"/>
              <w:left w:val="nil"/>
              <w:bottom w:val="single" w:sz="4" w:space="0" w:color="auto"/>
              <w:right w:val="single" w:sz="4" w:space="0" w:color="auto"/>
            </w:tcBorders>
            <w:shd w:val="clear" w:color="000000" w:fill="FFFFFF"/>
            <w:vAlign w:val="center"/>
            <w:hideMark/>
          </w:tcPr>
          <w:p w14:paraId="5511FF9D" w14:textId="77777777" w:rsidR="00F4281C" w:rsidRPr="00EB3D94" w:rsidRDefault="00F4281C" w:rsidP="007F3043">
            <w:pPr>
              <w:jc w:val="center"/>
              <w:rPr>
                <w:sz w:val="20"/>
                <w:lang w:val="es-ES"/>
              </w:rPr>
            </w:pPr>
            <w:r w:rsidRPr="00EB3D94">
              <w:rPr>
                <w:rFonts w:eastAsia="Calibri"/>
                <w:sz w:val="20"/>
                <w:lang w:val="es-ES" w:eastAsia="en-US"/>
              </w:rPr>
              <w:t>SI</w:t>
            </w:r>
          </w:p>
        </w:tc>
      </w:tr>
      <w:tr w:rsidR="00EB3D94" w:rsidRPr="00EB3D94" w14:paraId="77280216" w14:textId="77777777" w:rsidTr="007F3043">
        <w:trPr>
          <w:trHeight w:val="290"/>
        </w:trPr>
        <w:tc>
          <w:tcPr>
            <w:tcW w:w="7792" w:type="dxa"/>
            <w:tcBorders>
              <w:top w:val="nil"/>
              <w:left w:val="single" w:sz="4" w:space="0" w:color="auto"/>
              <w:bottom w:val="single" w:sz="4" w:space="0" w:color="auto"/>
              <w:right w:val="single" w:sz="4" w:space="0" w:color="auto"/>
            </w:tcBorders>
            <w:shd w:val="clear" w:color="000000" w:fill="FFFFFF"/>
            <w:vAlign w:val="center"/>
            <w:hideMark/>
          </w:tcPr>
          <w:p w14:paraId="36C0EF3E" w14:textId="77777777" w:rsidR="00F4281C" w:rsidRPr="00EB3D94" w:rsidRDefault="00F4281C" w:rsidP="007F3043">
            <w:pPr>
              <w:ind w:firstLineChars="200" w:firstLine="400"/>
              <w:rPr>
                <w:sz w:val="20"/>
                <w:lang w:val="es-ES"/>
              </w:rPr>
            </w:pPr>
            <w:r w:rsidRPr="00EB3D94">
              <w:rPr>
                <w:rFonts w:eastAsia="Calibri"/>
                <w:sz w:val="20"/>
                <w:lang w:val="es-ES" w:eastAsia="en-US"/>
              </w:rPr>
              <w:t>d) Arrastre saldos diario agrupado data valor y data operación</w:t>
            </w:r>
          </w:p>
        </w:tc>
        <w:tc>
          <w:tcPr>
            <w:tcW w:w="1275" w:type="dxa"/>
            <w:tcBorders>
              <w:top w:val="nil"/>
              <w:left w:val="nil"/>
              <w:bottom w:val="single" w:sz="4" w:space="0" w:color="auto"/>
              <w:right w:val="single" w:sz="4" w:space="0" w:color="auto"/>
            </w:tcBorders>
            <w:shd w:val="clear" w:color="000000" w:fill="FFFFFF"/>
            <w:vAlign w:val="center"/>
            <w:hideMark/>
          </w:tcPr>
          <w:p w14:paraId="22A6E18F" w14:textId="77777777" w:rsidR="00F4281C" w:rsidRPr="00EB3D94" w:rsidRDefault="00F4281C" w:rsidP="007F3043">
            <w:pPr>
              <w:jc w:val="center"/>
              <w:rPr>
                <w:sz w:val="20"/>
                <w:lang w:val="es-ES"/>
              </w:rPr>
            </w:pPr>
            <w:r w:rsidRPr="00EB3D94">
              <w:rPr>
                <w:rFonts w:eastAsia="Calibri"/>
                <w:sz w:val="20"/>
                <w:lang w:val="es-ES" w:eastAsia="en-US"/>
              </w:rPr>
              <w:t>SI</w:t>
            </w:r>
          </w:p>
        </w:tc>
      </w:tr>
      <w:tr w:rsidR="00EB3D94" w:rsidRPr="00EB3D94" w14:paraId="617B9BFC" w14:textId="77777777" w:rsidTr="007F3043">
        <w:trPr>
          <w:trHeight w:val="290"/>
        </w:trPr>
        <w:tc>
          <w:tcPr>
            <w:tcW w:w="7792" w:type="dxa"/>
            <w:tcBorders>
              <w:top w:val="nil"/>
              <w:left w:val="single" w:sz="4" w:space="0" w:color="auto"/>
              <w:bottom w:val="single" w:sz="4" w:space="0" w:color="auto"/>
              <w:right w:val="single" w:sz="4" w:space="0" w:color="auto"/>
            </w:tcBorders>
            <w:shd w:val="clear" w:color="000000" w:fill="E7E6E6"/>
            <w:vAlign w:val="center"/>
            <w:hideMark/>
          </w:tcPr>
          <w:p w14:paraId="54E50FB6" w14:textId="77777777" w:rsidR="00F4281C" w:rsidRPr="00EB3D94" w:rsidRDefault="00F4281C" w:rsidP="007F3043">
            <w:pPr>
              <w:rPr>
                <w:b/>
                <w:bCs/>
                <w:sz w:val="20"/>
                <w:lang w:val="es-ES"/>
              </w:rPr>
            </w:pPr>
            <w:r w:rsidRPr="00EB3D94">
              <w:rPr>
                <w:rFonts w:eastAsia="Arial"/>
                <w:b/>
                <w:bCs/>
                <w:w w:val="99"/>
                <w:sz w:val="20"/>
                <w:lang w:val="es-ES"/>
              </w:rPr>
              <w:t>3)</w:t>
            </w:r>
            <w:r w:rsidRPr="00EB3D94">
              <w:rPr>
                <w:rFonts w:ascii="Times New Roman" w:eastAsia="Arial" w:hAnsi="Times New Roman"/>
                <w:b/>
                <w:bCs/>
                <w:w w:val="99"/>
                <w:sz w:val="20"/>
                <w:lang w:val="es-ES"/>
              </w:rPr>
              <w:t xml:space="preserve">  </w:t>
            </w:r>
            <w:r w:rsidRPr="00EB3D94">
              <w:rPr>
                <w:rFonts w:eastAsia="Arial"/>
                <w:b/>
                <w:bCs/>
                <w:w w:val="99"/>
                <w:sz w:val="20"/>
                <w:lang w:val="es-ES"/>
              </w:rPr>
              <w:t>Operativa transaccional</w:t>
            </w:r>
          </w:p>
        </w:tc>
        <w:tc>
          <w:tcPr>
            <w:tcW w:w="1275" w:type="dxa"/>
            <w:tcBorders>
              <w:top w:val="nil"/>
              <w:left w:val="nil"/>
              <w:bottom w:val="single" w:sz="4" w:space="0" w:color="auto"/>
              <w:right w:val="single" w:sz="4" w:space="0" w:color="auto"/>
            </w:tcBorders>
            <w:shd w:val="clear" w:color="000000" w:fill="E7E6E6"/>
            <w:vAlign w:val="center"/>
            <w:hideMark/>
          </w:tcPr>
          <w:p w14:paraId="72988D8F" w14:textId="77777777" w:rsidR="00F4281C" w:rsidRPr="00EB3D94" w:rsidRDefault="00F4281C" w:rsidP="007F3043">
            <w:pPr>
              <w:jc w:val="center"/>
              <w:rPr>
                <w:sz w:val="20"/>
                <w:lang w:val="es-ES"/>
              </w:rPr>
            </w:pPr>
            <w:r w:rsidRPr="00EB3D94">
              <w:rPr>
                <w:sz w:val="20"/>
                <w:lang w:val="es-ES"/>
              </w:rPr>
              <w:t> </w:t>
            </w:r>
          </w:p>
        </w:tc>
      </w:tr>
      <w:tr w:rsidR="00EB3D94" w:rsidRPr="00EB3D94" w14:paraId="62751CEE" w14:textId="77777777" w:rsidTr="007F3043">
        <w:trPr>
          <w:trHeight w:val="290"/>
        </w:trPr>
        <w:tc>
          <w:tcPr>
            <w:tcW w:w="7792" w:type="dxa"/>
            <w:tcBorders>
              <w:top w:val="nil"/>
              <w:left w:val="single" w:sz="4" w:space="0" w:color="auto"/>
              <w:bottom w:val="nil"/>
              <w:right w:val="single" w:sz="4" w:space="0" w:color="auto"/>
            </w:tcBorders>
            <w:shd w:val="clear" w:color="000000" w:fill="FFFFFF"/>
            <w:vAlign w:val="center"/>
            <w:hideMark/>
          </w:tcPr>
          <w:p w14:paraId="5E1C0842" w14:textId="77777777" w:rsidR="00F4281C" w:rsidRPr="00EB3D94" w:rsidRDefault="00F4281C" w:rsidP="007F3043">
            <w:pPr>
              <w:ind w:firstLineChars="200" w:firstLine="400"/>
              <w:rPr>
                <w:sz w:val="20"/>
                <w:lang w:val="es-ES"/>
              </w:rPr>
            </w:pPr>
            <w:r w:rsidRPr="00EB3D94">
              <w:rPr>
                <w:sz w:val="20"/>
                <w:lang w:val="es-ES"/>
              </w:rPr>
              <w:t>[incluye las diferentes modalidades de pagos y cobros indicadas en los pliegos]</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475B386" w14:textId="77777777" w:rsidR="00F4281C" w:rsidRPr="00EB3D94" w:rsidRDefault="00F4281C" w:rsidP="007F3043">
            <w:pPr>
              <w:jc w:val="center"/>
              <w:rPr>
                <w:sz w:val="20"/>
                <w:lang w:val="es-ES"/>
              </w:rPr>
            </w:pPr>
            <w:r w:rsidRPr="00EB3D94">
              <w:rPr>
                <w:rFonts w:eastAsia="Calibri"/>
                <w:sz w:val="20"/>
                <w:lang w:val="es-ES" w:eastAsia="en-US"/>
              </w:rPr>
              <w:t>SI</w:t>
            </w:r>
          </w:p>
        </w:tc>
      </w:tr>
      <w:tr w:rsidR="00EB3D94" w:rsidRPr="00EB3D94" w14:paraId="6FF823BE" w14:textId="77777777" w:rsidTr="007F3043">
        <w:trPr>
          <w:trHeight w:val="290"/>
        </w:trPr>
        <w:tc>
          <w:tcPr>
            <w:tcW w:w="7792" w:type="dxa"/>
            <w:tcBorders>
              <w:top w:val="nil"/>
              <w:left w:val="single" w:sz="4" w:space="0" w:color="auto"/>
              <w:bottom w:val="nil"/>
              <w:right w:val="single" w:sz="4" w:space="0" w:color="auto"/>
            </w:tcBorders>
            <w:shd w:val="clear" w:color="000000" w:fill="FFFFFF"/>
            <w:vAlign w:val="center"/>
            <w:hideMark/>
          </w:tcPr>
          <w:p w14:paraId="41E3BD0A" w14:textId="77777777" w:rsidR="00F4281C" w:rsidRPr="00EB3D94" w:rsidRDefault="00F4281C" w:rsidP="007F3043">
            <w:pPr>
              <w:ind w:firstLineChars="200" w:firstLine="400"/>
              <w:rPr>
                <w:sz w:val="20"/>
                <w:lang w:val="es-ES"/>
              </w:rPr>
            </w:pPr>
            <w:r w:rsidRPr="00EB3D94">
              <w:rPr>
                <w:sz w:val="20"/>
                <w:lang w:val="es-ES"/>
              </w:rPr>
              <w:t xml:space="preserve"> · Volumen estimado anual operativa LOTE 2: 5.000 millones de euros</w:t>
            </w:r>
          </w:p>
        </w:tc>
        <w:tc>
          <w:tcPr>
            <w:tcW w:w="1275" w:type="dxa"/>
            <w:vMerge/>
            <w:tcBorders>
              <w:top w:val="nil"/>
              <w:left w:val="single" w:sz="4" w:space="0" w:color="auto"/>
              <w:bottom w:val="single" w:sz="4" w:space="0" w:color="000000"/>
              <w:right w:val="single" w:sz="4" w:space="0" w:color="auto"/>
            </w:tcBorders>
            <w:vAlign w:val="center"/>
            <w:hideMark/>
          </w:tcPr>
          <w:p w14:paraId="58D7F5A8" w14:textId="77777777" w:rsidR="00F4281C" w:rsidRPr="00EB3D94" w:rsidRDefault="00F4281C" w:rsidP="007F3043">
            <w:pPr>
              <w:rPr>
                <w:sz w:val="20"/>
                <w:lang w:val="es-ES"/>
              </w:rPr>
            </w:pPr>
          </w:p>
        </w:tc>
      </w:tr>
      <w:tr w:rsidR="00EB3D94" w:rsidRPr="00EB3D94" w14:paraId="07E2E621" w14:textId="77777777" w:rsidTr="007F3043">
        <w:trPr>
          <w:trHeight w:val="290"/>
        </w:trPr>
        <w:tc>
          <w:tcPr>
            <w:tcW w:w="7792" w:type="dxa"/>
            <w:tcBorders>
              <w:top w:val="nil"/>
              <w:left w:val="single" w:sz="4" w:space="0" w:color="auto"/>
              <w:bottom w:val="single" w:sz="4" w:space="0" w:color="auto"/>
              <w:right w:val="single" w:sz="4" w:space="0" w:color="auto"/>
            </w:tcBorders>
            <w:shd w:val="clear" w:color="000000" w:fill="FFFFFF"/>
            <w:vAlign w:val="center"/>
            <w:hideMark/>
          </w:tcPr>
          <w:p w14:paraId="1D801794" w14:textId="77777777" w:rsidR="00F4281C" w:rsidRPr="00EB3D94" w:rsidRDefault="00F4281C" w:rsidP="007F3043">
            <w:pPr>
              <w:ind w:firstLineChars="200" w:firstLine="400"/>
              <w:rPr>
                <w:sz w:val="20"/>
                <w:lang w:val="es-ES"/>
              </w:rPr>
            </w:pPr>
            <w:r w:rsidRPr="00EB3D94">
              <w:rPr>
                <w:rFonts w:ascii="Times New Roman" w:hAnsi="Times New Roman"/>
                <w:sz w:val="20"/>
                <w:lang w:val="es-ES"/>
              </w:rPr>
              <w:t xml:space="preserve"> -  </w:t>
            </w:r>
            <w:r w:rsidRPr="00EB3D94">
              <w:rPr>
                <w:sz w:val="20"/>
                <w:lang w:val="es-ES"/>
              </w:rPr>
              <w:t>Coste máximo operativa sobre volumen LOTE 2: 0,050%</w:t>
            </w:r>
          </w:p>
        </w:tc>
        <w:tc>
          <w:tcPr>
            <w:tcW w:w="1275" w:type="dxa"/>
            <w:vMerge/>
            <w:tcBorders>
              <w:top w:val="nil"/>
              <w:left w:val="single" w:sz="4" w:space="0" w:color="auto"/>
              <w:bottom w:val="single" w:sz="4" w:space="0" w:color="000000"/>
              <w:right w:val="single" w:sz="4" w:space="0" w:color="auto"/>
            </w:tcBorders>
            <w:vAlign w:val="center"/>
            <w:hideMark/>
          </w:tcPr>
          <w:p w14:paraId="56153D70" w14:textId="77777777" w:rsidR="00F4281C" w:rsidRPr="00EB3D94" w:rsidRDefault="00F4281C" w:rsidP="007F3043">
            <w:pPr>
              <w:rPr>
                <w:sz w:val="20"/>
                <w:lang w:val="es-ES"/>
              </w:rPr>
            </w:pPr>
          </w:p>
        </w:tc>
      </w:tr>
      <w:tr w:rsidR="00EB3D94" w:rsidRPr="00EB3D94" w14:paraId="53B4E538" w14:textId="77777777" w:rsidTr="007F3043">
        <w:trPr>
          <w:trHeight w:val="290"/>
        </w:trPr>
        <w:tc>
          <w:tcPr>
            <w:tcW w:w="7792" w:type="dxa"/>
            <w:tcBorders>
              <w:top w:val="nil"/>
              <w:left w:val="single" w:sz="4" w:space="0" w:color="auto"/>
              <w:bottom w:val="single" w:sz="4" w:space="0" w:color="auto"/>
              <w:right w:val="single" w:sz="4" w:space="0" w:color="auto"/>
            </w:tcBorders>
            <w:shd w:val="clear" w:color="000000" w:fill="E7E6E6"/>
            <w:vAlign w:val="center"/>
            <w:hideMark/>
          </w:tcPr>
          <w:p w14:paraId="26A33DCE" w14:textId="77777777" w:rsidR="00F4281C" w:rsidRPr="00EB3D94" w:rsidRDefault="00F4281C" w:rsidP="007F3043">
            <w:pPr>
              <w:rPr>
                <w:b/>
                <w:bCs/>
                <w:sz w:val="20"/>
                <w:lang w:val="es-ES"/>
              </w:rPr>
            </w:pPr>
            <w:r w:rsidRPr="00EB3D94">
              <w:rPr>
                <w:rFonts w:eastAsia="Calibri"/>
                <w:b/>
                <w:bCs/>
                <w:sz w:val="20"/>
                <w:lang w:val="es-ES" w:eastAsia="en-US"/>
              </w:rPr>
              <w:t>4) Control e información</w:t>
            </w:r>
          </w:p>
        </w:tc>
        <w:tc>
          <w:tcPr>
            <w:tcW w:w="1275" w:type="dxa"/>
            <w:tcBorders>
              <w:top w:val="nil"/>
              <w:left w:val="nil"/>
              <w:bottom w:val="single" w:sz="4" w:space="0" w:color="auto"/>
              <w:right w:val="single" w:sz="4" w:space="0" w:color="auto"/>
            </w:tcBorders>
            <w:shd w:val="clear" w:color="000000" w:fill="E7E6E6"/>
            <w:vAlign w:val="center"/>
            <w:hideMark/>
          </w:tcPr>
          <w:p w14:paraId="5F86DC0E" w14:textId="77777777" w:rsidR="00F4281C" w:rsidRPr="00EB3D94" w:rsidRDefault="00F4281C" w:rsidP="007F3043">
            <w:pPr>
              <w:jc w:val="center"/>
              <w:rPr>
                <w:sz w:val="20"/>
                <w:lang w:val="es-ES"/>
              </w:rPr>
            </w:pPr>
            <w:r w:rsidRPr="00EB3D94">
              <w:rPr>
                <w:rFonts w:eastAsia="Calibri"/>
                <w:sz w:val="20"/>
                <w:lang w:val="es-ES" w:eastAsia="en-US"/>
              </w:rPr>
              <w:t> </w:t>
            </w:r>
          </w:p>
        </w:tc>
      </w:tr>
      <w:tr w:rsidR="00EB3D94" w:rsidRPr="00EB3D94" w14:paraId="35400F43" w14:textId="77777777" w:rsidTr="007F3043">
        <w:trPr>
          <w:trHeight w:val="290"/>
        </w:trPr>
        <w:tc>
          <w:tcPr>
            <w:tcW w:w="7792" w:type="dxa"/>
            <w:tcBorders>
              <w:top w:val="nil"/>
              <w:left w:val="single" w:sz="4" w:space="0" w:color="auto"/>
              <w:bottom w:val="single" w:sz="4" w:space="0" w:color="auto"/>
              <w:right w:val="single" w:sz="4" w:space="0" w:color="auto"/>
            </w:tcBorders>
            <w:shd w:val="clear" w:color="000000" w:fill="FFFFFF"/>
            <w:vAlign w:val="center"/>
            <w:hideMark/>
          </w:tcPr>
          <w:p w14:paraId="5DCA70E8" w14:textId="77777777" w:rsidR="00F4281C" w:rsidRPr="00EB3D94" w:rsidRDefault="00F4281C" w:rsidP="007F3043">
            <w:pPr>
              <w:ind w:firstLineChars="200" w:firstLine="400"/>
              <w:rPr>
                <w:sz w:val="20"/>
                <w:lang w:val="es-ES"/>
              </w:rPr>
            </w:pPr>
            <w:r w:rsidRPr="00EB3D94">
              <w:rPr>
                <w:rFonts w:eastAsia="Calibri"/>
                <w:sz w:val="20"/>
                <w:lang w:val="es-ES" w:eastAsia="en-US"/>
              </w:rPr>
              <w:t>a) Avisos y resolución de incidencias</w:t>
            </w:r>
          </w:p>
        </w:tc>
        <w:tc>
          <w:tcPr>
            <w:tcW w:w="1275" w:type="dxa"/>
            <w:tcBorders>
              <w:top w:val="nil"/>
              <w:left w:val="nil"/>
              <w:bottom w:val="single" w:sz="4" w:space="0" w:color="auto"/>
              <w:right w:val="single" w:sz="4" w:space="0" w:color="auto"/>
            </w:tcBorders>
            <w:shd w:val="clear" w:color="000000" w:fill="FFFFFF"/>
            <w:vAlign w:val="center"/>
            <w:hideMark/>
          </w:tcPr>
          <w:p w14:paraId="3A5A4CC6" w14:textId="77777777" w:rsidR="00F4281C" w:rsidRPr="00EB3D94" w:rsidRDefault="00F4281C" w:rsidP="007F3043">
            <w:pPr>
              <w:jc w:val="center"/>
              <w:rPr>
                <w:sz w:val="20"/>
                <w:lang w:val="es-ES"/>
              </w:rPr>
            </w:pPr>
            <w:r w:rsidRPr="00EB3D94">
              <w:rPr>
                <w:rFonts w:eastAsia="Calibri"/>
                <w:sz w:val="20"/>
                <w:lang w:val="es-ES" w:eastAsia="en-US"/>
              </w:rPr>
              <w:t>SI</w:t>
            </w:r>
          </w:p>
        </w:tc>
      </w:tr>
      <w:tr w:rsidR="00EB3D94" w:rsidRPr="00EB3D94" w14:paraId="5D8D6A83" w14:textId="77777777" w:rsidTr="007F3043">
        <w:trPr>
          <w:trHeight w:val="290"/>
        </w:trPr>
        <w:tc>
          <w:tcPr>
            <w:tcW w:w="7792" w:type="dxa"/>
            <w:tcBorders>
              <w:top w:val="nil"/>
              <w:left w:val="single" w:sz="4" w:space="0" w:color="auto"/>
              <w:bottom w:val="single" w:sz="4" w:space="0" w:color="auto"/>
              <w:right w:val="single" w:sz="4" w:space="0" w:color="auto"/>
            </w:tcBorders>
            <w:shd w:val="clear" w:color="000000" w:fill="FFFFFF"/>
            <w:vAlign w:val="center"/>
            <w:hideMark/>
          </w:tcPr>
          <w:p w14:paraId="7596542E" w14:textId="77777777" w:rsidR="00F4281C" w:rsidRPr="00EB3D94" w:rsidRDefault="00F4281C" w:rsidP="007F3043">
            <w:pPr>
              <w:ind w:firstLineChars="200" w:firstLine="400"/>
              <w:rPr>
                <w:sz w:val="20"/>
                <w:lang w:val="es-ES"/>
              </w:rPr>
            </w:pPr>
            <w:r w:rsidRPr="00EB3D94">
              <w:rPr>
                <w:rFonts w:eastAsia="Calibri"/>
                <w:sz w:val="20"/>
                <w:lang w:val="es-ES" w:eastAsia="en-US"/>
              </w:rPr>
              <w:t>b) Extractos de cuentas</w:t>
            </w:r>
          </w:p>
        </w:tc>
        <w:tc>
          <w:tcPr>
            <w:tcW w:w="1275" w:type="dxa"/>
            <w:tcBorders>
              <w:top w:val="nil"/>
              <w:left w:val="nil"/>
              <w:bottom w:val="single" w:sz="4" w:space="0" w:color="auto"/>
              <w:right w:val="single" w:sz="4" w:space="0" w:color="auto"/>
            </w:tcBorders>
            <w:shd w:val="clear" w:color="000000" w:fill="FFFFFF"/>
            <w:vAlign w:val="center"/>
            <w:hideMark/>
          </w:tcPr>
          <w:p w14:paraId="2328568F" w14:textId="77777777" w:rsidR="00F4281C" w:rsidRPr="00EB3D94" w:rsidRDefault="00F4281C" w:rsidP="007F3043">
            <w:pPr>
              <w:jc w:val="center"/>
              <w:rPr>
                <w:sz w:val="20"/>
                <w:lang w:val="es-ES"/>
              </w:rPr>
            </w:pPr>
            <w:r w:rsidRPr="00EB3D94">
              <w:rPr>
                <w:rFonts w:eastAsia="Calibri"/>
                <w:sz w:val="20"/>
                <w:lang w:val="es-ES" w:eastAsia="en-US"/>
              </w:rPr>
              <w:t>SI</w:t>
            </w:r>
          </w:p>
        </w:tc>
      </w:tr>
      <w:tr w:rsidR="00EB3D94" w:rsidRPr="00EB3D94" w14:paraId="47729EBD" w14:textId="77777777" w:rsidTr="007F3043">
        <w:trPr>
          <w:trHeight w:val="290"/>
        </w:trPr>
        <w:tc>
          <w:tcPr>
            <w:tcW w:w="7792" w:type="dxa"/>
            <w:tcBorders>
              <w:top w:val="nil"/>
              <w:left w:val="single" w:sz="4" w:space="0" w:color="auto"/>
              <w:bottom w:val="single" w:sz="4" w:space="0" w:color="auto"/>
              <w:right w:val="single" w:sz="4" w:space="0" w:color="auto"/>
            </w:tcBorders>
            <w:shd w:val="clear" w:color="000000" w:fill="FFFFFF"/>
            <w:vAlign w:val="center"/>
            <w:hideMark/>
          </w:tcPr>
          <w:p w14:paraId="153C1722" w14:textId="77777777" w:rsidR="00F4281C" w:rsidRPr="00EB3D94" w:rsidRDefault="00F4281C" w:rsidP="007F3043">
            <w:pPr>
              <w:ind w:firstLineChars="200" w:firstLine="400"/>
              <w:rPr>
                <w:sz w:val="20"/>
                <w:lang w:val="es-ES"/>
              </w:rPr>
            </w:pPr>
            <w:r w:rsidRPr="00EB3D94">
              <w:rPr>
                <w:rFonts w:eastAsia="Calibri"/>
                <w:sz w:val="20"/>
                <w:lang w:val="es-ES" w:eastAsia="en-US"/>
              </w:rPr>
              <w:t>c) Acceso cuentas Tesorería Corporativa / Entidades Públicas</w:t>
            </w:r>
          </w:p>
        </w:tc>
        <w:tc>
          <w:tcPr>
            <w:tcW w:w="1275" w:type="dxa"/>
            <w:tcBorders>
              <w:top w:val="nil"/>
              <w:left w:val="nil"/>
              <w:bottom w:val="single" w:sz="4" w:space="0" w:color="auto"/>
              <w:right w:val="single" w:sz="4" w:space="0" w:color="auto"/>
            </w:tcBorders>
            <w:shd w:val="clear" w:color="000000" w:fill="FFFFFF"/>
            <w:vAlign w:val="center"/>
            <w:hideMark/>
          </w:tcPr>
          <w:p w14:paraId="3D502A46" w14:textId="77777777" w:rsidR="00F4281C" w:rsidRPr="00EB3D94" w:rsidRDefault="00F4281C" w:rsidP="007F3043">
            <w:pPr>
              <w:jc w:val="center"/>
              <w:rPr>
                <w:sz w:val="20"/>
                <w:lang w:val="es-ES"/>
              </w:rPr>
            </w:pPr>
            <w:r w:rsidRPr="00EB3D94">
              <w:rPr>
                <w:rFonts w:eastAsia="Calibri"/>
                <w:sz w:val="20"/>
                <w:lang w:val="es-ES" w:eastAsia="en-US"/>
              </w:rPr>
              <w:t>SI</w:t>
            </w:r>
          </w:p>
        </w:tc>
      </w:tr>
      <w:tr w:rsidR="00EB3D94" w:rsidRPr="00EB3D94" w14:paraId="43CA00C0" w14:textId="77777777" w:rsidTr="007F3043">
        <w:trPr>
          <w:trHeight w:val="290"/>
        </w:trPr>
        <w:tc>
          <w:tcPr>
            <w:tcW w:w="7792" w:type="dxa"/>
            <w:tcBorders>
              <w:top w:val="nil"/>
              <w:left w:val="single" w:sz="4" w:space="0" w:color="auto"/>
              <w:bottom w:val="single" w:sz="4" w:space="0" w:color="auto"/>
              <w:right w:val="single" w:sz="4" w:space="0" w:color="auto"/>
            </w:tcBorders>
            <w:shd w:val="clear" w:color="000000" w:fill="E7E6E6"/>
            <w:vAlign w:val="center"/>
            <w:hideMark/>
          </w:tcPr>
          <w:p w14:paraId="1340944D" w14:textId="77777777" w:rsidR="00F4281C" w:rsidRPr="00EB3D94" w:rsidRDefault="00F4281C" w:rsidP="007F3043">
            <w:pPr>
              <w:rPr>
                <w:b/>
                <w:bCs/>
                <w:sz w:val="20"/>
                <w:lang w:val="es-ES"/>
              </w:rPr>
            </w:pPr>
            <w:r w:rsidRPr="00EB3D94">
              <w:rPr>
                <w:rFonts w:eastAsia="Calibri"/>
                <w:b/>
                <w:bCs/>
                <w:sz w:val="20"/>
                <w:lang w:val="es-ES" w:eastAsia="en-US"/>
              </w:rPr>
              <w:t xml:space="preserve">5) Requerimientos técnicos recepción y envío de archivos </w:t>
            </w:r>
          </w:p>
        </w:tc>
        <w:tc>
          <w:tcPr>
            <w:tcW w:w="1275" w:type="dxa"/>
            <w:tcBorders>
              <w:top w:val="nil"/>
              <w:left w:val="nil"/>
              <w:bottom w:val="single" w:sz="4" w:space="0" w:color="auto"/>
              <w:right w:val="single" w:sz="4" w:space="0" w:color="auto"/>
            </w:tcBorders>
            <w:shd w:val="clear" w:color="000000" w:fill="E7E6E6"/>
            <w:vAlign w:val="center"/>
            <w:hideMark/>
          </w:tcPr>
          <w:p w14:paraId="2F860712" w14:textId="77777777" w:rsidR="00F4281C" w:rsidRPr="00EB3D94" w:rsidRDefault="00F4281C" w:rsidP="007F3043">
            <w:pPr>
              <w:jc w:val="center"/>
              <w:rPr>
                <w:sz w:val="20"/>
                <w:lang w:val="es-ES"/>
              </w:rPr>
            </w:pPr>
            <w:r w:rsidRPr="00EB3D94">
              <w:rPr>
                <w:sz w:val="20"/>
                <w:lang w:val="es-ES"/>
              </w:rPr>
              <w:t> </w:t>
            </w:r>
          </w:p>
        </w:tc>
      </w:tr>
      <w:tr w:rsidR="00EB3D94" w:rsidRPr="00EB3D94" w14:paraId="784FDB42" w14:textId="77777777" w:rsidTr="007F3043">
        <w:trPr>
          <w:trHeight w:val="690"/>
        </w:trPr>
        <w:tc>
          <w:tcPr>
            <w:tcW w:w="7792" w:type="dxa"/>
            <w:tcBorders>
              <w:top w:val="nil"/>
              <w:left w:val="single" w:sz="4" w:space="0" w:color="auto"/>
              <w:bottom w:val="single" w:sz="4" w:space="0" w:color="auto"/>
              <w:right w:val="single" w:sz="4" w:space="0" w:color="auto"/>
            </w:tcBorders>
            <w:shd w:val="clear" w:color="000000" w:fill="FFFFFF"/>
            <w:vAlign w:val="center"/>
            <w:hideMark/>
          </w:tcPr>
          <w:p w14:paraId="378B9CF8" w14:textId="77777777" w:rsidR="00F4281C" w:rsidRPr="00EB3D94" w:rsidRDefault="00F4281C" w:rsidP="007F3043">
            <w:pPr>
              <w:rPr>
                <w:sz w:val="20"/>
                <w:lang w:val="es-ES"/>
              </w:rPr>
            </w:pPr>
            <w:r w:rsidRPr="00EB3D94">
              <w:rPr>
                <w:sz w:val="20"/>
                <w:lang w:val="es-ES"/>
              </w:rPr>
              <w:t>[a través plataformas actuales (EDITRAN, SWIFT, Banca electrónica) u otros, sobre; cargos por domiciliación, pagos, efectos pendientes de descuento, créditos pendientes de gestión de cobro, carga límites operativos, u otros formatos estándar de la AEB o de mercado]</w:t>
            </w:r>
          </w:p>
        </w:tc>
        <w:tc>
          <w:tcPr>
            <w:tcW w:w="1275" w:type="dxa"/>
            <w:tcBorders>
              <w:top w:val="nil"/>
              <w:left w:val="nil"/>
              <w:bottom w:val="nil"/>
              <w:right w:val="single" w:sz="4" w:space="0" w:color="auto"/>
            </w:tcBorders>
            <w:shd w:val="clear" w:color="000000" w:fill="FFFFFF"/>
            <w:vAlign w:val="center"/>
            <w:hideMark/>
          </w:tcPr>
          <w:p w14:paraId="02119A0F" w14:textId="77777777" w:rsidR="00F4281C" w:rsidRPr="00EB3D94" w:rsidRDefault="00F4281C" w:rsidP="007F3043">
            <w:pPr>
              <w:jc w:val="center"/>
              <w:rPr>
                <w:sz w:val="20"/>
                <w:lang w:val="es-ES"/>
              </w:rPr>
            </w:pPr>
            <w:r w:rsidRPr="00EB3D94">
              <w:rPr>
                <w:sz w:val="20"/>
                <w:lang w:val="es-ES"/>
              </w:rPr>
              <w:t>SI</w:t>
            </w:r>
          </w:p>
        </w:tc>
      </w:tr>
      <w:tr w:rsidR="00EB3D94" w:rsidRPr="00EB3D94" w14:paraId="3FEAEA5F" w14:textId="77777777" w:rsidTr="007F3043">
        <w:trPr>
          <w:trHeight w:val="290"/>
        </w:trPr>
        <w:tc>
          <w:tcPr>
            <w:tcW w:w="7792" w:type="dxa"/>
            <w:tcBorders>
              <w:top w:val="nil"/>
              <w:left w:val="single" w:sz="4" w:space="0" w:color="auto"/>
              <w:bottom w:val="single" w:sz="4" w:space="0" w:color="auto"/>
              <w:right w:val="single" w:sz="4" w:space="0" w:color="auto"/>
            </w:tcBorders>
            <w:shd w:val="clear" w:color="000000" w:fill="E7E6E6"/>
            <w:vAlign w:val="center"/>
            <w:hideMark/>
          </w:tcPr>
          <w:p w14:paraId="2A9B5A75" w14:textId="77777777" w:rsidR="00F4281C" w:rsidRPr="00EB3D94" w:rsidRDefault="00F4281C" w:rsidP="007F3043">
            <w:pPr>
              <w:rPr>
                <w:b/>
                <w:bCs/>
                <w:sz w:val="20"/>
                <w:lang w:val="es-ES"/>
              </w:rPr>
            </w:pPr>
            <w:r w:rsidRPr="00EB3D94">
              <w:rPr>
                <w:rFonts w:eastAsia="Calibri"/>
                <w:b/>
                <w:bCs/>
                <w:sz w:val="20"/>
                <w:lang w:val="es-ES" w:eastAsia="en-US"/>
              </w:rPr>
              <w:t>6) Otros requerimientos</w:t>
            </w:r>
          </w:p>
        </w:tc>
        <w:tc>
          <w:tcPr>
            <w:tcW w:w="1275" w:type="dxa"/>
            <w:tcBorders>
              <w:top w:val="single" w:sz="4" w:space="0" w:color="auto"/>
              <w:left w:val="nil"/>
              <w:bottom w:val="single" w:sz="4" w:space="0" w:color="auto"/>
              <w:right w:val="single" w:sz="4" w:space="0" w:color="auto"/>
            </w:tcBorders>
            <w:shd w:val="clear" w:color="000000" w:fill="E7E6E6"/>
            <w:vAlign w:val="center"/>
            <w:hideMark/>
          </w:tcPr>
          <w:p w14:paraId="24E9FF11" w14:textId="77777777" w:rsidR="00F4281C" w:rsidRPr="00EB3D94" w:rsidRDefault="00F4281C" w:rsidP="007F3043">
            <w:pPr>
              <w:jc w:val="center"/>
              <w:rPr>
                <w:sz w:val="20"/>
                <w:lang w:val="es-ES"/>
              </w:rPr>
            </w:pPr>
            <w:r w:rsidRPr="00EB3D94">
              <w:rPr>
                <w:rFonts w:eastAsia="Calibri"/>
                <w:sz w:val="20"/>
                <w:lang w:val="es-ES" w:eastAsia="en-US"/>
              </w:rPr>
              <w:t> </w:t>
            </w:r>
          </w:p>
        </w:tc>
      </w:tr>
      <w:tr w:rsidR="00EB3D94" w:rsidRPr="00EB3D94" w14:paraId="0E2F65C0" w14:textId="77777777" w:rsidTr="007F3043">
        <w:trPr>
          <w:trHeight w:val="290"/>
        </w:trPr>
        <w:tc>
          <w:tcPr>
            <w:tcW w:w="7792" w:type="dxa"/>
            <w:tcBorders>
              <w:top w:val="nil"/>
              <w:left w:val="single" w:sz="4" w:space="0" w:color="auto"/>
              <w:bottom w:val="nil"/>
              <w:right w:val="single" w:sz="4" w:space="0" w:color="auto"/>
            </w:tcBorders>
            <w:shd w:val="clear" w:color="000000" w:fill="FFFFFF"/>
            <w:vAlign w:val="center"/>
            <w:hideMark/>
          </w:tcPr>
          <w:p w14:paraId="322E0505" w14:textId="77777777" w:rsidR="00F4281C" w:rsidRPr="00EB3D94" w:rsidRDefault="00F4281C" w:rsidP="007F3043">
            <w:pPr>
              <w:ind w:firstLineChars="200" w:firstLine="400"/>
              <w:rPr>
                <w:sz w:val="20"/>
                <w:lang w:val="es-ES"/>
              </w:rPr>
            </w:pPr>
            <w:r w:rsidRPr="00EB3D94">
              <w:rPr>
                <w:rFonts w:eastAsia="Calibri"/>
                <w:sz w:val="20"/>
                <w:lang w:val="es-ES" w:eastAsia="en-US"/>
              </w:rPr>
              <w:t>a) Interlocutores</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A8367BC" w14:textId="77777777" w:rsidR="00F4281C" w:rsidRPr="00EB3D94" w:rsidRDefault="00F4281C" w:rsidP="007F3043">
            <w:pPr>
              <w:jc w:val="center"/>
              <w:rPr>
                <w:sz w:val="20"/>
                <w:lang w:val="es-ES"/>
              </w:rPr>
            </w:pPr>
            <w:r w:rsidRPr="00EB3D94">
              <w:rPr>
                <w:rFonts w:eastAsia="Calibri"/>
                <w:sz w:val="20"/>
                <w:lang w:val="es-ES" w:eastAsia="en-US"/>
              </w:rPr>
              <w:t>SI</w:t>
            </w:r>
          </w:p>
        </w:tc>
      </w:tr>
      <w:tr w:rsidR="00EB3D94" w:rsidRPr="00EB3D94" w14:paraId="1C072A77" w14:textId="77777777" w:rsidTr="007F3043">
        <w:trPr>
          <w:trHeight w:val="290"/>
        </w:trPr>
        <w:tc>
          <w:tcPr>
            <w:tcW w:w="7792" w:type="dxa"/>
            <w:tcBorders>
              <w:top w:val="nil"/>
              <w:left w:val="single" w:sz="4" w:space="0" w:color="auto"/>
              <w:bottom w:val="single" w:sz="4" w:space="0" w:color="auto"/>
              <w:right w:val="single" w:sz="4" w:space="0" w:color="auto"/>
            </w:tcBorders>
            <w:shd w:val="clear" w:color="000000" w:fill="FFFFFF"/>
            <w:vAlign w:val="center"/>
            <w:hideMark/>
          </w:tcPr>
          <w:p w14:paraId="4B5F310B" w14:textId="77777777" w:rsidR="00F4281C" w:rsidRPr="00EB3D94" w:rsidRDefault="00F4281C" w:rsidP="007F3043">
            <w:pPr>
              <w:rPr>
                <w:sz w:val="20"/>
                <w:lang w:val="es-ES"/>
              </w:rPr>
            </w:pPr>
            <w:r w:rsidRPr="00EB3D94">
              <w:rPr>
                <w:rFonts w:eastAsia="Calibri"/>
                <w:sz w:val="20"/>
                <w:lang w:val="es-ES" w:eastAsia="en-US"/>
              </w:rPr>
              <w:t xml:space="preserve">      (especificar los interlocutores).</w:t>
            </w:r>
          </w:p>
        </w:tc>
        <w:tc>
          <w:tcPr>
            <w:tcW w:w="1275" w:type="dxa"/>
            <w:vMerge/>
            <w:tcBorders>
              <w:top w:val="nil"/>
              <w:left w:val="single" w:sz="4" w:space="0" w:color="auto"/>
              <w:bottom w:val="single" w:sz="4" w:space="0" w:color="auto"/>
              <w:right w:val="single" w:sz="4" w:space="0" w:color="auto"/>
            </w:tcBorders>
            <w:vAlign w:val="center"/>
            <w:hideMark/>
          </w:tcPr>
          <w:p w14:paraId="1DE958FA" w14:textId="77777777" w:rsidR="00F4281C" w:rsidRPr="00EB3D94" w:rsidRDefault="00F4281C" w:rsidP="007F3043">
            <w:pPr>
              <w:rPr>
                <w:sz w:val="20"/>
                <w:lang w:val="es-ES"/>
              </w:rPr>
            </w:pPr>
          </w:p>
        </w:tc>
      </w:tr>
      <w:tr w:rsidR="00EB3D94" w:rsidRPr="00EB3D94" w14:paraId="313E6D30" w14:textId="77777777" w:rsidTr="007F3043">
        <w:trPr>
          <w:trHeight w:val="290"/>
        </w:trPr>
        <w:tc>
          <w:tcPr>
            <w:tcW w:w="7792" w:type="dxa"/>
            <w:tcBorders>
              <w:top w:val="nil"/>
              <w:left w:val="single" w:sz="4" w:space="0" w:color="auto"/>
              <w:bottom w:val="single" w:sz="4" w:space="0" w:color="auto"/>
              <w:right w:val="single" w:sz="4" w:space="0" w:color="auto"/>
            </w:tcBorders>
            <w:shd w:val="clear" w:color="000000" w:fill="FFFFFF"/>
            <w:vAlign w:val="center"/>
            <w:hideMark/>
          </w:tcPr>
          <w:p w14:paraId="59F4E12F" w14:textId="77777777" w:rsidR="00F4281C" w:rsidRPr="00EB3D94" w:rsidRDefault="00F4281C" w:rsidP="007F3043">
            <w:pPr>
              <w:ind w:firstLineChars="200" w:firstLine="400"/>
              <w:rPr>
                <w:sz w:val="20"/>
                <w:lang w:val="es-ES"/>
              </w:rPr>
            </w:pPr>
            <w:r w:rsidRPr="00EB3D94">
              <w:rPr>
                <w:rFonts w:eastAsia="Calibri"/>
                <w:sz w:val="20"/>
                <w:lang w:val="es-ES" w:eastAsia="en-US"/>
              </w:rPr>
              <w:t>b) Horario cobertura servicio (8h-17h)</w:t>
            </w:r>
          </w:p>
        </w:tc>
        <w:tc>
          <w:tcPr>
            <w:tcW w:w="1275" w:type="dxa"/>
            <w:tcBorders>
              <w:top w:val="nil"/>
              <w:left w:val="nil"/>
              <w:bottom w:val="single" w:sz="4" w:space="0" w:color="auto"/>
              <w:right w:val="single" w:sz="4" w:space="0" w:color="auto"/>
            </w:tcBorders>
            <w:shd w:val="clear" w:color="000000" w:fill="FFFFFF"/>
            <w:vAlign w:val="center"/>
            <w:hideMark/>
          </w:tcPr>
          <w:p w14:paraId="226FACA1" w14:textId="77777777" w:rsidR="00F4281C" w:rsidRPr="00EB3D94" w:rsidRDefault="00F4281C" w:rsidP="007F3043">
            <w:pPr>
              <w:jc w:val="center"/>
              <w:rPr>
                <w:sz w:val="20"/>
                <w:lang w:val="es-ES"/>
              </w:rPr>
            </w:pPr>
            <w:r w:rsidRPr="00EB3D94">
              <w:rPr>
                <w:rFonts w:eastAsia="Calibri"/>
                <w:sz w:val="20"/>
                <w:lang w:val="es-ES" w:eastAsia="en-US"/>
              </w:rPr>
              <w:t>SI</w:t>
            </w:r>
          </w:p>
        </w:tc>
      </w:tr>
      <w:tr w:rsidR="00EB3D94" w:rsidRPr="00EB3D94" w14:paraId="7DB4F280" w14:textId="77777777" w:rsidTr="007F3043">
        <w:trPr>
          <w:trHeight w:val="290"/>
        </w:trPr>
        <w:tc>
          <w:tcPr>
            <w:tcW w:w="7792" w:type="dxa"/>
            <w:tcBorders>
              <w:top w:val="nil"/>
              <w:left w:val="single" w:sz="4" w:space="0" w:color="auto"/>
              <w:bottom w:val="single" w:sz="4" w:space="0" w:color="auto"/>
              <w:right w:val="single" w:sz="4" w:space="0" w:color="auto"/>
            </w:tcBorders>
            <w:shd w:val="clear" w:color="000000" w:fill="FFFFFF"/>
            <w:vAlign w:val="center"/>
            <w:hideMark/>
          </w:tcPr>
          <w:p w14:paraId="42EF95F7" w14:textId="2216284E" w:rsidR="00F4281C" w:rsidRPr="00EB3D94" w:rsidRDefault="00F4281C" w:rsidP="007F3043">
            <w:pPr>
              <w:ind w:firstLineChars="200" w:firstLine="400"/>
              <w:rPr>
                <w:sz w:val="20"/>
                <w:lang w:val="es-ES"/>
              </w:rPr>
            </w:pPr>
            <w:r w:rsidRPr="00EB3D94">
              <w:rPr>
                <w:rFonts w:eastAsia="Calibri"/>
                <w:sz w:val="20"/>
                <w:lang w:val="es-ES" w:eastAsia="en-US"/>
              </w:rPr>
              <w:t>c) Mínimo operación de endeudamiento de la Tesorería Corporativa (70 millones€)</w:t>
            </w:r>
          </w:p>
        </w:tc>
        <w:tc>
          <w:tcPr>
            <w:tcW w:w="1275" w:type="dxa"/>
            <w:tcBorders>
              <w:top w:val="nil"/>
              <w:left w:val="nil"/>
              <w:bottom w:val="single" w:sz="4" w:space="0" w:color="auto"/>
              <w:right w:val="single" w:sz="4" w:space="0" w:color="auto"/>
            </w:tcBorders>
            <w:shd w:val="clear" w:color="000000" w:fill="FFFFFF"/>
            <w:vAlign w:val="center"/>
            <w:hideMark/>
          </w:tcPr>
          <w:p w14:paraId="7C59022A" w14:textId="77777777" w:rsidR="00F4281C" w:rsidRPr="00EB3D94" w:rsidRDefault="00F4281C" w:rsidP="007F3043">
            <w:pPr>
              <w:jc w:val="center"/>
              <w:rPr>
                <w:sz w:val="20"/>
                <w:lang w:val="es-ES"/>
              </w:rPr>
            </w:pPr>
            <w:r w:rsidRPr="00EB3D94">
              <w:rPr>
                <w:rFonts w:eastAsia="Calibri"/>
                <w:sz w:val="20"/>
                <w:lang w:val="es-ES" w:eastAsia="en-US"/>
              </w:rPr>
              <w:t>SI</w:t>
            </w:r>
          </w:p>
        </w:tc>
      </w:tr>
      <w:tr w:rsidR="00EB3D94" w:rsidRPr="00EB3D94" w14:paraId="5960F741" w14:textId="77777777" w:rsidTr="007F3043">
        <w:trPr>
          <w:trHeight w:val="290"/>
        </w:trPr>
        <w:tc>
          <w:tcPr>
            <w:tcW w:w="7792" w:type="dxa"/>
            <w:tcBorders>
              <w:top w:val="nil"/>
              <w:left w:val="single" w:sz="4" w:space="0" w:color="auto"/>
              <w:bottom w:val="nil"/>
              <w:right w:val="single" w:sz="4" w:space="0" w:color="auto"/>
            </w:tcBorders>
            <w:shd w:val="clear" w:color="000000" w:fill="FFFFFF"/>
            <w:vAlign w:val="center"/>
            <w:hideMark/>
          </w:tcPr>
          <w:p w14:paraId="21C81269" w14:textId="77777777" w:rsidR="00F4281C" w:rsidRPr="00EB3D94" w:rsidRDefault="00F4281C" w:rsidP="007F3043">
            <w:pPr>
              <w:ind w:firstLineChars="200" w:firstLine="400"/>
              <w:rPr>
                <w:sz w:val="20"/>
                <w:lang w:val="es-ES"/>
              </w:rPr>
            </w:pPr>
            <w:r w:rsidRPr="00EB3D94">
              <w:rPr>
                <w:rFonts w:eastAsia="Calibri"/>
                <w:sz w:val="20"/>
                <w:lang w:val="es-ES" w:eastAsia="en-US"/>
              </w:rPr>
              <w:t>d) Coste máximo aplicable a les operaciones de endeudamiento a corto plazo de la Tesorería Corporativa:</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3770E01" w14:textId="77777777" w:rsidR="00F4281C" w:rsidRPr="00EB3D94" w:rsidRDefault="00F4281C" w:rsidP="007F3043">
            <w:pPr>
              <w:jc w:val="center"/>
              <w:rPr>
                <w:sz w:val="20"/>
                <w:lang w:val="es-ES"/>
              </w:rPr>
            </w:pPr>
            <w:r w:rsidRPr="00EB3D94">
              <w:rPr>
                <w:rFonts w:eastAsia="Calibri"/>
                <w:sz w:val="20"/>
                <w:lang w:val="es-ES" w:eastAsia="en-US"/>
              </w:rPr>
              <w:t>SI</w:t>
            </w:r>
          </w:p>
        </w:tc>
      </w:tr>
      <w:tr w:rsidR="00EB3D94" w:rsidRPr="00EB3D94" w14:paraId="5929E6DF" w14:textId="77777777" w:rsidTr="007F3043">
        <w:trPr>
          <w:trHeight w:val="567"/>
        </w:trPr>
        <w:tc>
          <w:tcPr>
            <w:tcW w:w="7792" w:type="dxa"/>
            <w:tcBorders>
              <w:top w:val="nil"/>
              <w:left w:val="single" w:sz="4" w:space="0" w:color="auto"/>
              <w:bottom w:val="single" w:sz="4" w:space="0" w:color="auto"/>
              <w:right w:val="single" w:sz="4" w:space="0" w:color="auto"/>
            </w:tcBorders>
            <w:shd w:val="clear" w:color="000000" w:fill="FFFFFF"/>
            <w:hideMark/>
          </w:tcPr>
          <w:p w14:paraId="77FA6FF9" w14:textId="77777777" w:rsidR="00F4281C" w:rsidRPr="00EB3D94" w:rsidRDefault="00F4281C" w:rsidP="007F3043">
            <w:pPr>
              <w:jc w:val="both"/>
              <w:rPr>
                <w:sz w:val="20"/>
                <w:lang w:val="es-ES"/>
              </w:rPr>
            </w:pPr>
            <w:r w:rsidRPr="00EB3D94">
              <w:rPr>
                <w:sz w:val="20"/>
                <w:lang w:val="es-ES"/>
              </w:rPr>
              <w:t xml:space="preserve">El coste máximo de las operaciones de endeudamiento se tendrá que fijar conforme al principio de prudencia financiera al cual hace referencia la Resolución de 4 de julio de 2017 de la Secretaría General del Tesoro y Política Financiera del Ministerio de Asuntos Económicos y Transformación Digital (ahora Ministerio de Economía, Comercio y Empresa). No se podrá cobrar ningún gasto adicional o comisión que las previstas en la resolución mencionada. El coste máximo se calculará en el momento de la apertura del proceso de licitación según lo previsto en el anexo 1 de la mencionada Resolución. En caso de prórroga del contrato, el coste máximo se calculará en la fecha de firma del acuerdo de prórroga del contrato de conformidad con lo previsto en el anexo 1 de la mencionada Resolución ya que es la fecha en que </w:t>
            </w:r>
            <w:r w:rsidRPr="00EB3D94">
              <w:rPr>
                <w:sz w:val="20"/>
                <w:lang w:val="es-ES"/>
              </w:rPr>
              <w:lastRenderedPageBreak/>
              <w:t>se hace efectivo el acuerdo expreso entre las partes.</w:t>
            </w:r>
          </w:p>
        </w:tc>
        <w:tc>
          <w:tcPr>
            <w:tcW w:w="1275" w:type="dxa"/>
            <w:vMerge/>
            <w:tcBorders>
              <w:top w:val="nil"/>
              <w:left w:val="single" w:sz="4" w:space="0" w:color="auto"/>
              <w:bottom w:val="single" w:sz="4" w:space="0" w:color="000000"/>
              <w:right w:val="single" w:sz="4" w:space="0" w:color="auto"/>
            </w:tcBorders>
            <w:vAlign w:val="center"/>
            <w:hideMark/>
          </w:tcPr>
          <w:p w14:paraId="5DA68ADB" w14:textId="77777777" w:rsidR="00F4281C" w:rsidRPr="00EB3D94" w:rsidRDefault="00F4281C" w:rsidP="007F3043">
            <w:pPr>
              <w:rPr>
                <w:sz w:val="20"/>
                <w:lang w:val="es-ES"/>
              </w:rPr>
            </w:pPr>
          </w:p>
        </w:tc>
      </w:tr>
    </w:tbl>
    <w:p w14:paraId="0D6A2567" w14:textId="77777777" w:rsidR="00F4281C" w:rsidRPr="00EB3D94" w:rsidRDefault="00F4281C" w:rsidP="00F4281C">
      <w:pPr>
        <w:pStyle w:val="Pargrafdellista"/>
        <w:autoSpaceDE w:val="0"/>
        <w:autoSpaceDN w:val="0"/>
        <w:adjustRightInd w:val="0"/>
        <w:spacing w:after="220"/>
        <w:ind w:left="360"/>
        <w:jc w:val="both"/>
        <w:rPr>
          <w:sz w:val="20"/>
          <w:u w:val="thick"/>
          <w:lang w:val="es-ES"/>
        </w:rPr>
      </w:pPr>
    </w:p>
    <w:p w14:paraId="378AE7C2" w14:textId="47150B95" w:rsidR="00F4281C" w:rsidRPr="00EB3D94" w:rsidRDefault="00F4281C" w:rsidP="00F4281C">
      <w:pPr>
        <w:pStyle w:val="Pargrafdellista"/>
        <w:numPr>
          <w:ilvl w:val="0"/>
          <w:numId w:val="66"/>
        </w:numPr>
        <w:autoSpaceDE w:val="0"/>
        <w:autoSpaceDN w:val="0"/>
        <w:adjustRightInd w:val="0"/>
        <w:spacing w:after="220"/>
        <w:jc w:val="both"/>
        <w:rPr>
          <w:sz w:val="20"/>
          <w:u w:val="thick"/>
          <w:lang w:val="es-ES"/>
        </w:rPr>
      </w:pPr>
      <w:r w:rsidRPr="00EB3D94">
        <w:rPr>
          <w:sz w:val="20"/>
          <w:u w:val="thick"/>
          <w:lang w:val="es-ES"/>
        </w:rPr>
        <w:t>Declaración de compromiso de dar cobertura a los requerimientos mínimos imprescindibles máximo a los tres meses del inicio de ejecución del contrato – LOTE 2</w:t>
      </w:r>
    </w:p>
    <w:tbl>
      <w:tblPr>
        <w:tblW w:w="9209" w:type="dxa"/>
        <w:tblCellMar>
          <w:left w:w="70" w:type="dxa"/>
          <w:right w:w="70" w:type="dxa"/>
        </w:tblCellMar>
        <w:tblLook w:val="04A0" w:firstRow="1" w:lastRow="0" w:firstColumn="1" w:lastColumn="0" w:noHBand="0" w:noVBand="1"/>
      </w:tblPr>
      <w:tblGrid>
        <w:gridCol w:w="7879"/>
        <w:gridCol w:w="1330"/>
      </w:tblGrid>
      <w:tr w:rsidR="00EB3D94" w:rsidRPr="00EB3D94" w14:paraId="7A77126D" w14:textId="77777777" w:rsidTr="007F3043">
        <w:trPr>
          <w:trHeight w:val="460"/>
        </w:trPr>
        <w:tc>
          <w:tcPr>
            <w:tcW w:w="8075"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66E9C2C8" w14:textId="77777777" w:rsidR="00F4281C" w:rsidRPr="00EB3D94" w:rsidRDefault="00F4281C" w:rsidP="007F3043">
            <w:pPr>
              <w:rPr>
                <w:b/>
                <w:bCs/>
                <w:sz w:val="20"/>
                <w:lang w:val="es-ES"/>
              </w:rPr>
            </w:pPr>
            <w:r w:rsidRPr="00EB3D94">
              <w:rPr>
                <w:rFonts w:eastAsia="Calibri"/>
                <w:b/>
                <w:bCs/>
                <w:sz w:val="20"/>
                <w:lang w:val="es-ES" w:eastAsia="en-US"/>
              </w:rPr>
              <w:t xml:space="preserve">Requerimientos </w:t>
            </w:r>
          </w:p>
        </w:tc>
        <w:tc>
          <w:tcPr>
            <w:tcW w:w="1134" w:type="dxa"/>
            <w:tcBorders>
              <w:top w:val="single" w:sz="4" w:space="0" w:color="auto"/>
              <w:left w:val="nil"/>
              <w:bottom w:val="single" w:sz="4" w:space="0" w:color="auto"/>
              <w:right w:val="single" w:sz="4" w:space="0" w:color="auto"/>
            </w:tcBorders>
            <w:shd w:val="clear" w:color="000000" w:fill="D6DCE4"/>
            <w:vAlign w:val="center"/>
            <w:hideMark/>
          </w:tcPr>
          <w:p w14:paraId="30E27389" w14:textId="77777777" w:rsidR="00F4281C" w:rsidRPr="00EB3D94" w:rsidRDefault="00F4281C" w:rsidP="007F3043">
            <w:pPr>
              <w:jc w:val="center"/>
              <w:rPr>
                <w:sz w:val="20"/>
                <w:lang w:val="es-ES"/>
              </w:rPr>
            </w:pPr>
            <w:r w:rsidRPr="00EB3D94">
              <w:rPr>
                <w:rFonts w:eastAsia="Calibri"/>
                <w:sz w:val="20"/>
                <w:lang w:val="es-ES" w:eastAsia="en-US"/>
              </w:rPr>
              <w:t>Compromiso/ Cumplimento</w:t>
            </w:r>
          </w:p>
        </w:tc>
      </w:tr>
      <w:tr w:rsidR="00EB3D94" w:rsidRPr="00EB3D94" w14:paraId="4107089E" w14:textId="77777777" w:rsidTr="007F3043">
        <w:trPr>
          <w:trHeight w:val="1380"/>
        </w:trPr>
        <w:tc>
          <w:tcPr>
            <w:tcW w:w="8075" w:type="dxa"/>
            <w:tcBorders>
              <w:top w:val="nil"/>
              <w:left w:val="single" w:sz="4" w:space="0" w:color="auto"/>
              <w:bottom w:val="single" w:sz="4" w:space="0" w:color="auto"/>
              <w:right w:val="single" w:sz="4" w:space="0" w:color="auto"/>
            </w:tcBorders>
            <w:shd w:val="clear" w:color="auto" w:fill="auto"/>
            <w:hideMark/>
          </w:tcPr>
          <w:p w14:paraId="450AE0A0" w14:textId="77777777" w:rsidR="00F4281C" w:rsidRPr="00EB3D94" w:rsidRDefault="00F4281C" w:rsidP="007F3043">
            <w:pPr>
              <w:rPr>
                <w:b/>
                <w:bCs/>
                <w:sz w:val="20"/>
                <w:lang w:val="es-ES"/>
              </w:rPr>
            </w:pPr>
            <w:r w:rsidRPr="00EB3D94">
              <w:rPr>
                <w:b/>
                <w:bCs/>
                <w:sz w:val="20"/>
                <w:lang w:val="es-ES"/>
              </w:rPr>
              <w:t>Adaptación técnica pagos cotizaciones Seguridad Social:</w:t>
            </w:r>
          </w:p>
          <w:p w14:paraId="4D582BDF" w14:textId="77777777" w:rsidR="00F4281C" w:rsidRPr="00EB3D94" w:rsidRDefault="00F4281C" w:rsidP="007F3043">
            <w:pPr>
              <w:rPr>
                <w:sz w:val="20"/>
                <w:lang w:val="es-ES"/>
              </w:rPr>
            </w:pPr>
            <w:r w:rsidRPr="00EB3D94">
              <w:rPr>
                <w:sz w:val="20"/>
                <w:lang w:val="es-ES"/>
              </w:rPr>
              <w:t xml:space="preserve">Como requerimientos mínimos imprescindibles máximo a los tres meses del inicio de ejecución del contrato per a les entidades adjudicatarias del LOTE 2, estas entidades tendrán que disponer de las adaptaciones técnicas necesarias con el fin de poder vehicular a través de </w:t>
            </w:r>
            <w:proofErr w:type="spellStart"/>
            <w:r w:rsidRPr="00EB3D94">
              <w:rPr>
                <w:sz w:val="20"/>
                <w:lang w:val="es-ES"/>
              </w:rPr>
              <w:t>Editran</w:t>
            </w:r>
            <w:proofErr w:type="spellEnd"/>
            <w:r w:rsidRPr="00EB3D94">
              <w:rPr>
                <w:sz w:val="20"/>
                <w:lang w:val="es-ES"/>
              </w:rPr>
              <w:t xml:space="preserve"> v5.2 y mediante el uso de transferencias SEPA ISO 20022 el pago de documentos con código de barras estandarizado y normalizado (cuaderno 64, por ejemplo, 581-Tesorería de la Seguridad Social)</w:t>
            </w:r>
          </w:p>
        </w:tc>
        <w:tc>
          <w:tcPr>
            <w:tcW w:w="1134" w:type="dxa"/>
            <w:tcBorders>
              <w:top w:val="nil"/>
              <w:left w:val="nil"/>
              <w:bottom w:val="single" w:sz="4" w:space="0" w:color="auto"/>
              <w:right w:val="single" w:sz="4" w:space="0" w:color="auto"/>
            </w:tcBorders>
            <w:shd w:val="clear" w:color="000000" w:fill="FFFFFF"/>
            <w:vAlign w:val="center"/>
            <w:hideMark/>
          </w:tcPr>
          <w:p w14:paraId="4A97EA5F" w14:textId="77777777" w:rsidR="00F4281C" w:rsidRPr="00EB3D94" w:rsidRDefault="00F4281C" w:rsidP="007F3043">
            <w:pPr>
              <w:jc w:val="center"/>
              <w:rPr>
                <w:sz w:val="20"/>
                <w:lang w:val="es-ES"/>
              </w:rPr>
            </w:pPr>
            <w:r w:rsidRPr="00EB3D94">
              <w:rPr>
                <w:rFonts w:eastAsia="Calibri"/>
                <w:sz w:val="20"/>
                <w:lang w:val="es-ES" w:eastAsia="en-US"/>
              </w:rPr>
              <w:t>SI</w:t>
            </w:r>
          </w:p>
        </w:tc>
      </w:tr>
    </w:tbl>
    <w:p w14:paraId="45E26187" w14:textId="77777777" w:rsidR="00F4281C" w:rsidRPr="00EB3D94" w:rsidRDefault="00F4281C" w:rsidP="00F4281C">
      <w:pPr>
        <w:rPr>
          <w:sz w:val="20"/>
          <w:lang w:val="es-ES"/>
        </w:rPr>
      </w:pPr>
    </w:p>
    <w:p w14:paraId="18C44080" w14:textId="77777777" w:rsidR="00F4281C" w:rsidRPr="00EB3D94" w:rsidRDefault="00F4281C" w:rsidP="00F4281C">
      <w:pPr>
        <w:rPr>
          <w:sz w:val="20"/>
          <w:lang w:val="es-ES"/>
        </w:rPr>
      </w:pPr>
    </w:p>
    <w:p w14:paraId="3BEB3AC7" w14:textId="77777777" w:rsidR="00F4281C" w:rsidRPr="00EB3D94" w:rsidRDefault="00F4281C" w:rsidP="00F4281C">
      <w:pPr>
        <w:rPr>
          <w:sz w:val="20"/>
          <w:lang w:val="es-ES"/>
        </w:rPr>
      </w:pPr>
    </w:p>
    <w:p w14:paraId="4A3ABAAF" w14:textId="77777777" w:rsidR="00F4281C" w:rsidRPr="00EB3D94" w:rsidRDefault="00F4281C" w:rsidP="00F4281C">
      <w:pPr>
        <w:rPr>
          <w:b/>
          <w:sz w:val="20"/>
          <w:lang w:val="es-ES"/>
        </w:rPr>
      </w:pPr>
      <w:r w:rsidRPr="00EB3D94">
        <w:rPr>
          <w:sz w:val="20"/>
          <w:lang w:val="es-ES"/>
        </w:rPr>
        <w:t>Firma de la entidad licitadora:</w:t>
      </w:r>
    </w:p>
    <w:p w14:paraId="5944D8C8" w14:textId="77777777" w:rsidR="003B293F" w:rsidRPr="00EB3D94" w:rsidRDefault="003B293F" w:rsidP="00BC4866">
      <w:pPr>
        <w:pStyle w:val="Default"/>
        <w:jc w:val="both"/>
        <w:rPr>
          <w:b/>
          <w:color w:val="auto"/>
          <w:sz w:val="20"/>
          <w:szCs w:val="20"/>
          <w:lang w:val="es-ES"/>
        </w:rPr>
      </w:pPr>
      <w:r w:rsidRPr="00EB3D94">
        <w:rPr>
          <w:b/>
          <w:color w:val="auto"/>
          <w:sz w:val="20"/>
          <w:szCs w:val="20"/>
          <w:lang w:val="es-ES"/>
        </w:rPr>
        <w:br w:type="page"/>
      </w:r>
    </w:p>
    <w:p w14:paraId="413D54A6" w14:textId="77777777" w:rsidR="008C7827" w:rsidRPr="00EB3D94" w:rsidRDefault="008C7827" w:rsidP="00BC4866">
      <w:pPr>
        <w:pStyle w:val="Default"/>
        <w:jc w:val="both"/>
        <w:rPr>
          <w:b/>
          <w:color w:val="auto"/>
          <w:sz w:val="20"/>
          <w:szCs w:val="20"/>
          <w:lang w:val="es-ES"/>
        </w:rPr>
      </w:pPr>
      <w:r w:rsidRPr="00EB3D94">
        <w:rPr>
          <w:b/>
          <w:color w:val="auto"/>
          <w:sz w:val="20"/>
          <w:szCs w:val="20"/>
          <w:lang w:val="es-ES"/>
        </w:rPr>
        <w:lastRenderedPageBreak/>
        <w:t>ANEXO 3.1</w:t>
      </w:r>
    </w:p>
    <w:p w14:paraId="68E53A52" w14:textId="77777777" w:rsidR="008C7827" w:rsidRPr="00EB3D94" w:rsidRDefault="008C7827" w:rsidP="00BC4866">
      <w:pPr>
        <w:pStyle w:val="Default"/>
        <w:jc w:val="both"/>
        <w:rPr>
          <w:b/>
          <w:color w:val="auto"/>
          <w:sz w:val="22"/>
          <w:szCs w:val="22"/>
          <w:u w:val="single"/>
          <w:lang w:val="es-ES"/>
        </w:rPr>
      </w:pPr>
    </w:p>
    <w:p w14:paraId="0CA38F9F" w14:textId="77777777" w:rsidR="00C91820" w:rsidRPr="00EB3D94" w:rsidRDefault="00C91820" w:rsidP="00C91820">
      <w:pPr>
        <w:rPr>
          <w:b/>
          <w:bCs/>
          <w:sz w:val="20"/>
          <w:u w:val="thick"/>
          <w:lang w:val="es-ES"/>
        </w:rPr>
      </w:pPr>
      <w:r w:rsidRPr="00EB3D94">
        <w:rPr>
          <w:b/>
          <w:bCs/>
          <w:sz w:val="20"/>
          <w:u w:val="thick"/>
          <w:lang w:val="es-ES"/>
        </w:rPr>
        <w:t xml:space="preserve">Condiciones de los servicios financieros que tendrán que ofrecer las Entidades Financieras que se presenten al LOTE 1.  A valorar. </w:t>
      </w:r>
    </w:p>
    <w:p w14:paraId="54A63BB0" w14:textId="77777777" w:rsidR="00C91820" w:rsidRPr="00EB3D94" w:rsidRDefault="00C91820" w:rsidP="00C91820">
      <w:pPr>
        <w:rPr>
          <w:b/>
          <w:bCs/>
          <w:sz w:val="20"/>
          <w:u w:val="thick"/>
          <w:lang w:val="es-ES"/>
        </w:rPr>
      </w:pPr>
    </w:p>
    <w:p w14:paraId="79C981F4" w14:textId="77777777" w:rsidR="00C91820" w:rsidRPr="00EB3D94" w:rsidRDefault="00C91820" w:rsidP="00C91820">
      <w:pPr>
        <w:pStyle w:val="Pargrafdellista"/>
        <w:numPr>
          <w:ilvl w:val="0"/>
          <w:numId w:val="61"/>
        </w:numPr>
        <w:autoSpaceDE w:val="0"/>
        <w:autoSpaceDN w:val="0"/>
        <w:adjustRightInd w:val="0"/>
        <w:spacing w:after="220"/>
        <w:jc w:val="both"/>
        <w:rPr>
          <w:b/>
          <w:bCs/>
          <w:sz w:val="20"/>
          <w:u w:val="thick"/>
          <w:lang w:val="es-ES"/>
        </w:rPr>
      </w:pPr>
      <w:r w:rsidRPr="00EB3D94">
        <w:rPr>
          <w:b/>
          <w:bCs/>
          <w:sz w:val="20"/>
          <w:u w:val="thick"/>
          <w:lang w:val="es-ES"/>
        </w:rPr>
        <w:t>Coste de mantenimiento mensual del servicio de Cash-</w:t>
      </w:r>
      <w:proofErr w:type="spellStart"/>
      <w:r w:rsidRPr="00EB3D94">
        <w:rPr>
          <w:b/>
          <w:bCs/>
          <w:sz w:val="20"/>
          <w:u w:val="thick"/>
          <w:lang w:val="es-ES"/>
        </w:rPr>
        <w:t>pooling</w:t>
      </w:r>
      <w:proofErr w:type="spellEnd"/>
    </w:p>
    <w:tbl>
      <w:tblPr>
        <w:tblW w:w="9209" w:type="dxa"/>
        <w:tblCellMar>
          <w:left w:w="70" w:type="dxa"/>
          <w:right w:w="70" w:type="dxa"/>
        </w:tblCellMar>
        <w:tblLook w:val="04A0" w:firstRow="1" w:lastRow="0" w:firstColumn="1" w:lastColumn="0" w:noHBand="0" w:noVBand="1"/>
      </w:tblPr>
      <w:tblGrid>
        <w:gridCol w:w="6091"/>
        <w:gridCol w:w="3118"/>
      </w:tblGrid>
      <w:tr w:rsidR="00EB3D94" w:rsidRPr="00EB3D94" w14:paraId="0E9A6B8D" w14:textId="77777777" w:rsidTr="007F3043">
        <w:trPr>
          <w:trHeight w:val="640"/>
        </w:trPr>
        <w:tc>
          <w:tcPr>
            <w:tcW w:w="6091"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428B5A83" w14:textId="77777777" w:rsidR="00C91820" w:rsidRPr="00EB3D94" w:rsidRDefault="00C91820" w:rsidP="007F3043">
            <w:pPr>
              <w:rPr>
                <w:b/>
                <w:bCs/>
                <w:sz w:val="20"/>
                <w:lang w:val="es-ES"/>
              </w:rPr>
            </w:pPr>
            <w:r w:rsidRPr="00EB3D94">
              <w:rPr>
                <w:b/>
                <w:bCs/>
                <w:sz w:val="20"/>
                <w:lang w:val="es-ES"/>
              </w:rPr>
              <w:t> </w:t>
            </w:r>
          </w:p>
        </w:tc>
        <w:tc>
          <w:tcPr>
            <w:tcW w:w="3118" w:type="dxa"/>
            <w:tcBorders>
              <w:top w:val="single" w:sz="4" w:space="0" w:color="auto"/>
              <w:left w:val="nil"/>
              <w:bottom w:val="single" w:sz="4" w:space="0" w:color="auto"/>
              <w:right w:val="single" w:sz="4" w:space="0" w:color="auto"/>
            </w:tcBorders>
            <w:shd w:val="clear" w:color="000000" w:fill="D6DCE4"/>
            <w:vAlign w:val="center"/>
            <w:hideMark/>
          </w:tcPr>
          <w:p w14:paraId="771C2A94" w14:textId="77777777" w:rsidR="00C91820" w:rsidRPr="00EB3D94" w:rsidRDefault="00C91820" w:rsidP="007F3043">
            <w:pPr>
              <w:jc w:val="center"/>
              <w:rPr>
                <w:b/>
                <w:bCs/>
                <w:sz w:val="20"/>
                <w:lang w:val="es-ES"/>
              </w:rPr>
            </w:pPr>
            <w:r w:rsidRPr="00EB3D94">
              <w:rPr>
                <w:rFonts w:eastAsia="Calibri"/>
                <w:b/>
                <w:bCs/>
                <w:sz w:val="20"/>
                <w:lang w:val="es-ES" w:eastAsia="en-US"/>
              </w:rPr>
              <w:t>Coste mensual</w:t>
            </w:r>
            <w:r w:rsidRPr="00EB3D94">
              <w:rPr>
                <w:rFonts w:eastAsia="Calibri"/>
                <w:b/>
                <w:bCs/>
                <w:sz w:val="20"/>
                <w:lang w:val="es-ES" w:eastAsia="en-US"/>
              </w:rPr>
              <w:br/>
              <w:t xml:space="preserve">servicio de cash </w:t>
            </w:r>
            <w:proofErr w:type="spellStart"/>
            <w:r w:rsidRPr="00EB3D94">
              <w:rPr>
                <w:rFonts w:eastAsia="Calibri"/>
                <w:b/>
                <w:bCs/>
                <w:sz w:val="20"/>
                <w:lang w:val="es-ES" w:eastAsia="en-US"/>
              </w:rPr>
              <w:t>pooling</w:t>
            </w:r>
            <w:proofErr w:type="spellEnd"/>
          </w:p>
        </w:tc>
      </w:tr>
      <w:tr w:rsidR="00EB3D94" w:rsidRPr="00EB3D94" w14:paraId="6D7CAF7A" w14:textId="77777777" w:rsidTr="007F3043">
        <w:trPr>
          <w:trHeight w:val="290"/>
        </w:trPr>
        <w:tc>
          <w:tcPr>
            <w:tcW w:w="6091" w:type="dxa"/>
            <w:tcBorders>
              <w:top w:val="nil"/>
              <w:left w:val="single" w:sz="4" w:space="0" w:color="auto"/>
              <w:bottom w:val="single" w:sz="4" w:space="0" w:color="auto"/>
              <w:right w:val="single" w:sz="4" w:space="0" w:color="auto"/>
            </w:tcBorders>
            <w:shd w:val="clear" w:color="000000" w:fill="FFFFFF"/>
            <w:vAlign w:val="center"/>
            <w:hideMark/>
          </w:tcPr>
          <w:p w14:paraId="551CB665" w14:textId="77777777" w:rsidR="00C91820" w:rsidRPr="00EB3D94" w:rsidRDefault="00C91820" w:rsidP="007F3043">
            <w:pPr>
              <w:rPr>
                <w:sz w:val="20"/>
                <w:lang w:val="es-ES"/>
              </w:rPr>
            </w:pPr>
            <w:r w:rsidRPr="00EB3D94">
              <w:rPr>
                <w:sz w:val="20"/>
                <w:lang w:val="es-ES"/>
              </w:rPr>
              <w:t xml:space="preserve">Coste del servicio de cash </w:t>
            </w:r>
            <w:proofErr w:type="spellStart"/>
            <w:r w:rsidRPr="00EB3D94">
              <w:rPr>
                <w:sz w:val="20"/>
                <w:lang w:val="es-ES"/>
              </w:rPr>
              <w:t>pooling</w:t>
            </w:r>
            <w:proofErr w:type="spellEnd"/>
            <w:r w:rsidRPr="00EB3D94">
              <w:rPr>
                <w:sz w:val="20"/>
                <w:lang w:val="es-ES"/>
              </w:rPr>
              <w:t xml:space="preserve"> por Entidad Pública </w:t>
            </w:r>
            <w:r w:rsidRPr="00EB3D94">
              <w:rPr>
                <w:sz w:val="20"/>
                <w:lang w:val="es-ES"/>
              </w:rPr>
              <w:br/>
              <w:t>(máximo de 950 euros por cuenta corriente)</w:t>
            </w:r>
          </w:p>
        </w:tc>
        <w:tc>
          <w:tcPr>
            <w:tcW w:w="3118" w:type="dxa"/>
            <w:tcBorders>
              <w:top w:val="nil"/>
              <w:left w:val="nil"/>
              <w:bottom w:val="single" w:sz="4" w:space="0" w:color="auto"/>
              <w:right w:val="single" w:sz="4" w:space="0" w:color="auto"/>
            </w:tcBorders>
            <w:shd w:val="clear" w:color="000000" w:fill="FFFFFF"/>
            <w:vAlign w:val="center"/>
            <w:hideMark/>
          </w:tcPr>
          <w:p w14:paraId="498E270B" w14:textId="77777777" w:rsidR="00C91820" w:rsidRPr="00EB3D94" w:rsidRDefault="00C91820" w:rsidP="007F3043">
            <w:pPr>
              <w:jc w:val="center"/>
              <w:rPr>
                <w:sz w:val="20"/>
                <w:lang w:val="es-ES"/>
              </w:rPr>
            </w:pPr>
            <w:r w:rsidRPr="00EB3D94">
              <w:rPr>
                <w:rFonts w:eastAsia="Calibri"/>
                <w:sz w:val="20"/>
                <w:lang w:val="es-ES" w:eastAsia="en-US"/>
              </w:rPr>
              <w:t>--, -- € por cuenta corriente</w:t>
            </w:r>
          </w:p>
        </w:tc>
      </w:tr>
    </w:tbl>
    <w:p w14:paraId="6364DD65" w14:textId="77777777" w:rsidR="00C91820" w:rsidRPr="00EB3D94" w:rsidRDefault="00C91820" w:rsidP="00C91820">
      <w:pPr>
        <w:rPr>
          <w:b/>
          <w:bCs/>
          <w:sz w:val="20"/>
          <w:u w:val="thick"/>
          <w:lang w:val="es-ES"/>
        </w:rPr>
      </w:pPr>
    </w:p>
    <w:p w14:paraId="2F8E521F" w14:textId="77777777" w:rsidR="00C91820" w:rsidRPr="00EB3D94" w:rsidRDefault="00C91820" w:rsidP="00C91820">
      <w:pPr>
        <w:pStyle w:val="Pargrafdellista"/>
        <w:numPr>
          <w:ilvl w:val="0"/>
          <w:numId w:val="61"/>
        </w:numPr>
        <w:autoSpaceDE w:val="0"/>
        <w:autoSpaceDN w:val="0"/>
        <w:adjustRightInd w:val="0"/>
        <w:spacing w:after="220"/>
        <w:jc w:val="both"/>
        <w:rPr>
          <w:b/>
          <w:bCs/>
          <w:sz w:val="20"/>
          <w:u w:val="thick"/>
          <w:lang w:val="es-ES"/>
        </w:rPr>
      </w:pPr>
      <w:r w:rsidRPr="00EB3D94">
        <w:rPr>
          <w:b/>
          <w:bCs/>
          <w:sz w:val="20"/>
          <w:u w:val="thick"/>
          <w:lang w:val="es-ES"/>
        </w:rPr>
        <w:t>Importe de las operaciones de endeudamiento a corto plazo de la Tesorería Corporativa</w:t>
      </w:r>
    </w:p>
    <w:tbl>
      <w:tblPr>
        <w:tblW w:w="9209" w:type="dxa"/>
        <w:tblCellMar>
          <w:left w:w="70" w:type="dxa"/>
          <w:right w:w="70" w:type="dxa"/>
        </w:tblCellMar>
        <w:tblLook w:val="04A0" w:firstRow="1" w:lastRow="0" w:firstColumn="1" w:lastColumn="0" w:noHBand="0" w:noVBand="1"/>
      </w:tblPr>
      <w:tblGrid>
        <w:gridCol w:w="6091"/>
        <w:gridCol w:w="3118"/>
      </w:tblGrid>
      <w:tr w:rsidR="00EB3D94" w:rsidRPr="00EB3D94" w14:paraId="43737953" w14:textId="77777777" w:rsidTr="007F3043">
        <w:trPr>
          <w:trHeight w:val="640"/>
        </w:trPr>
        <w:tc>
          <w:tcPr>
            <w:tcW w:w="6091"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01F12E5B" w14:textId="77777777" w:rsidR="00C91820" w:rsidRPr="00EB3D94" w:rsidRDefault="00C91820" w:rsidP="007F3043">
            <w:pPr>
              <w:rPr>
                <w:b/>
                <w:bCs/>
                <w:sz w:val="20"/>
                <w:lang w:val="es-ES"/>
              </w:rPr>
            </w:pPr>
            <w:r w:rsidRPr="00EB3D94">
              <w:rPr>
                <w:b/>
                <w:bCs/>
                <w:sz w:val="20"/>
                <w:lang w:val="es-ES"/>
              </w:rPr>
              <w:t> </w:t>
            </w:r>
          </w:p>
        </w:tc>
        <w:tc>
          <w:tcPr>
            <w:tcW w:w="3118" w:type="dxa"/>
            <w:tcBorders>
              <w:top w:val="single" w:sz="4" w:space="0" w:color="auto"/>
              <w:left w:val="nil"/>
              <w:bottom w:val="single" w:sz="4" w:space="0" w:color="auto"/>
              <w:right w:val="single" w:sz="4" w:space="0" w:color="auto"/>
            </w:tcBorders>
            <w:shd w:val="clear" w:color="000000" w:fill="D6DCE4"/>
            <w:vAlign w:val="center"/>
            <w:hideMark/>
          </w:tcPr>
          <w:p w14:paraId="1C8C0A4A" w14:textId="77777777" w:rsidR="00C91820" w:rsidRPr="00EB3D94" w:rsidRDefault="00C91820" w:rsidP="007F3043">
            <w:pPr>
              <w:jc w:val="center"/>
              <w:rPr>
                <w:b/>
                <w:bCs/>
                <w:sz w:val="20"/>
                <w:lang w:val="es-ES"/>
              </w:rPr>
            </w:pPr>
            <w:r w:rsidRPr="00EB3D94">
              <w:rPr>
                <w:rFonts w:eastAsia="Calibri"/>
                <w:b/>
                <w:bCs/>
                <w:sz w:val="20"/>
                <w:lang w:val="es-ES" w:eastAsia="en-US"/>
              </w:rPr>
              <w:t>Importe Ofrecido (Mínimo 400M€)</w:t>
            </w:r>
          </w:p>
        </w:tc>
      </w:tr>
      <w:tr w:rsidR="00EB3D94" w:rsidRPr="00EB3D94" w14:paraId="6CED68E8" w14:textId="77777777" w:rsidTr="007F3043">
        <w:trPr>
          <w:trHeight w:val="290"/>
        </w:trPr>
        <w:tc>
          <w:tcPr>
            <w:tcW w:w="6091" w:type="dxa"/>
            <w:tcBorders>
              <w:top w:val="nil"/>
              <w:left w:val="single" w:sz="4" w:space="0" w:color="auto"/>
              <w:bottom w:val="single" w:sz="4" w:space="0" w:color="auto"/>
              <w:right w:val="single" w:sz="4" w:space="0" w:color="auto"/>
            </w:tcBorders>
            <w:shd w:val="clear" w:color="000000" w:fill="FFFFFF"/>
            <w:vAlign w:val="center"/>
            <w:hideMark/>
          </w:tcPr>
          <w:p w14:paraId="400237B9" w14:textId="77777777" w:rsidR="00C91820" w:rsidRPr="00EB3D94" w:rsidRDefault="00C91820" w:rsidP="007F3043">
            <w:pPr>
              <w:rPr>
                <w:sz w:val="20"/>
                <w:lang w:val="es-ES"/>
              </w:rPr>
            </w:pPr>
            <w:r w:rsidRPr="00EB3D94">
              <w:rPr>
                <w:sz w:val="20"/>
                <w:lang w:val="es-ES"/>
              </w:rPr>
              <w:t>Indicar el importe global ofrecido de la operación de endeudamiento a corto plazo (mínimo 400M€)</w:t>
            </w:r>
          </w:p>
        </w:tc>
        <w:tc>
          <w:tcPr>
            <w:tcW w:w="3118" w:type="dxa"/>
            <w:tcBorders>
              <w:top w:val="nil"/>
              <w:left w:val="nil"/>
              <w:bottom w:val="single" w:sz="4" w:space="0" w:color="auto"/>
              <w:right w:val="single" w:sz="4" w:space="0" w:color="auto"/>
            </w:tcBorders>
            <w:shd w:val="clear" w:color="000000" w:fill="FFFFFF"/>
            <w:vAlign w:val="center"/>
            <w:hideMark/>
          </w:tcPr>
          <w:p w14:paraId="3020947E" w14:textId="77777777" w:rsidR="00C91820" w:rsidRPr="00EB3D94" w:rsidRDefault="00C91820" w:rsidP="007F3043">
            <w:pPr>
              <w:jc w:val="center"/>
              <w:rPr>
                <w:sz w:val="20"/>
                <w:lang w:val="es-ES"/>
              </w:rPr>
            </w:pPr>
          </w:p>
        </w:tc>
      </w:tr>
    </w:tbl>
    <w:p w14:paraId="6ADE82E4" w14:textId="77777777" w:rsidR="00C91820" w:rsidRPr="00EB3D94" w:rsidRDefault="00C91820" w:rsidP="00C91820">
      <w:pPr>
        <w:rPr>
          <w:b/>
          <w:bCs/>
          <w:sz w:val="20"/>
          <w:u w:val="thick"/>
          <w:lang w:val="es-ES"/>
        </w:rPr>
      </w:pPr>
    </w:p>
    <w:p w14:paraId="75505358" w14:textId="77777777" w:rsidR="00C91820" w:rsidRPr="00EB3D94" w:rsidRDefault="00C91820" w:rsidP="00C91820">
      <w:pPr>
        <w:pStyle w:val="Pargrafdellista"/>
        <w:numPr>
          <w:ilvl w:val="0"/>
          <w:numId w:val="61"/>
        </w:numPr>
        <w:autoSpaceDE w:val="0"/>
        <w:autoSpaceDN w:val="0"/>
        <w:adjustRightInd w:val="0"/>
        <w:spacing w:after="220"/>
        <w:jc w:val="both"/>
        <w:rPr>
          <w:b/>
          <w:bCs/>
          <w:sz w:val="20"/>
          <w:u w:val="thick"/>
          <w:lang w:val="es-ES"/>
        </w:rPr>
      </w:pPr>
      <w:r w:rsidRPr="00EB3D94">
        <w:rPr>
          <w:b/>
          <w:bCs/>
          <w:sz w:val="20"/>
          <w:u w:val="thick"/>
          <w:lang w:val="es-ES"/>
        </w:rPr>
        <w:t>Coste transferencias nacionales y Unión Europea.</w:t>
      </w:r>
    </w:p>
    <w:tbl>
      <w:tblPr>
        <w:tblW w:w="9209" w:type="dxa"/>
        <w:tblCellMar>
          <w:left w:w="70" w:type="dxa"/>
          <w:right w:w="70" w:type="dxa"/>
        </w:tblCellMar>
        <w:tblLook w:val="04A0" w:firstRow="1" w:lastRow="0" w:firstColumn="1" w:lastColumn="0" w:noHBand="0" w:noVBand="1"/>
      </w:tblPr>
      <w:tblGrid>
        <w:gridCol w:w="6091"/>
        <w:gridCol w:w="3118"/>
      </w:tblGrid>
      <w:tr w:rsidR="00EB3D94" w:rsidRPr="00EB3D94" w14:paraId="7934CEA9" w14:textId="77777777" w:rsidTr="007F3043">
        <w:trPr>
          <w:trHeight w:val="640"/>
        </w:trPr>
        <w:tc>
          <w:tcPr>
            <w:tcW w:w="6091"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259A542D" w14:textId="77777777" w:rsidR="00C91820" w:rsidRPr="00EB3D94" w:rsidRDefault="00C91820" w:rsidP="007F3043">
            <w:pPr>
              <w:rPr>
                <w:b/>
                <w:bCs/>
                <w:sz w:val="20"/>
                <w:lang w:val="es-ES"/>
              </w:rPr>
            </w:pPr>
            <w:r w:rsidRPr="00EB3D94">
              <w:rPr>
                <w:b/>
                <w:bCs/>
                <w:sz w:val="20"/>
                <w:lang w:val="es-ES"/>
              </w:rPr>
              <w:t> Órdenes transferencias nacionales</w:t>
            </w:r>
          </w:p>
        </w:tc>
        <w:tc>
          <w:tcPr>
            <w:tcW w:w="3118" w:type="dxa"/>
            <w:tcBorders>
              <w:top w:val="single" w:sz="4" w:space="0" w:color="auto"/>
              <w:left w:val="nil"/>
              <w:bottom w:val="single" w:sz="4" w:space="0" w:color="auto"/>
              <w:right w:val="single" w:sz="4" w:space="0" w:color="auto"/>
            </w:tcBorders>
            <w:shd w:val="clear" w:color="000000" w:fill="D6DCE4"/>
            <w:vAlign w:val="center"/>
            <w:hideMark/>
          </w:tcPr>
          <w:p w14:paraId="2C9C09E8" w14:textId="77777777" w:rsidR="00C91820" w:rsidRPr="00EB3D94" w:rsidRDefault="00C91820" w:rsidP="007F3043">
            <w:pPr>
              <w:jc w:val="center"/>
              <w:rPr>
                <w:rFonts w:eastAsia="Calibri"/>
                <w:b/>
                <w:bCs/>
                <w:sz w:val="20"/>
                <w:lang w:val="es-ES" w:eastAsia="en-US"/>
              </w:rPr>
            </w:pPr>
            <w:r w:rsidRPr="00EB3D94">
              <w:rPr>
                <w:rFonts w:eastAsia="Calibri"/>
                <w:b/>
                <w:bCs/>
                <w:sz w:val="20"/>
                <w:lang w:val="es-ES" w:eastAsia="en-US"/>
              </w:rPr>
              <w:t>Coste (porcentaje, no superior al 0,062%, sobre volumen estimado operativa transaccional.)</w:t>
            </w:r>
          </w:p>
        </w:tc>
      </w:tr>
      <w:tr w:rsidR="00EB3D94" w:rsidRPr="00EB3D94" w14:paraId="27D43BCC" w14:textId="77777777" w:rsidTr="007F3043">
        <w:trPr>
          <w:trHeight w:val="290"/>
        </w:trPr>
        <w:tc>
          <w:tcPr>
            <w:tcW w:w="6091" w:type="dxa"/>
            <w:tcBorders>
              <w:top w:val="nil"/>
              <w:left w:val="single" w:sz="4" w:space="0" w:color="auto"/>
              <w:bottom w:val="single" w:sz="4" w:space="0" w:color="auto"/>
              <w:right w:val="single" w:sz="4" w:space="0" w:color="auto"/>
            </w:tcBorders>
            <w:shd w:val="clear" w:color="000000" w:fill="FFFFFF"/>
            <w:vAlign w:val="center"/>
            <w:hideMark/>
          </w:tcPr>
          <w:p w14:paraId="79E9313C" w14:textId="77777777" w:rsidR="00C91820" w:rsidRPr="00EB3D94" w:rsidRDefault="00C91820" w:rsidP="007F3043">
            <w:pPr>
              <w:jc w:val="both"/>
              <w:rPr>
                <w:sz w:val="20"/>
                <w:lang w:val="es-ES"/>
              </w:rPr>
            </w:pPr>
            <w:r w:rsidRPr="00EB3D94">
              <w:rPr>
                <w:sz w:val="20"/>
                <w:lang w:val="es-ES"/>
              </w:rPr>
              <w:t>Los costes anuales que se cobraran en concepto de operativa transaccional por transferencias nacionales ordenadas será como máximo el 0,062% del importe de las transferencias. El cálculo se efectuará sobre el volumen de la operativa transaccional anual estimada de 40.000 millones de euros anuales para el LOTE 1. Los costes que se calcularán para cada entidad financiera adjudicataria se obtendrán conforme a la siguiente fórmula: [(40.000 M€ x porcentaje a aplicar que no será superior a 0,062%) x porcentaje final de negocio]. El precio resultante se liquidará mensualmente (docenas partes).</w:t>
            </w:r>
          </w:p>
        </w:tc>
        <w:tc>
          <w:tcPr>
            <w:tcW w:w="3118" w:type="dxa"/>
            <w:tcBorders>
              <w:top w:val="nil"/>
              <w:left w:val="nil"/>
              <w:bottom w:val="single" w:sz="4" w:space="0" w:color="auto"/>
              <w:right w:val="single" w:sz="4" w:space="0" w:color="auto"/>
            </w:tcBorders>
            <w:shd w:val="clear" w:color="000000" w:fill="FFFFFF"/>
            <w:vAlign w:val="center"/>
            <w:hideMark/>
          </w:tcPr>
          <w:p w14:paraId="0212D724" w14:textId="77777777" w:rsidR="00C91820" w:rsidRPr="00EB3D94" w:rsidRDefault="00C91820" w:rsidP="007F3043">
            <w:pPr>
              <w:jc w:val="center"/>
              <w:rPr>
                <w:sz w:val="20"/>
                <w:lang w:val="es-ES"/>
              </w:rPr>
            </w:pPr>
          </w:p>
        </w:tc>
      </w:tr>
    </w:tbl>
    <w:p w14:paraId="1406D20A" w14:textId="77777777" w:rsidR="00C91820" w:rsidRPr="00EB3D94" w:rsidRDefault="00C91820" w:rsidP="00C91820">
      <w:pPr>
        <w:rPr>
          <w:b/>
          <w:bCs/>
          <w:sz w:val="20"/>
          <w:u w:val="thick"/>
          <w:lang w:val="es-ES"/>
        </w:rPr>
      </w:pPr>
    </w:p>
    <w:p w14:paraId="64B47457" w14:textId="77777777" w:rsidR="00C91820" w:rsidRPr="00EB3D94" w:rsidRDefault="00C91820" w:rsidP="00C91820">
      <w:pPr>
        <w:pStyle w:val="Pargrafdellista"/>
        <w:numPr>
          <w:ilvl w:val="0"/>
          <w:numId w:val="61"/>
        </w:numPr>
        <w:autoSpaceDE w:val="0"/>
        <w:autoSpaceDN w:val="0"/>
        <w:adjustRightInd w:val="0"/>
        <w:spacing w:after="220"/>
        <w:jc w:val="both"/>
        <w:rPr>
          <w:b/>
          <w:bCs/>
          <w:sz w:val="20"/>
          <w:u w:val="thick"/>
          <w:lang w:val="es-ES"/>
        </w:rPr>
      </w:pPr>
      <w:r w:rsidRPr="00EB3D94">
        <w:rPr>
          <w:b/>
          <w:bCs/>
          <w:sz w:val="20"/>
          <w:u w:val="thick"/>
          <w:lang w:val="es-ES"/>
        </w:rPr>
        <w:t>Porcentaje Líneas de crédito / Préstamo</w:t>
      </w:r>
    </w:p>
    <w:tbl>
      <w:tblPr>
        <w:tblW w:w="9209" w:type="dxa"/>
        <w:tblCellMar>
          <w:left w:w="70" w:type="dxa"/>
          <w:right w:w="70" w:type="dxa"/>
        </w:tblCellMar>
        <w:tblLook w:val="04A0" w:firstRow="1" w:lastRow="0" w:firstColumn="1" w:lastColumn="0" w:noHBand="0" w:noVBand="1"/>
      </w:tblPr>
      <w:tblGrid>
        <w:gridCol w:w="5807"/>
        <w:gridCol w:w="3402"/>
      </w:tblGrid>
      <w:tr w:rsidR="00EB3D94" w:rsidRPr="00EB3D94" w14:paraId="3BA4E56D" w14:textId="77777777" w:rsidTr="007F3043">
        <w:trPr>
          <w:trHeight w:val="640"/>
        </w:trPr>
        <w:tc>
          <w:tcPr>
            <w:tcW w:w="5807"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79E01BF9" w14:textId="77777777" w:rsidR="00C91820" w:rsidRPr="00EB3D94" w:rsidRDefault="00C91820" w:rsidP="007F3043">
            <w:pPr>
              <w:rPr>
                <w:b/>
                <w:bCs/>
                <w:sz w:val="20"/>
                <w:lang w:val="es-ES"/>
              </w:rPr>
            </w:pPr>
            <w:r w:rsidRPr="00EB3D94">
              <w:rPr>
                <w:b/>
                <w:bCs/>
                <w:sz w:val="20"/>
                <w:lang w:val="es-ES"/>
              </w:rPr>
              <w:t> </w:t>
            </w:r>
          </w:p>
        </w:tc>
        <w:tc>
          <w:tcPr>
            <w:tcW w:w="3402" w:type="dxa"/>
            <w:tcBorders>
              <w:top w:val="single" w:sz="4" w:space="0" w:color="auto"/>
              <w:left w:val="nil"/>
              <w:bottom w:val="single" w:sz="4" w:space="0" w:color="auto"/>
              <w:right w:val="single" w:sz="4" w:space="0" w:color="auto"/>
            </w:tcBorders>
            <w:shd w:val="clear" w:color="000000" w:fill="D6DCE4"/>
            <w:vAlign w:val="center"/>
            <w:hideMark/>
          </w:tcPr>
          <w:p w14:paraId="259E0EA7" w14:textId="77777777" w:rsidR="00C91820" w:rsidRPr="00EB3D94" w:rsidRDefault="00C91820" w:rsidP="007F3043">
            <w:pPr>
              <w:jc w:val="center"/>
              <w:rPr>
                <w:b/>
                <w:bCs/>
                <w:sz w:val="20"/>
                <w:lang w:val="es-ES"/>
              </w:rPr>
            </w:pPr>
            <w:r w:rsidRPr="00EB3D94">
              <w:rPr>
                <w:rFonts w:eastAsia="Calibri"/>
                <w:b/>
                <w:bCs/>
                <w:sz w:val="20"/>
                <w:lang w:val="es-ES" w:eastAsia="en-US"/>
              </w:rPr>
              <w:t>Preséntate del importe ofrecido en líneas de crédito (80% o 100%)</w:t>
            </w:r>
          </w:p>
        </w:tc>
      </w:tr>
      <w:tr w:rsidR="00EB3D94" w:rsidRPr="00EB3D94" w14:paraId="362A2DE9" w14:textId="77777777" w:rsidTr="007F3043">
        <w:trPr>
          <w:trHeight w:val="290"/>
        </w:trPr>
        <w:tc>
          <w:tcPr>
            <w:tcW w:w="5807" w:type="dxa"/>
            <w:tcBorders>
              <w:top w:val="nil"/>
              <w:left w:val="single" w:sz="4" w:space="0" w:color="auto"/>
              <w:bottom w:val="single" w:sz="4" w:space="0" w:color="auto"/>
              <w:right w:val="single" w:sz="4" w:space="0" w:color="auto"/>
            </w:tcBorders>
            <w:shd w:val="clear" w:color="000000" w:fill="FFFFFF"/>
            <w:vAlign w:val="center"/>
            <w:hideMark/>
          </w:tcPr>
          <w:p w14:paraId="40024863" w14:textId="77777777" w:rsidR="00C91820" w:rsidRPr="00EB3D94" w:rsidRDefault="00C91820" w:rsidP="007F3043">
            <w:pPr>
              <w:rPr>
                <w:sz w:val="20"/>
                <w:lang w:val="es-ES"/>
              </w:rPr>
            </w:pPr>
            <w:r w:rsidRPr="00EB3D94">
              <w:rPr>
                <w:sz w:val="20"/>
                <w:lang w:val="es-ES"/>
              </w:rPr>
              <w:t xml:space="preserve">Indicar si el porcentaje en línea de crédito es del 80% o del 100%. </w:t>
            </w:r>
          </w:p>
        </w:tc>
        <w:tc>
          <w:tcPr>
            <w:tcW w:w="3402" w:type="dxa"/>
            <w:tcBorders>
              <w:top w:val="nil"/>
              <w:left w:val="nil"/>
              <w:bottom w:val="single" w:sz="4" w:space="0" w:color="auto"/>
              <w:right w:val="single" w:sz="4" w:space="0" w:color="auto"/>
            </w:tcBorders>
            <w:shd w:val="clear" w:color="000000" w:fill="FFFFFF"/>
            <w:vAlign w:val="center"/>
            <w:hideMark/>
          </w:tcPr>
          <w:p w14:paraId="329FC3E0" w14:textId="77777777" w:rsidR="00C91820" w:rsidRPr="00EB3D94" w:rsidRDefault="00C91820" w:rsidP="007F3043">
            <w:pPr>
              <w:jc w:val="center"/>
              <w:rPr>
                <w:sz w:val="20"/>
                <w:lang w:val="es-ES"/>
              </w:rPr>
            </w:pPr>
          </w:p>
        </w:tc>
      </w:tr>
    </w:tbl>
    <w:p w14:paraId="0B300CB4" w14:textId="77777777" w:rsidR="00C91820" w:rsidRPr="00EB3D94" w:rsidRDefault="00C91820" w:rsidP="00C91820">
      <w:pPr>
        <w:rPr>
          <w:b/>
          <w:bCs/>
          <w:sz w:val="20"/>
          <w:u w:val="thick"/>
          <w:lang w:val="es-ES"/>
        </w:rPr>
      </w:pPr>
    </w:p>
    <w:p w14:paraId="4D640CB0" w14:textId="77777777" w:rsidR="00C91820" w:rsidRPr="00EB3D94" w:rsidRDefault="00C91820" w:rsidP="00C91820">
      <w:pPr>
        <w:pStyle w:val="Pargrafdellista"/>
        <w:numPr>
          <w:ilvl w:val="0"/>
          <w:numId w:val="61"/>
        </w:numPr>
        <w:autoSpaceDE w:val="0"/>
        <w:autoSpaceDN w:val="0"/>
        <w:adjustRightInd w:val="0"/>
        <w:spacing w:after="220"/>
        <w:jc w:val="both"/>
        <w:rPr>
          <w:b/>
          <w:bCs/>
          <w:sz w:val="20"/>
          <w:u w:val="thick"/>
          <w:lang w:val="es-ES"/>
        </w:rPr>
      </w:pPr>
      <w:r w:rsidRPr="00EB3D94">
        <w:rPr>
          <w:b/>
          <w:bCs/>
          <w:sz w:val="20"/>
          <w:u w:val="thick"/>
          <w:lang w:val="es-ES"/>
        </w:rPr>
        <w:t>Coste máximo aplicable a las operaciones de endeudamiento a corto plazo de la Tesorería corporativa</w:t>
      </w:r>
    </w:p>
    <w:tbl>
      <w:tblPr>
        <w:tblW w:w="9209" w:type="dxa"/>
        <w:tblCellMar>
          <w:left w:w="70" w:type="dxa"/>
          <w:right w:w="70" w:type="dxa"/>
        </w:tblCellMar>
        <w:tblLook w:val="04A0" w:firstRow="1" w:lastRow="0" w:firstColumn="1" w:lastColumn="0" w:noHBand="0" w:noVBand="1"/>
      </w:tblPr>
      <w:tblGrid>
        <w:gridCol w:w="5807"/>
        <w:gridCol w:w="3402"/>
      </w:tblGrid>
      <w:tr w:rsidR="00EB3D94" w:rsidRPr="00EB3D94" w14:paraId="5F3CD247" w14:textId="77777777" w:rsidTr="007F3043">
        <w:trPr>
          <w:trHeight w:val="640"/>
        </w:trPr>
        <w:tc>
          <w:tcPr>
            <w:tcW w:w="5807"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124797BA" w14:textId="77777777" w:rsidR="00C91820" w:rsidRPr="00EB3D94" w:rsidRDefault="00C91820" w:rsidP="007F3043">
            <w:pPr>
              <w:rPr>
                <w:b/>
                <w:bCs/>
                <w:sz w:val="20"/>
                <w:lang w:val="es-ES"/>
              </w:rPr>
            </w:pPr>
            <w:r w:rsidRPr="00EB3D94">
              <w:rPr>
                <w:b/>
                <w:bCs/>
                <w:sz w:val="20"/>
                <w:lang w:val="es-ES"/>
              </w:rPr>
              <w:t> </w:t>
            </w:r>
          </w:p>
        </w:tc>
        <w:tc>
          <w:tcPr>
            <w:tcW w:w="3402" w:type="dxa"/>
            <w:tcBorders>
              <w:top w:val="single" w:sz="4" w:space="0" w:color="auto"/>
              <w:left w:val="nil"/>
              <w:bottom w:val="single" w:sz="4" w:space="0" w:color="auto"/>
              <w:right w:val="single" w:sz="4" w:space="0" w:color="auto"/>
            </w:tcBorders>
            <w:shd w:val="clear" w:color="000000" w:fill="D6DCE4"/>
            <w:vAlign w:val="center"/>
            <w:hideMark/>
          </w:tcPr>
          <w:p w14:paraId="5F94819A" w14:textId="77777777" w:rsidR="00C91820" w:rsidRPr="00EB3D94" w:rsidRDefault="00C91820" w:rsidP="007F3043">
            <w:pPr>
              <w:jc w:val="center"/>
              <w:rPr>
                <w:b/>
                <w:bCs/>
                <w:sz w:val="20"/>
                <w:lang w:val="es-ES"/>
              </w:rPr>
            </w:pPr>
            <w:r w:rsidRPr="00EB3D94">
              <w:rPr>
                <w:rFonts w:eastAsia="Calibri"/>
                <w:b/>
                <w:bCs/>
                <w:sz w:val="20"/>
                <w:lang w:val="es-ES" w:eastAsia="en-US"/>
              </w:rPr>
              <w:t xml:space="preserve">Reducción sobre el diferencial máximo de 50 puntos básicos (en puntos básicos redondeado a tres decimales)  </w:t>
            </w:r>
          </w:p>
        </w:tc>
      </w:tr>
      <w:tr w:rsidR="00EB3D94" w:rsidRPr="00EB3D94" w14:paraId="0A448DCE" w14:textId="77777777" w:rsidTr="007F3043">
        <w:trPr>
          <w:trHeight w:val="290"/>
        </w:trPr>
        <w:tc>
          <w:tcPr>
            <w:tcW w:w="5807" w:type="dxa"/>
            <w:tcBorders>
              <w:top w:val="nil"/>
              <w:left w:val="single" w:sz="4" w:space="0" w:color="auto"/>
              <w:bottom w:val="single" w:sz="4" w:space="0" w:color="auto"/>
              <w:right w:val="single" w:sz="4" w:space="0" w:color="auto"/>
            </w:tcBorders>
            <w:shd w:val="clear" w:color="000000" w:fill="FFFFFF"/>
            <w:vAlign w:val="center"/>
            <w:hideMark/>
          </w:tcPr>
          <w:p w14:paraId="3B5BC5C2" w14:textId="77777777" w:rsidR="00C91820" w:rsidRPr="00EB3D94" w:rsidRDefault="00C91820" w:rsidP="007F3043">
            <w:pPr>
              <w:jc w:val="both"/>
              <w:rPr>
                <w:sz w:val="20"/>
                <w:lang w:val="es-ES"/>
              </w:rPr>
            </w:pPr>
            <w:r w:rsidRPr="00EB3D94">
              <w:rPr>
                <w:sz w:val="20"/>
                <w:lang w:val="es-ES" w:eastAsia="es-ES"/>
              </w:rPr>
              <w:t>Indicar la mejora en el diferencial a aplicar sobre el coste de financiamiento del Estado con una vida media equivalente expresado como reducción del diferencial máximo de 50 puntos básicos. Importe expresado en puntos básicos redondeado a tres decimales</w:t>
            </w:r>
            <w:r w:rsidRPr="00EB3D94">
              <w:rPr>
                <w:sz w:val="20"/>
                <w:lang w:val="es-ES"/>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14:paraId="4ABE86C2" w14:textId="77777777" w:rsidR="00C91820" w:rsidRPr="00EB3D94" w:rsidRDefault="00C91820" w:rsidP="007F3043">
            <w:pPr>
              <w:jc w:val="center"/>
              <w:rPr>
                <w:sz w:val="20"/>
                <w:lang w:val="es-ES"/>
              </w:rPr>
            </w:pPr>
          </w:p>
        </w:tc>
      </w:tr>
    </w:tbl>
    <w:p w14:paraId="0300DCB3" w14:textId="77777777" w:rsidR="00C91820" w:rsidRPr="00EB3D94" w:rsidRDefault="00C91820" w:rsidP="00C91820">
      <w:pPr>
        <w:pStyle w:val="Pargrafdellista"/>
        <w:numPr>
          <w:ilvl w:val="0"/>
          <w:numId w:val="61"/>
        </w:numPr>
        <w:autoSpaceDE w:val="0"/>
        <w:autoSpaceDN w:val="0"/>
        <w:adjustRightInd w:val="0"/>
        <w:spacing w:after="220"/>
        <w:jc w:val="both"/>
        <w:rPr>
          <w:b/>
          <w:bCs/>
          <w:sz w:val="20"/>
          <w:u w:val="thick"/>
          <w:lang w:val="es-ES"/>
        </w:rPr>
      </w:pPr>
      <w:r w:rsidRPr="00EB3D94">
        <w:rPr>
          <w:b/>
          <w:bCs/>
          <w:sz w:val="20"/>
          <w:u w:val="thick"/>
          <w:lang w:val="es-ES"/>
        </w:rPr>
        <w:t>Otros gastos operativa transaccional y otros productos</w:t>
      </w:r>
    </w:p>
    <w:p w14:paraId="531F6FBB" w14:textId="77777777" w:rsidR="00C91820" w:rsidRPr="00EB3D94" w:rsidRDefault="00C91820" w:rsidP="00C91820">
      <w:pPr>
        <w:pStyle w:val="Pargrafdellista"/>
        <w:numPr>
          <w:ilvl w:val="1"/>
          <w:numId w:val="60"/>
        </w:numPr>
        <w:autoSpaceDE w:val="0"/>
        <w:autoSpaceDN w:val="0"/>
        <w:adjustRightInd w:val="0"/>
        <w:spacing w:after="220"/>
        <w:jc w:val="both"/>
        <w:rPr>
          <w:sz w:val="20"/>
          <w:lang w:val="es-ES"/>
        </w:rPr>
      </w:pPr>
      <w:r w:rsidRPr="00EB3D94">
        <w:rPr>
          <w:sz w:val="20"/>
          <w:lang w:val="es-ES"/>
        </w:rPr>
        <w:t>Pagos</w:t>
      </w:r>
      <w:r w:rsidRPr="00EB3D94">
        <w:rPr>
          <w:spacing w:val="-4"/>
          <w:sz w:val="20"/>
          <w:lang w:val="es-ES"/>
        </w:rPr>
        <w:t xml:space="preserve"> </w:t>
      </w:r>
      <w:r w:rsidRPr="00EB3D94">
        <w:rPr>
          <w:sz w:val="20"/>
          <w:lang w:val="es-ES"/>
        </w:rPr>
        <w:t>internacionales</w:t>
      </w:r>
    </w:p>
    <w:tbl>
      <w:tblPr>
        <w:tblW w:w="9209" w:type="dxa"/>
        <w:tblCellMar>
          <w:left w:w="70" w:type="dxa"/>
          <w:right w:w="70" w:type="dxa"/>
        </w:tblCellMar>
        <w:tblLook w:val="04A0" w:firstRow="1" w:lastRow="0" w:firstColumn="1" w:lastColumn="0" w:noHBand="0" w:noVBand="1"/>
      </w:tblPr>
      <w:tblGrid>
        <w:gridCol w:w="5807"/>
        <w:gridCol w:w="3402"/>
      </w:tblGrid>
      <w:tr w:rsidR="00EB3D94" w:rsidRPr="00EB3D94" w14:paraId="7CFD20FC" w14:textId="77777777" w:rsidTr="007F3043">
        <w:trPr>
          <w:trHeight w:val="432"/>
        </w:trPr>
        <w:tc>
          <w:tcPr>
            <w:tcW w:w="5807"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780E3552" w14:textId="77777777" w:rsidR="00C91820" w:rsidRPr="00EB3D94" w:rsidRDefault="00C91820" w:rsidP="007F3043">
            <w:pPr>
              <w:rPr>
                <w:b/>
                <w:bCs/>
                <w:sz w:val="20"/>
                <w:lang w:val="es-ES"/>
              </w:rPr>
            </w:pPr>
            <w:r w:rsidRPr="00EB3D94">
              <w:rPr>
                <w:b/>
                <w:bCs/>
                <w:sz w:val="20"/>
                <w:lang w:val="es-ES"/>
              </w:rPr>
              <w:t> Operaciones internacionales / Pagos</w:t>
            </w:r>
          </w:p>
        </w:tc>
        <w:tc>
          <w:tcPr>
            <w:tcW w:w="3402" w:type="dxa"/>
            <w:tcBorders>
              <w:top w:val="single" w:sz="4" w:space="0" w:color="auto"/>
              <w:left w:val="nil"/>
              <w:bottom w:val="single" w:sz="4" w:space="0" w:color="auto"/>
              <w:right w:val="single" w:sz="4" w:space="0" w:color="auto"/>
            </w:tcBorders>
            <w:shd w:val="clear" w:color="000000" w:fill="D6DCE4"/>
            <w:vAlign w:val="center"/>
            <w:hideMark/>
          </w:tcPr>
          <w:p w14:paraId="54207A35" w14:textId="77777777" w:rsidR="00C91820" w:rsidRPr="00EB3D94" w:rsidRDefault="00C91820" w:rsidP="007F3043">
            <w:pPr>
              <w:jc w:val="center"/>
              <w:rPr>
                <w:b/>
                <w:bCs/>
                <w:sz w:val="20"/>
                <w:lang w:val="es-ES"/>
              </w:rPr>
            </w:pPr>
            <w:r w:rsidRPr="00EB3D94">
              <w:rPr>
                <w:rFonts w:eastAsia="Calibri"/>
                <w:b/>
                <w:bCs/>
                <w:sz w:val="20"/>
                <w:lang w:val="es-ES" w:eastAsia="en-US"/>
              </w:rPr>
              <w:t>Comisiones</w:t>
            </w:r>
          </w:p>
        </w:tc>
      </w:tr>
      <w:tr w:rsidR="00EB3D94" w:rsidRPr="00EB3D94" w14:paraId="4C27975B" w14:textId="77777777" w:rsidTr="007F3043">
        <w:trPr>
          <w:trHeight w:val="290"/>
        </w:trPr>
        <w:tc>
          <w:tcPr>
            <w:tcW w:w="5807" w:type="dxa"/>
            <w:tcBorders>
              <w:top w:val="nil"/>
              <w:left w:val="single" w:sz="4" w:space="0" w:color="auto"/>
              <w:bottom w:val="single" w:sz="4" w:space="0" w:color="auto"/>
              <w:right w:val="single" w:sz="4" w:space="0" w:color="auto"/>
            </w:tcBorders>
            <w:shd w:val="clear" w:color="000000" w:fill="FFFFFF"/>
            <w:vAlign w:val="center"/>
            <w:hideMark/>
          </w:tcPr>
          <w:p w14:paraId="15E76CAB" w14:textId="77777777" w:rsidR="00C91820" w:rsidRPr="00EB3D94" w:rsidRDefault="00C91820" w:rsidP="007F3043">
            <w:pPr>
              <w:rPr>
                <w:sz w:val="20"/>
                <w:lang w:val="es-ES"/>
              </w:rPr>
            </w:pPr>
            <w:r w:rsidRPr="00EB3D94">
              <w:rPr>
                <w:sz w:val="20"/>
                <w:lang w:val="es-ES"/>
              </w:rPr>
              <w:t>Transferencias (Importe mínimo / Importe máximo / % sobre importe</w:t>
            </w:r>
          </w:p>
        </w:tc>
        <w:tc>
          <w:tcPr>
            <w:tcW w:w="3402" w:type="dxa"/>
            <w:tcBorders>
              <w:top w:val="nil"/>
              <w:left w:val="nil"/>
              <w:bottom w:val="single" w:sz="4" w:space="0" w:color="auto"/>
              <w:right w:val="single" w:sz="4" w:space="0" w:color="auto"/>
            </w:tcBorders>
            <w:shd w:val="clear" w:color="000000" w:fill="FFFFFF"/>
            <w:vAlign w:val="center"/>
            <w:hideMark/>
          </w:tcPr>
          <w:p w14:paraId="6A409F2E" w14:textId="77777777" w:rsidR="00C91820" w:rsidRPr="00EB3D94" w:rsidRDefault="00C91820" w:rsidP="007F3043">
            <w:pPr>
              <w:jc w:val="center"/>
              <w:rPr>
                <w:sz w:val="20"/>
                <w:lang w:val="es-ES"/>
              </w:rPr>
            </w:pPr>
          </w:p>
        </w:tc>
      </w:tr>
    </w:tbl>
    <w:p w14:paraId="25E64A43" w14:textId="77777777" w:rsidR="00C91820" w:rsidRPr="00EB3D94" w:rsidRDefault="00C91820" w:rsidP="00C91820">
      <w:pPr>
        <w:rPr>
          <w:sz w:val="20"/>
          <w:lang w:val="es-ES"/>
        </w:rPr>
      </w:pPr>
    </w:p>
    <w:p w14:paraId="0EBBBBC4" w14:textId="77777777" w:rsidR="00C91820" w:rsidRPr="00EB3D94" w:rsidRDefault="00C91820" w:rsidP="00C91820">
      <w:pPr>
        <w:pStyle w:val="Pargrafdellista"/>
        <w:numPr>
          <w:ilvl w:val="1"/>
          <w:numId w:val="60"/>
        </w:numPr>
        <w:autoSpaceDE w:val="0"/>
        <w:autoSpaceDN w:val="0"/>
        <w:adjustRightInd w:val="0"/>
        <w:spacing w:after="220"/>
        <w:jc w:val="both"/>
        <w:rPr>
          <w:sz w:val="20"/>
          <w:lang w:val="es-ES"/>
        </w:rPr>
      </w:pPr>
      <w:r w:rsidRPr="00EB3D94">
        <w:rPr>
          <w:sz w:val="20"/>
          <w:lang w:val="es-ES"/>
        </w:rPr>
        <w:t>Pagos internacionales (en divisa)</w:t>
      </w:r>
    </w:p>
    <w:tbl>
      <w:tblPr>
        <w:tblW w:w="9209" w:type="dxa"/>
        <w:tblCellMar>
          <w:left w:w="70" w:type="dxa"/>
          <w:right w:w="70" w:type="dxa"/>
        </w:tblCellMar>
        <w:tblLook w:val="04A0" w:firstRow="1" w:lastRow="0" w:firstColumn="1" w:lastColumn="0" w:noHBand="0" w:noVBand="1"/>
      </w:tblPr>
      <w:tblGrid>
        <w:gridCol w:w="5807"/>
        <w:gridCol w:w="3402"/>
      </w:tblGrid>
      <w:tr w:rsidR="00EB3D94" w:rsidRPr="00EB3D94" w14:paraId="08267E51" w14:textId="77777777" w:rsidTr="007F3043">
        <w:trPr>
          <w:trHeight w:val="339"/>
        </w:trPr>
        <w:tc>
          <w:tcPr>
            <w:tcW w:w="5807"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531F165C" w14:textId="77777777" w:rsidR="00C91820" w:rsidRPr="00EB3D94" w:rsidRDefault="00C91820" w:rsidP="007F3043">
            <w:pPr>
              <w:rPr>
                <w:b/>
                <w:bCs/>
                <w:sz w:val="20"/>
                <w:lang w:val="es-ES"/>
              </w:rPr>
            </w:pPr>
            <w:r w:rsidRPr="00EB3D94">
              <w:rPr>
                <w:b/>
                <w:bCs/>
                <w:sz w:val="20"/>
                <w:lang w:val="es-ES"/>
              </w:rPr>
              <w:t> Operaciones internacionales / Pagos</w:t>
            </w:r>
          </w:p>
        </w:tc>
        <w:tc>
          <w:tcPr>
            <w:tcW w:w="3402" w:type="dxa"/>
            <w:tcBorders>
              <w:top w:val="single" w:sz="4" w:space="0" w:color="auto"/>
              <w:left w:val="nil"/>
              <w:bottom w:val="single" w:sz="4" w:space="0" w:color="auto"/>
              <w:right w:val="single" w:sz="4" w:space="0" w:color="auto"/>
            </w:tcBorders>
            <w:shd w:val="clear" w:color="000000" w:fill="D6DCE4"/>
            <w:vAlign w:val="center"/>
            <w:hideMark/>
          </w:tcPr>
          <w:p w14:paraId="6AA99E30" w14:textId="77777777" w:rsidR="00C91820" w:rsidRPr="00EB3D94" w:rsidRDefault="00C91820" w:rsidP="007F3043">
            <w:pPr>
              <w:jc w:val="center"/>
              <w:rPr>
                <w:b/>
                <w:bCs/>
                <w:sz w:val="20"/>
                <w:lang w:val="es-ES"/>
              </w:rPr>
            </w:pPr>
            <w:r w:rsidRPr="00EB3D94">
              <w:rPr>
                <w:rFonts w:eastAsia="Calibri"/>
                <w:b/>
                <w:bCs/>
                <w:sz w:val="20"/>
                <w:lang w:val="es-ES" w:eastAsia="en-US"/>
              </w:rPr>
              <w:t>Comisiones</w:t>
            </w:r>
          </w:p>
        </w:tc>
      </w:tr>
      <w:tr w:rsidR="00EB3D94" w:rsidRPr="00EB3D94" w14:paraId="76D06D44" w14:textId="77777777" w:rsidTr="007F3043">
        <w:trPr>
          <w:trHeight w:val="290"/>
        </w:trPr>
        <w:tc>
          <w:tcPr>
            <w:tcW w:w="5807" w:type="dxa"/>
            <w:tcBorders>
              <w:top w:val="nil"/>
              <w:left w:val="single" w:sz="4" w:space="0" w:color="auto"/>
              <w:bottom w:val="single" w:sz="4" w:space="0" w:color="auto"/>
              <w:right w:val="single" w:sz="4" w:space="0" w:color="auto"/>
            </w:tcBorders>
            <w:shd w:val="clear" w:color="000000" w:fill="FFFFFF"/>
            <w:vAlign w:val="center"/>
            <w:hideMark/>
          </w:tcPr>
          <w:p w14:paraId="47C8ABF6" w14:textId="77777777" w:rsidR="00C91820" w:rsidRPr="00EB3D94" w:rsidRDefault="00C91820" w:rsidP="007F3043">
            <w:pPr>
              <w:rPr>
                <w:sz w:val="20"/>
                <w:lang w:val="es-ES"/>
              </w:rPr>
            </w:pPr>
            <w:r w:rsidRPr="00EB3D94">
              <w:rPr>
                <w:sz w:val="20"/>
                <w:lang w:val="es-ES"/>
              </w:rPr>
              <w:t>Transferencias en divisa (Importe mínimo / Importe máximo / % sobre importe</w:t>
            </w:r>
          </w:p>
        </w:tc>
        <w:tc>
          <w:tcPr>
            <w:tcW w:w="3402" w:type="dxa"/>
            <w:tcBorders>
              <w:top w:val="nil"/>
              <w:left w:val="nil"/>
              <w:bottom w:val="single" w:sz="4" w:space="0" w:color="auto"/>
              <w:right w:val="single" w:sz="4" w:space="0" w:color="auto"/>
            </w:tcBorders>
            <w:shd w:val="clear" w:color="000000" w:fill="FFFFFF"/>
            <w:vAlign w:val="center"/>
            <w:hideMark/>
          </w:tcPr>
          <w:p w14:paraId="7879E198" w14:textId="77777777" w:rsidR="00C91820" w:rsidRPr="00EB3D94" w:rsidRDefault="00C91820" w:rsidP="007F3043">
            <w:pPr>
              <w:jc w:val="center"/>
              <w:rPr>
                <w:sz w:val="20"/>
                <w:lang w:val="es-ES"/>
              </w:rPr>
            </w:pPr>
          </w:p>
        </w:tc>
      </w:tr>
    </w:tbl>
    <w:p w14:paraId="34FCBD05" w14:textId="77777777" w:rsidR="00C91820" w:rsidRPr="00EB3D94" w:rsidRDefault="00C91820" w:rsidP="00C91820">
      <w:pPr>
        <w:autoSpaceDE w:val="0"/>
        <w:autoSpaceDN w:val="0"/>
        <w:adjustRightInd w:val="0"/>
        <w:jc w:val="both"/>
        <w:rPr>
          <w:sz w:val="20"/>
          <w:lang w:val="es-ES"/>
        </w:rPr>
      </w:pPr>
    </w:p>
    <w:p w14:paraId="5EEC3145" w14:textId="77777777" w:rsidR="00C91820" w:rsidRPr="00EB3D94" w:rsidRDefault="00C91820" w:rsidP="00C91820">
      <w:pPr>
        <w:pStyle w:val="Pargrafdellista"/>
        <w:numPr>
          <w:ilvl w:val="1"/>
          <w:numId w:val="60"/>
        </w:numPr>
        <w:autoSpaceDE w:val="0"/>
        <w:autoSpaceDN w:val="0"/>
        <w:adjustRightInd w:val="0"/>
        <w:spacing w:after="220"/>
        <w:jc w:val="both"/>
        <w:rPr>
          <w:sz w:val="20"/>
          <w:lang w:val="es-ES"/>
        </w:rPr>
      </w:pPr>
      <w:r w:rsidRPr="00EB3D94">
        <w:rPr>
          <w:sz w:val="20"/>
          <w:lang w:val="es-ES"/>
        </w:rPr>
        <w:t>Cobros</w:t>
      </w:r>
      <w:r w:rsidRPr="00EB3D94">
        <w:rPr>
          <w:spacing w:val="-8"/>
          <w:sz w:val="20"/>
          <w:lang w:val="es-ES"/>
        </w:rPr>
        <w:t xml:space="preserve"> </w:t>
      </w:r>
      <w:r w:rsidRPr="00EB3D94">
        <w:rPr>
          <w:sz w:val="20"/>
          <w:lang w:val="es-ES"/>
        </w:rPr>
        <w:t>internacionales</w:t>
      </w:r>
    </w:p>
    <w:tbl>
      <w:tblPr>
        <w:tblW w:w="9209" w:type="dxa"/>
        <w:tblCellMar>
          <w:left w:w="70" w:type="dxa"/>
          <w:right w:w="70" w:type="dxa"/>
        </w:tblCellMar>
        <w:tblLook w:val="04A0" w:firstRow="1" w:lastRow="0" w:firstColumn="1" w:lastColumn="0" w:noHBand="0" w:noVBand="1"/>
      </w:tblPr>
      <w:tblGrid>
        <w:gridCol w:w="5807"/>
        <w:gridCol w:w="3402"/>
      </w:tblGrid>
      <w:tr w:rsidR="00EB3D94" w:rsidRPr="00EB3D94" w14:paraId="182D19D8" w14:textId="77777777" w:rsidTr="007F3043">
        <w:trPr>
          <w:trHeight w:val="419"/>
        </w:trPr>
        <w:tc>
          <w:tcPr>
            <w:tcW w:w="5807"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262B16B5" w14:textId="77777777" w:rsidR="00C91820" w:rsidRPr="00EB3D94" w:rsidRDefault="00C91820" w:rsidP="007F3043">
            <w:pPr>
              <w:rPr>
                <w:b/>
                <w:bCs/>
                <w:sz w:val="20"/>
                <w:lang w:val="es-ES"/>
              </w:rPr>
            </w:pPr>
            <w:r w:rsidRPr="00EB3D94">
              <w:rPr>
                <w:b/>
                <w:bCs/>
                <w:sz w:val="20"/>
                <w:lang w:val="es-ES"/>
              </w:rPr>
              <w:t> Operaciones internacionales / Cobros</w:t>
            </w:r>
          </w:p>
        </w:tc>
        <w:tc>
          <w:tcPr>
            <w:tcW w:w="3402" w:type="dxa"/>
            <w:tcBorders>
              <w:top w:val="single" w:sz="4" w:space="0" w:color="auto"/>
              <w:left w:val="nil"/>
              <w:bottom w:val="single" w:sz="4" w:space="0" w:color="auto"/>
              <w:right w:val="single" w:sz="4" w:space="0" w:color="auto"/>
            </w:tcBorders>
            <w:shd w:val="clear" w:color="000000" w:fill="D6DCE4"/>
            <w:vAlign w:val="center"/>
            <w:hideMark/>
          </w:tcPr>
          <w:p w14:paraId="5E12F425" w14:textId="77777777" w:rsidR="00C91820" w:rsidRPr="00EB3D94" w:rsidRDefault="00C91820" w:rsidP="007F3043">
            <w:pPr>
              <w:jc w:val="center"/>
              <w:rPr>
                <w:b/>
                <w:bCs/>
                <w:sz w:val="20"/>
                <w:lang w:val="es-ES"/>
              </w:rPr>
            </w:pPr>
            <w:r w:rsidRPr="00EB3D94">
              <w:rPr>
                <w:rFonts w:eastAsia="Calibri"/>
                <w:b/>
                <w:bCs/>
                <w:sz w:val="20"/>
                <w:lang w:val="es-ES" w:eastAsia="en-US"/>
              </w:rPr>
              <w:t>Comisiones</w:t>
            </w:r>
          </w:p>
        </w:tc>
      </w:tr>
      <w:tr w:rsidR="00EB3D94" w:rsidRPr="00EB3D94" w14:paraId="5D87E6D1" w14:textId="77777777" w:rsidTr="007F3043">
        <w:trPr>
          <w:trHeight w:val="290"/>
        </w:trPr>
        <w:tc>
          <w:tcPr>
            <w:tcW w:w="5807" w:type="dxa"/>
            <w:tcBorders>
              <w:top w:val="nil"/>
              <w:left w:val="single" w:sz="4" w:space="0" w:color="auto"/>
              <w:bottom w:val="single" w:sz="4" w:space="0" w:color="auto"/>
              <w:right w:val="single" w:sz="4" w:space="0" w:color="auto"/>
            </w:tcBorders>
            <w:shd w:val="clear" w:color="000000" w:fill="FFFFFF"/>
            <w:vAlign w:val="center"/>
            <w:hideMark/>
          </w:tcPr>
          <w:p w14:paraId="15452440" w14:textId="77777777" w:rsidR="00C91820" w:rsidRPr="00EB3D94" w:rsidRDefault="00C91820" w:rsidP="007F3043">
            <w:pPr>
              <w:rPr>
                <w:sz w:val="20"/>
                <w:lang w:val="es-ES"/>
              </w:rPr>
            </w:pPr>
            <w:r w:rsidRPr="00EB3D94">
              <w:rPr>
                <w:sz w:val="20"/>
                <w:lang w:val="es-ES"/>
              </w:rPr>
              <w:t>Transferencias (Importe mínimo / Importe máximo / % sobre importe)</w:t>
            </w:r>
          </w:p>
        </w:tc>
        <w:tc>
          <w:tcPr>
            <w:tcW w:w="3402" w:type="dxa"/>
            <w:tcBorders>
              <w:top w:val="nil"/>
              <w:left w:val="nil"/>
              <w:bottom w:val="single" w:sz="4" w:space="0" w:color="auto"/>
              <w:right w:val="single" w:sz="4" w:space="0" w:color="auto"/>
            </w:tcBorders>
            <w:shd w:val="clear" w:color="000000" w:fill="FFFFFF"/>
            <w:vAlign w:val="center"/>
            <w:hideMark/>
          </w:tcPr>
          <w:p w14:paraId="188C683F" w14:textId="77777777" w:rsidR="00C91820" w:rsidRPr="00EB3D94" w:rsidRDefault="00C91820" w:rsidP="007F3043">
            <w:pPr>
              <w:jc w:val="center"/>
              <w:rPr>
                <w:sz w:val="20"/>
                <w:lang w:val="es-ES"/>
              </w:rPr>
            </w:pPr>
          </w:p>
        </w:tc>
      </w:tr>
    </w:tbl>
    <w:p w14:paraId="41AEC707" w14:textId="77777777" w:rsidR="00C91820" w:rsidRPr="00EB3D94" w:rsidRDefault="00C91820" w:rsidP="00C91820">
      <w:pPr>
        <w:rPr>
          <w:sz w:val="20"/>
          <w:lang w:val="es-ES"/>
        </w:rPr>
      </w:pPr>
    </w:p>
    <w:p w14:paraId="69162EFB" w14:textId="77777777" w:rsidR="00C91820" w:rsidRPr="00EB3D94" w:rsidRDefault="00C91820" w:rsidP="00C91820">
      <w:pPr>
        <w:pStyle w:val="Pargrafdellista"/>
        <w:numPr>
          <w:ilvl w:val="1"/>
          <w:numId w:val="60"/>
        </w:numPr>
        <w:autoSpaceDE w:val="0"/>
        <w:autoSpaceDN w:val="0"/>
        <w:adjustRightInd w:val="0"/>
        <w:spacing w:after="220"/>
        <w:jc w:val="both"/>
        <w:rPr>
          <w:sz w:val="20"/>
          <w:lang w:val="es-ES"/>
        </w:rPr>
      </w:pPr>
      <w:r w:rsidRPr="00EB3D94">
        <w:rPr>
          <w:sz w:val="20"/>
          <w:lang w:val="es-ES"/>
        </w:rPr>
        <w:t>Cobros</w:t>
      </w:r>
      <w:r w:rsidRPr="00EB3D94">
        <w:rPr>
          <w:spacing w:val="-3"/>
          <w:sz w:val="20"/>
          <w:lang w:val="es-ES"/>
        </w:rPr>
        <w:t xml:space="preserve"> </w:t>
      </w:r>
      <w:r w:rsidRPr="00EB3D94">
        <w:rPr>
          <w:sz w:val="20"/>
          <w:lang w:val="es-ES"/>
        </w:rPr>
        <w:t>Tarjetas</w:t>
      </w:r>
      <w:r w:rsidRPr="00EB3D94">
        <w:rPr>
          <w:spacing w:val="-3"/>
          <w:sz w:val="20"/>
          <w:lang w:val="es-ES"/>
        </w:rPr>
        <w:t xml:space="preserve"> </w:t>
      </w:r>
      <w:r w:rsidRPr="00EB3D94">
        <w:rPr>
          <w:sz w:val="20"/>
          <w:lang w:val="es-ES"/>
        </w:rPr>
        <w:t>/</w:t>
      </w:r>
      <w:r w:rsidRPr="00EB3D94">
        <w:rPr>
          <w:spacing w:val="-3"/>
          <w:sz w:val="20"/>
          <w:lang w:val="es-ES"/>
        </w:rPr>
        <w:t xml:space="preserve"> </w:t>
      </w:r>
      <w:r w:rsidRPr="00EB3D94">
        <w:rPr>
          <w:sz w:val="20"/>
          <w:lang w:val="es-ES"/>
        </w:rPr>
        <w:t>TPV</w:t>
      </w:r>
    </w:p>
    <w:tbl>
      <w:tblPr>
        <w:tblW w:w="9209" w:type="dxa"/>
        <w:tblCellMar>
          <w:left w:w="70" w:type="dxa"/>
          <w:right w:w="70" w:type="dxa"/>
        </w:tblCellMar>
        <w:tblLook w:val="04A0" w:firstRow="1" w:lastRow="0" w:firstColumn="1" w:lastColumn="0" w:noHBand="0" w:noVBand="1"/>
      </w:tblPr>
      <w:tblGrid>
        <w:gridCol w:w="5807"/>
        <w:gridCol w:w="3402"/>
      </w:tblGrid>
      <w:tr w:rsidR="00EB3D94" w:rsidRPr="00EB3D94" w14:paraId="1C6CBC07" w14:textId="77777777" w:rsidTr="007F3043">
        <w:trPr>
          <w:trHeight w:val="341"/>
        </w:trPr>
        <w:tc>
          <w:tcPr>
            <w:tcW w:w="5807"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1315526A" w14:textId="77777777" w:rsidR="00C91820" w:rsidRPr="00EB3D94" w:rsidRDefault="00C91820" w:rsidP="007F3043">
            <w:pPr>
              <w:rPr>
                <w:b/>
                <w:bCs/>
                <w:sz w:val="20"/>
                <w:lang w:val="es-ES"/>
              </w:rPr>
            </w:pPr>
            <w:r w:rsidRPr="00EB3D94">
              <w:rPr>
                <w:b/>
                <w:bCs/>
                <w:sz w:val="20"/>
                <w:lang w:val="es-ES"/>
              </w:rPr>
              <w:t> Cobros</w:t>
            </w:r>
          </w:p>
        </w:tc>
        <w:tc>
          <w:tcPr>
            <w:tcW w:w="3402" w:type="dxa"/>
            <w:tcBorders>
              <w:top w:val="single" w:sz="4" w:space="0" w:color="auto"/>
              <w:left w:val="nil"/>
              <w:bottom w:val="single" w:sz="4" w:space="0" w:color="auto"/>
              <w:right w:val="single" w:sz="4" w:space="0" w:color="auto"/>
            </w:tcBorders>
            <w:shd w:val="clear" w:color="000000" w:fill="D6DCE4"/>
            <w:vAlign w:val="center"/>
            <w:hideMark/>
          </w:tcPr>
          <w:p w14:paraId="34077052" w14:textId="77777777" w:rsidR="00C91820" w:rsidRPr="00EB3D94" w:rsidRDefault="00C91820" w:rsidP="007F3043">
            <w:pPr>
              <w:jc w:val="center"/>
              <w:rPr>
                <w:b/>
                <w:bCs/>
                <w:sz w:val="20"/>
                <w:lang w:val="es-ES"/>
              </w:rPr>
            </w:pPr>
            <w:r w:rsidRPr="00EB3D94">
              <w:rPr>
                <w:rFonts w:eastAsia="Calibri"/>
                <w:b/>
                <w:bCs/>
                <w:sz w:val="20"/>
                <w:lang w:val="es-ES" w:eastAsia="en-US"/>
              </w:rPr>
              <w:t>Coste</w:t>
            </w:r>
          </w:p>
        </w:tc>
      </w:tr>
      <w:tr w:rsidR="00EB3D94" w:rsidRPr="00EB3D94" w14:paraId="546F75DF" w14:textId="77777777" w:rsidTr="007F3043">
        <w:trPr>
          <w:trHeight w:val="290"/>
        </w:trPr>
        <w:tc>
          <w:tcPr>
            <w:tcW w:w="5807" w:type="dxa"/>
            <w:tcBorders>
              <w:top w:val="nil"/>
              <w:left w:val="single" w:sz="4" w:space="0" w:color="auto"/>
              <w:bottom w:val="single" w:sz="4" w:space="0" w:color="auto"/>
              <w:right w:val="single" w:sz="4" w:space="0" w:color="auto"/>
            </w:tcBorders>
            <w:shd w:val="clear" w:color="000000" w:fill="FFFFFF"/>
            <w:vAlign w:val="center"/>
            <w:hideMark/>
          </w:tcPr>
          <w:p w14:paraId="127621E7" w14:textId="77777777" w:rsidR="00C91820" w:rsidRPr="00EB3D94" w:rsidRDefault="00C91820" w:rsidP="007F3043">
            <w:pPr>
              <w:rPr>
                <w:sz w:val="20"/>
                <w:lang w:val="es-ES"/>
              </w:rPr>
            </w:pPr>
            <w:r w:rsidRPr="00EB3D94">
              <w:rPr>
                <w:sz w:val="20"/>
                <w:lang w:val="es-ES"/>
              </w:rPr>
              <w:t>Tarjetas / TPV</w:t>
            </w:r>
          </w:p>
        </w:tc>
        <w:tc>
          <w:tcPr>
            <w:tcW w:w="3402" w:type="dxa"/>
            <w:tcBorders>
              <w:top w:val="nil"/>
              <w:left w:val="nil"/>
              <w:bottom w:val="single" w:sz="4" w:space="0" w:color="auto"/>
              <w:right w:val="single" w:sz="4" w:space="0" w:color="auto"/>
            </w:tcBorders>
            <w:shd w:val="clear" w:color="000000" w:fill="FFFFFF"/>
            <w:vAlign w:val="center"/>
            <w:hideMark/>
          </w:tcPr>
          <w:p w14:paraId="58FF47B9" w14:textId="77777777" w:rsidR="00C91820" w:rsidRPr="00EB3D94" w:rsidRDefault="00C91820" w:rsidP="007F3043">
            <w:pPr>
              <w:jc w:val="center"/>
              <w:rPr>
                <w:sz w:val="20"/>
                <w:lang w:val="es-ES"/>
              </w:rPr>
            </w:pPr>
          </w:p>
        </w:tc>
      </w:tr>
    </w:tbl>
    <w:p w14:paraId="5309DAE8" w14:textId="77777777" w:rsidR="00C91820" w:rsidRPr="00EB3D94" w:rsidRDefault="00C91820" w:rsidP="00C91820">
      <w:pPr>
        <w:rPr>
          <w:sz w:val="20"/>
          <w:lang w:val="es-ES"/>
        </w:rPr>
      </w:pPr>
    </w:p>
    <w:p w14:paraId="3C1FC987" w14:textId="77777777" w:rsidR="00C91820" w:rsidRPr="00EB3D94" w:rsidRDefault="00C91820" w:rsidP="00C91820">
      <w:pPr>
        <w:pStyle w:val="Pargrafdellista"/>
        <w:numPr>
          <w:ilvl w:val="1"/>
          <w:numId w:val="60"/>
        </w:numPr>
        <w:autoSpaceDE w:val="0"/>
        <w:autoSpaceDN w:val="0"/>
        <w:adjustRightInd w:val="0"/>
        <w:spacing w:after="220"/>
        <w:jc w:val="both"/>
        <w:rPr>
          <w:sz w:val="20"/>
          <w:lang w:val="es-ES"/>
        </w:rPr>
      </w:pPr>
      <w:r w:rsidRPr="00EB3D94">
        <w:rPr>
          <w:sz w:val="20"/>
          <w:lang w:val="es-ES"/>
        </w:rPr>
        <w:t>Recibos</w:t>
      </w:r>
      <w:r w:rsidRPr="00EB3D94">
        <w:rPr>
          <w:spacing w:val="-4"/>
          <w:sz w:val="20"/>
          <w:lang w:val="es-ES"/>
        </w:rPr>
        <w:t xml:space="preserve"> </w:t>
      </w:r>
      <w:r w:rsidRPr="00EB3D94">
        <w:rPr>
          <w:sz w:val="20"/>
          <w:lang w:val="es-ES"/>
        </w:rPr>
        <w:t>domiciliados</w:t>
      </w:r>
    </w:p>
    <w:tbl>
      <w:tblPr>
        <w:tblW w:w="9209" w:type="dxa"/>
        <w:tblCellMar>
          <w:left w:w="70" w:type="dxa"/>
          <w:right w:w="70" w:type="dxa"/>
        </w:tblCellMar>
        <w:tblLook w:val="04A0" w:firstRow="1" w:lastRow="0" w:firstColumn="1" w:lastColumn="0" w:noHBand="0" w:noVBand="1"/>
      </w:tblPr>
      <w:tblGrid>
        <w:gridCol w:w="5807"/>
        <w:gridCol w:w="3402"/>
      </w:tblGrid>
      <w:tr w:rsidR="00EB3D94" w:rsidRPr="00EB3D94" w14:paraId="38B5F25D" w14:textId="77777777" w:rsidTr="007F3043">
        <w:trPr>
          <w:trHeight w:val="206"/>
        </w:trPr>
        <w:tc>
          <w:tcPr>
            <w:tcW w:w="5807"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2A831251" w14:textId="77777777" w:rsidR="00C91820" w:rsidRPr="00EB3D94" w:rsidRDefault="00C91820" w:rsidP="007F3043">
            <w:pPr>
              <w:rPr>
                <w:b/>
                <w:bCs/>
                <w:sz w:val="20"/>
                <w:lang w:val="es-ES"/>
              </w:rPr>
            </w:pPr>
            <w:r w:rsidRPr="00EB3D94">
              <w:rPr>
                <w:b/>
                <w:bCs/>
                <w:sz w:val="20"/>
                <w:lang w:val="es-ES"/>
              </w:rPr>
              <w:t xml:space="preserve"> Recibos domiciliados </w:t>
            </w:r>
          </w:p>
        </w:tc>
        <w:tc>
          <w:tcPr>
            <w:tcW w:w="3402" w:type="dxa"/>
            <w:tcBorders>
              <w:top w:val="single" w:sz="4" w:space="0" w:color="auto"/>
              <w:left w:val="nil"/>
              <w:bottom w:val="single" w:sz="4" w:space="0" w:color="auto"/>
              <w:right w:val="single" w:sz="4" w:space="0" w:color="auto"/>
            </w:tcBorders>
            <w:shd w:val="clear" w:color="000000" w:fill="D6DCE4"/>
            <w:vAlign w:val="center"/>
            <w:hideMark/>
          </w:tcPr>
          <w:p w14:paraId="016271D7" w14:textId="77777777" w:rsidR="00C91820" w:rsidRPr="00EB3D94" w:rsidRDefault="00C91820" w:rsidP="007F3043">
            <w:pPr>
              <w:jc w:val="center"/>
              <w:rPr>
                <w:b/>
                <w:bCs/>
                <w:sz w:val="20"/>
                <w:lang w:val="es-ES"/>
              </w:rPr>
            </w:pPr>
            <w:r w:rsidRPr="00EB3D94">
              <w:rPr>
                <w:rFonts w:eastAsia="Calibri"/>
                <w:b/>
                <w:bCs/>
                <w:sz w:val="20"/>
                <w:lang w:val="es-ES" w:eastAsia="en-US"/>
              </w:rPr>
              <w:t>Coste</w:t>
            </w:r>
          </w:p>
        </w:tc>
      </w:tr>
      <w:tr w:rsidR="00EB3D94" w:rsidRPr="00EB3D94" w14:paraId="6AB849E4" w14:textId="77777777" w:rsidTr="007F3043">
        <w:trPr>
          <w:trHeight w:val="290"/>
        </w:trPr>
        <w:tc>
          <w:tcPr>
            <w:tcW w:w="5807" w:type="dxa"/>
            <w:tcBorders>
              <w:top w:val="nil"/>
              <w:left w:val="single" w:sz="4" w:space="0" w:color="auto"/>
              <w:bottom w:val="single" w:sz="4" w:space="0" w:color="auto"/>
              <w:right w:val="single" w:sz="4" w:space="0" w:color="auto"/>
            </w:tcBorders>
            <w:shd w:val="clear" w:color="000000" w:fill="FFFFFF"/>
            <w:vAlign w:val="center"/>
            <w:hideMark/>
          </w:tcPr>
          <w:p w14:paraId="371FA889" w14:textId="77777777" w:rsidR="00C91820" w:rsidRPr="00EB3D94" w:rsidRDefault="00C91820" w:rsidP="007F3043">
            <w:pPr>
              <w:rPr>
                <w:sz w:val="20"/>
                <w:lang w:val="es-ES"/>
              </w:rPr>
            </w:pPr>
            <w:r w:rsidRPr="00EB3D94">
              <w:rPr>
                <w:sz w:val="20"/>
                <w:lang w:val="es-ES"/>
              </w:rPr>
              <w:t>Coste</w:t>
            </w:r>
          </w:p>
        </w:tc>
        <w:tc>
          <w:tcPr>
            <w:tcW w:w="3402" w:type="dxa"/>
            <w:tcBorders>
              <w:top w:val="nil"/>
              <w:left w:val="nil"/>
              <w:bottom w:val="single" w:sz="4" w:space="0" w:color="auto"/>
              <w:right w:val="single" w:sz="4" w:space="0" w:color="auto"/>
            </w:tcBorders>
            <w:shd w:val="clear" w:color="000000" w:fill="FFFFFF"/>
            <w:vAlign w:val="center"/>
            <w:hideMark/>
          </w:tcPr>
          <w:p w14:paraId="54917166" w14:textId="77777777" w:rsidR="00C91820" w:rsidRPr="00EB3D94" w:rsidRDefault="00C91820" w:rsidP="007F3043">
            <w:pPr>
              <w:jc w:val="center"/>
              <w:rPr>
                <w:sz w:val="20"/>
                <w:lang w:val="es-ES"/>
              </w:rPr>
            </w:pPr>
          </w:p>
        </w:tc>
      </w:tr>
    </w:tbl>
    <w:p w14:paraId="3AF7A8FD" w14:textId="77777777" w:rsidR="00C91820" w:rsidRPr="00EB3D94" w:rsidRDefault="00C91820" w:rsidP="00C91820">
      <w:pPr>
        <w:rPr>
          <w:sz w:val="20"/>
          <w:lang w:val="es-ES"/>
        </w:rPr>
      </w:pPr>
    </w:p>
    <w:p w14:paraId="4A1AC0BC" w14:textId="77777777" w:rsidR="00C91820" w:rsidRPr="00EB3D94" w:rsidRDefault="00C91820" w:rsidP="00C91820">
      <w:pPr>
        <w:pStyle w:val="Pargrafdellista"/>
        <w:numPr>
          <w:ilvl w:val="0"/>
          <w:numId w:val="61"/>
        </w:numPr>
        <w:autoSpaceDE w:val="0"/>
        <w:autoSpaceDN w:val="0"/>
        <w:adjustRightInd w:val="0"/>
        <w:spacing w:after="220"/>
        <w:jc w:val="both"/>
        <w:rPr>
          <w:b/>
          <w:bCs/>
          <w:sz w:val="20"/>
          <w:u w:val="thick"/>
          <w:lang w:val="es-ES"/>
        </w:rPr>
      </w:pPr>
      <w:r w:rsidRPr="00EB3D94">
        <w:rPr>
          <w:b/>
          <w:bCs/>
          <w:sz w:val="20"/>
          <w:u w:val="thick"/>
          <w:lang w:val="es-ES"/>
        </w:rPr>
        <w:t>Otras condiciones que especificar pero que no se valoran</w:t>
      </w:r>
    </w:p>
    <w:tbl>
      <w:tblPr>
        <w:tblW w:w="9209" w:type="dxa"/>
        <w:tblCellMar>
          <w:left w:w="70" w:type="dxa"/>
          <w:right w:w="70" w:type="dxa"/>
        </w:tblCellMar>
        <w:tblLook w:val="04A0" w:firstRow="1" w:lastRow="0" w:firstColumn="1" w:lastColumn="0" w:noHBand="0" w:noVBand="1"/>
      </w:tblPr>
      <w:tblGrid>
        <w:gridCol w:w="5807"/>
        <w:gridCol w:w="3402"/>
      </w:tblGrid>
      <w:tr w:rsidR="00EB3D94" w:rsidRPr="00EB3D94" w14:paraId="424F28B2" w14:textId="77777777" w:rsidTr="007F3043">
        <w:trPr>
          <w:trHeight w:val="281"/>
        </w:trPr>
        <w:tc>
          <w:tcPr>
            <w:tcW w:w="5807"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7F60C96E" w14:textId="77777777" w:rsidR="00C91820" w:rsidRPr="00EB3D94" w:rsidRDefault="00C91820" w:rsidP="007F3043">
            <w:pPr>
              <w:rPr>
                <w:b/>
                <w:bCs/>
                <w:sz w:val="20"/>
                <w:lang w:val="es-ES"/>
              </w:rPr>
            </w:pPr>
            <w:r w:rsidRPr="00EB3D94">
              <w:rPr>
                <w:b/>
                <w:bCs/>
                <w:sz w:val="20"/>
                <w:lang w:val="es-ES"/>
              </w:rPr>
              <w:t> Otros servicios</w:t>
            </w:r>
          </w:p>
        </w:tc>
        <w:tc>
          <w:tcPr>
            <w:tcW w:w="3402" w:type="dxa"/>
            <w:tcBorders>
              <w:top w:val="single" w:sz="4" w:space="0" w:color="auto"/>
              <w:left w:val="nil"/>
              <w:bottom w:val="single" w:sz="4" w:space="0" w:color="auto"/>
              <w:right w:val="single" w:sz="4" w:space="0" w:color="auto"/>
            </w:tcBorders>
            <w:shd w:val="clear" w:color="000000" w:fill="D6DCE4"/>
            <w:vAlign w:val="center"/>
            <w:hideMark/>
          </w:tcPr>
          <w:p w14:paraId="3F1C78B2" w14:textId="77777777" w:rsidR="00C91820" w:rsidRPr="00EB3D94" w:rsidRDefault="00C91820" w:rsidP="007F3043">
            <w:pPr>
              <w:jc w:val="center"/>
              <w:rPr>
                <w:b/>
                <w:bCs/>
                <w:sz w:val="20"/>
                <w:lang w:val="es-ES"/>
              </w:rPr>
            </w:pPr>
            <w:r w:rsidRPr="00EB3D94">
              <w:rPr>
                <w:rFonts w:eastAsia="Calibri"/>
                <w:b/>
                <w:bCs/>
                <w:sz w:val="20"/>
                <w:lang w:val="es-ES" w:eastAsia="en-US"/>
              </w:rPr>
              <w:t>Si / No / Coste</w:t>
            </w:r>
          </w:p>
        </w:tc>
      </w:tr>
      <w:tr w:rsidR="00EB3D94" w:rsidRPr="00EB3D94" w14:paraId="626B37C5" w14:textId="77777777" w:rsidTr="007F3043">
        <w:trPr>
          <w:trHeight w:val="290"/>
        </w:trPr>
        <w:tc>
          <w:tcPr>
            <w:tcW w:w="5807" w:type="dxa"/>
            <w:tcBorders>
              <w:top w:val="single" w:sz="4" w:space="0" w:color="auto"/>
              <w:left w:val="single" w:sz="4" w:space="0" w:color="auto"/>
              <w:bottom w:val="single" w:sz="4" w:space="0" w:color="auto"/>
              <w:right w:val="single" w:sz="4" w:space="0" w:color="auto"/>
            </w:tcBorders>
            <w:shd w:val="clear" w:color="000000" w:fill="FFFFFF"/>
            <w:vAlign w:val="center"/>
          </w:tcPr>
          <w:p w14:paraId="71D8FAF2" w14:textId="77777777" w:rsidR="00C91820" w:rsidRPr="00EB3D94" w:rsidRDefault="00C91820" w:rsidP="007F3043">
            <w:pPr>
              <w:rPr>
                <w:sz w:val="20"/>
                <w:lang w:val="es-ES"/>
              </w:rPr>
            </w:pPr>
            <w:r w:rsidRPr="00EB3D94">
              <w:rPr>
                <w:sz w:val="20"/>
                <w:lang w:val="es-ES"/>
              </w:rPr>
              <w:t>Coste máximo por emisión de tarjeta de débito</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2C1FFE4A" w14:textId="77777777" w:rsidR="00C91820" w:rsidRPr="00EB3D94" w:rsidRDefault="00C91820" w:rsidP="007F3043">
            <w:pPr>
              <w:jc w:val="center"/>
              <w:rPr>
                <w:sz w:val="20"/>
                <w:lang w:val="es-ES"/>
              </w:rPr>
            </w:pPr>
          </w:p>
        </w:tc>
      </w:tr>
      <w:tr w:rsidR="00EB3D94" w:rsidRPr="00EB3D94" w14:paraId="79AD380D" w14:textId="77777777" w:rsidTr="007F3043">
        <w:trPr>
          <w:trHeight w:val="290"/>
        </w:trPr>
        <w:tc>
          <w:tcPr>
            <w:tcW w:w="5807" w:type="dxa"/>
            <w:tcBorders>
              <w:top w:val="single" w:sz="4" w:space="0" w:color="auto"/>
              <w:left w:val="single" w:sz="4" w:space="0" w:color="auto"/>
              <w:bottom w:val="single" w:sz="4" w:space="0" w:color="auto"/>
              <w:right w:val="single" w:sz="4" w:space="0" w:color="auto"/>
            </w:tcBorders>
            <w:shd w:val="clear" w:color="000000" w:fill="FFFFFF"/>
            <w:vAlign w:val="center"/>
          </w:tcPr>
          <w:p w14:paraId="46476711" w14:textId="77777777" w:rsidR="00C91820" w:rsidRPr="00EB3D94" w:rsidRDefault="00C91820" w:rsidP="007F3043">
            <w:pPr>
              <w:rPr>
                <w:sz w:val="20"/>
                <w:lang w:val="es-ES"/>
              </w:rPr>
            </w:pPr>
            <w:r w:rsidRPr="00EB3D94">
              <w:rPr>
                <w:sz w:val="20"/>
                <w:lang w:val="es-ES"/>
              </w:rPr>
              <w:t>Coste máximo por emisión de tarjeta de crédito</w:t>
            </w:r>
          </w:p>
        </w:tc>
        <w:tc>
          <w:tcPr>
            <w:tcW w:w="3402" w:type="dxa"/>
            <w:tcBorders>
              <w:top w:val="single" w:sz="4" w:space="0" w:color="auto"/>
              <w:left w:val="nil"/>
              <w:bottom w:val="single" w:sz="4" w:space="0" w:color="auto"/>
              <w:right w:val="single" w:sz="4" w:space="0" w:color="auto"/>
            </w:tcBorders>
            <w:shd w:val="clear" w:color="000000" w:fill="FFFFFF"/>
            <w:vAlign w:val="center"/>
          </w:tcPr>
          <w:p w14:paraId="3C49E399" w14:textId="77777777" w:rsidR="00C91820" w:rsidRPr="00EB3D94" w:rsidRDefault="00C91820" w:rsidP="007F3043">
            <w:pPr>
              <w:jc w:val="center"/>
              <w:rPr>
                <w:sz w:val="20"/>
                <w:lang w:val="es-ES"/>
              </w:rPr>
            </w:pPr>
          </w:p>
        </w:tc>
      </w:tr>
      <w:tr w:rsidR="00EB3D94" w:rsidRPr="00EB3D94" w14:paraId="7A041258" w14:textId="77777777" w:rsidTr="007F3043">
        <w:trPr>
          <w:trHeight w:val="290"/>
        </w:trPr>
        <w:tc>
          <w:tcPr>
            <w:tcW w:w="5807" w:type="dxa"/>
            <w:tcBorders>
              <w:top w:val="single" w:sz="4" w:space="0" w:color="auto"/>
              <w:left w:val="single" w:sz="4" w:space="0" w:color="auto"/>
              <w:bottom w:val="single" w:sz="4" w:space="0" w:color="auto"/>
              <w:right w:val="single" w:sz="4" w:space="0" w:color="auto"/>
            </w:tcBorders>
            <w:shd w:val="clear" w:color="000000" w:fill="FFFFFF"/>
            <w:vAlign w:val="center"/>
          </w:tcPr>
          <w:p w14:paraId="054C31E7" w14:textId="77777777" w:rsidR="00C91820" w:rsidRPr="00EB3D94" w:rsidRDefault="00C91820" w:rsidP="007F3043">
            <w:pPr>
              <w:rPr>
                <w:sz w:val="20"/>
                <w:lang w:val="es-ES"/>
              </w:rPr>
            </w:pPr>
            <w:r w:rsidRPr="00EB3D94">
              <w:rPr>
                <w:sz w:val="20"/>
                <w:lang w:val="es-ES"/>
              </w:rPr>
              <w:t>Coste máximo por emisión de tarjeta de prepago</w:t>
            </w:r>
          </w:p>
        </w:tc>
        <w:tc>
          <w:tcPr>
            <w:tcW w:w="3402" w:type="dxa"/>
            <w:tcBorders>
              <w:top w:val="single" w:sz="4" w:space="0" w:color="auto"/>
              <w:left w:val="nil"/>
              <w:bottom w:val="single" w:sz="4" w:space="0" w:color="auto"/>
              <w:right w:val="single" w:sz="4" w:space="0" w:color="auto"/>
            </w:tcBorders>
            <w:shd w:val="clear" w:color="000000" w:fill="FFFFFF"/>
            <w:vAlign w:val="center"/>
          </w:tcPr>
          <w:p w14:paraId="5723230A" w14:textId="77777777" w:rsidR="00C91820" w:rsidRPr="00EB3D94" w:rsidRDefault="00C91820" w:rsidP="007F3043">
            <w:pPr>
              <w:jc w:val="center"/>
              <w:rPr>
                <w:sz w:val="20"/>
                <w:lang w:val="es-ES"/>
              </w:rPr>
            </w:pPr>
          </w:p>
        </w:tc>
      </w:tr>
      <w:tr w:rsidR="00EB3D94" w:rsidRPr="00EB3D94" w14:paraId="7751CAE6" w14:textId="77777777" w:rsidTr="007F3043">
        <w:trPr>
          <w:trHeight w:val="290"/>
        </w:trPr>
        <w:tc>
          <w:tcPr>
            <w:tcW w:w="5807" w:type="dxa"/>
            <w:tcBorders>
              <w:top w:val="single" w:sz="4" w:space="0" w:color="auto"/>
              <w:left w:val="single" w:sz="4" w:space="0" w:color="auto"/>
              <w:bottom w:val="single" w:sz="4" w:space="0" w:color="auto"/>
              <w:right w:val="single" w:sz="4" w:space="0" w:color="auto"/>
            </w:tcBorders>
            <w:shd w:val="clear" w:color="000000" w:fill="FFFFFF"/>
            <w:vAlign w:val="center"/>
          </w:tcPr>
          <w:p w14:paraId="0940A066" w14:textId="77777777" w:rsidR="00C91820" w:rsidRPr="00EB3D94" w:rsidRDefault="00C91820" w:rsidP="007F3043">
            <w:pPr>
              <w:rPr>
                <w:sz w:val="20"/>
                <w:lang w:val="es-ES"/>
              </w:rPr>
            </w:pPr>
            <w:r w:rsidRPr="00EB3D94">
              <w:rPr>
                <w:sz w:val="20"/>
                <w:lang w:val="es-ES"/>
              </w:rPr>
              <w:t>Coste máximo comisión pagos cheques al extranjero</w:t>
            </w:r>
          </w:p>
        </w:tc>
        <w:tc>
          <w:tcPr>
            <w:tcW w:w="3402" w:type="dxa"/>
            <w:tcBorders>
              <w:top w:val="single" w:sz="4" w:space="0" w:color="auto"/>
              <w:left w:val="nil"/>
              <w:bottom w:val="single" w:sz="4" w:space="0" w:color="auto"/>
              <w:right w:val="single" w:sz="4" w:space="0" w:color="auto"/>
            </w:tcBorders>
            <w:shd w:val="clear" w:color="000000" w:fill="FFFFFF"/>
            <w:vAlign w:val="center"/>
          </w:tcPr>
          <w:p w14:paraId="0F562839" w14:textId="77777777" w:rsidR="00C91820" w:rsidRPr="00EB3D94" w:rsidRDefault="00C91820" w:rsidP="007F3043">
            <w:pPr>
              <w:jc w:val="center"/>
              <w:rPr>
                <w:sz w:val="20"/>
                <w:lang w:val="es-ES"/>
              </w:rPr>
            </w:pPr>
          </w:p>
        </w:tc>
      </w:tr>
      <w:tr w:rsidR="00EB3D94" w:rsidRPr="00EB3D94" w14:paraId="6A226F29" w14:textId="77777777" w:rsidTr="007F3043">
        <w:trPr>
          <w:trHeight w:val="290"/>
        </w:trPr>
        <w:tc>
          <w:tcPr>
            <w:tcW w:w="5807" w:type="dxa"/>
            <w:tcBorders>
              <w:top w:val="single" w:sz="4" w:space="0" w:color="auto"/>
              <w:left w:val="single" w:sz="4" w:space="0" w:color="auto"/>
              <w:bottom w:val="single" w:sz="4" w:space="0" w:color="auto"/>
              <w:right w:val="single" w:sz="4" w:space="0" w:color="auto"/>
            </w:tcBorders>
            <w:shd w:val="clear" w:color="000000" w:fill="FFFFFF"/>
            <w:vAlign w:val="center"/>
          </w:tcPr>
          <w:p w14:paraId="17E1E29A" w14:textId="77777777" w:rsidR="00C91820" w:rsidRPr="00EB3D94" w:rsidRDefault="00C91820" w:rsidP="007F3043">
            <w:pPr>
              <w:rPr>
                <w:sz w:val="20"/>
                <w:lang w:val="es-ES"/>
              </w:rPr>
            </w:pPr>
            <w:r w:rsidRPr="00EB3D94">
              <w:rPr>
                <w:sz w:val="20"/>
                <w:lang w:val="es-ES"/>
              </w:rPr>
              <w:t>Coste máximo comisión por remesas de importación</w:t>
            </w:r>
          </w:p>
        </w:tc>
        <w:tc>
          <w:tcPr>
            <w:tcW w:w="3402" w:type="dxa"/>
            <w:tcBorders>
              <w:top w:val="single" w:sz="4" w:space="0" w:color="auto"/>
              <w:left w:val="nil"/>
              <w:bottom w:val="single" w:sz="4" w:space="0" w:color="auto"/>
              <w:right w:val="single" w:sz="4" w:space="0" w:color="auto"/>
            </w:tcBorders>
            <w:shd w:val="clear" w:color="000000" w:fill="FFFFFF"/>
            <w:vAlign w:val="center"/>
          </w:tcPr>
          <w:p w14:paraId="4FBEE9F6" w14:textId="77777777" w:rsidR="00C91820" w:rsidRPr="00EB3D94" w:rsidRDefault="00C91820" w:rsidP="007F3043">
            <w:pPr>
              <w:jc w:val="center"/>
              <w:rPr>
                <w:sz w:val="20"/>
                <w:lang w:val="es-ES"/>
              </w:rPr>
            </w:pPr>
          </w:p>
        </w:tc>
      </w:tr>
      <w:tr w:rsidR="00EB3D94" w:rsidRPr="00EB3D94" w14:paraId="7EFCB3EF" w14:textId="77777777" w:rsidTr="007F3043">
        <w:trPr>
          <w:trHeight w:val="290"/>
        </w:trPr>
        <w:tc>
          <w:tcPr>
            <w:tcW w:w="5807" w:type="dxa"/>
            <w:tcBorders>
              <w:top w:val="single" w:sz="4" w:space="0" w:color="auto"/>
              <w:left w:val="single" w:sz="4" w:space="0" w:color="auto"/>
              <w:bottom w:val="single" w:sz="4" w:space="0" w:color="auto"/>
              <w:right w:val="single" w:sz="4" w:space="0" w:color="auto"/>
            </w:tcBorders>
            <w:shd w:val="clear" w:color="000000" w:fill="FFFFFF"/>
            <w:vAlign w:val="center"/>
          </w:tcPr>
          <w:p w14:paraId="460F6E35" w14:textId="77777777" w:rsidR="00C91820" w:rsidRPr="00EB3D94" w:rsidRDefault="00C91820" w:rsidP="007F3043">
            <w:pPr>
              <w:rPr>
                <w:sz w:val="20"/>
                <w:lang w:val="es-ES"/>
              </w:rPr>
            </w:pPr>
            <w:r w:rsidRPr="00EB3D94">
              <w:rPr>
                <w:sz w:val="20"/>
                <w:lang w:val="es-ES"/>
              </w:rPr>
              <w:t>Coste máximo por créditos documentarios (en pagos y cobros internacionales)</w:t>
            </w:r>
          </w:p>
        </w:tc>
        <w:tc>
          <w:tcPr>
            <w:tcW w:w="3402" w:type="dxa"/>
            <w:tcBorders>
              <w:top w:val="single" w:sz="4" w:space="0" w:color="auto"/>
              <w:left w:val="nil"/>
              <w:bottom w:val="single" w:sz="4" w:space="0" w:color="auto"/>
              <w:right w:val="single" w:sz="4" w:space="0" w:color="auto"/>
            </w:tcBorders>
            <w:shd w:val="clear" w:color="000000" w:fill="FFFFFF"/>
            <w:vAlign w:val="center"/>
          </w:tcPr>
          <w:p w14:paraId="5903B9D3" w14:textId="77777777" w:rsidR="00C91820" w:rsidRPr="00EB3D94" w:rsidRDefault="00C91820" w:rsidP="007F3043">
            <w:pPr>
              <w:jc w:val="center"/>
              <w:rPr>
                <w:sz w:val="20"/>
                <w:lang w:val="es-ES"/>
              </w:rPr>
            </w:pPr>
          </w:p>
        </w:tc>
      </w:tr>
      <w:tr w:rsidR="00EB3D94" w:rsidRPr="00EB3D94" w14:paraId="3B240080" w14:textId="77777777" w:rsidTr="007F3043">
        <w:trPr>
          <w:trHeight w:val="290"/>
        </w:trPr>
        <w:tc>
          <w:tcPr>
            <w:tcW w:w="5807" w:type="dxa"/>
            <w:tcBorders>
              <w:top w:val="single" w:sz="4" w:space="0" w:color="auto"/>
              <w:left w:val="single" w:sz="4" w:space="0" w:color="auto"/>
              <w:bottom w:val="single" w:sz="4" w:space="0" w:color="auto"/>
              <w:right w:val="single" w:sz="4" w:space="0" w:color="auto"/>
            </w:tcBorders>
            <w:shd w:val="clear" w:color="000000" w:fill="FFFFFF"/>
            <w:vAlign w:val="center"/>
          </w:tcPr>
          <w:p w14:paraId="3F8FC153" w14:textId="77777777" w:rsidR="00C91820" w:rsidRPr="00EB3D94" w:rsidRDefault="00C91820" w:rsidP="007F3043">
            <w:pPr>
              <w:rPr>
                <w:sz w:val="20"/>
                <w:lang w:val="es-ES"/>
              </w:rPr>
            </w:pPr>
            <w:r w:rsidRPr="00EB3D94">
              <w:rPr>
                <w:sz w:val="20"/>
                <w:lang w:val="es-ES"/>
              </w:rPr>
              <w:t>Coste máximo por seguros de cambio</w:t>
            </w:r>
          </w:p>
        </w:tc>
        <w:tc>
          <w:tcPr>
            <w:tcW w:w="3402" w:type="dxa"/>
            <w:tcBorders>
              <w:top w:val="single" w:sz="4" w:space="0" w:color="auto"/>
              <w:left w:val="nil"/>
              <w:bottom w:val="single" w:sz="4" w:space="0" w:color="auto"/>
              <w:right w:val="single" w:sz="4" w:space="0" w:color="auto"/>
            </w:tcBorders>
            <w:shd w:val="clear" w:color="000000" w:fill="FFFFFF"/>
            <w:vAlign w:val="center"/>
          </w:tcPr>
          <w:p w14:paraId="08F85D67" w14:textId="77777777" w:rsidR="00C91820" w:rsidRPr="00EB3D94" w:rsidRDefault="00C91820" w:rsidP="007F3043">
            <w:pPr>
              <w:jc w:val="center"/>
              <w:rPr>
                <w:sz w:val="20"/>
                <w:lang w:val="es-ES"/>
              </w:rPr>
            </w:pPr>
          </w:p>
        </w:tc>
      </w:tr>
      <w:tr w:rsidR="00EB3D94" w:rsidRPr="00EB3D94" w14:paraId="42E4E6D5" w14:textId="77777777" w:rsidTr="007F3043">
        <w:trPr>
          <w:trHeight w:val="290"/>
        </w:trPr>
        <w:tc>
          <w:tcPr>
            <w:tcW w:w="5807" w:type="dxa"/>
            <w:tcBorders>
              <w:top w:val="single" w:sz="4" w:space="0" w:color="auto"/>
              <w:left w:val="single" w:sz="4" w:space="0" w:color="auto"/>
              <w:bottom w:val="single" w:sz="4" w:space="0" w:color="auto"/>
              <w:right w:val="single" w:sz="4" w:space="0" w:color="auto"/>
            </w:tcBorders>
            <w:shd w:val="clear" w:color="000000" w:fill="FFFFFF"/>
            <w:vAlign w:val="center"/>
          </w:tcPr>
          <w:p w14:paraId="6F33FE4C" w14:textId="77777777" w:rsidR="00C91820" w:rsidRPr="00EB3D94" w:rsidRDefault="00C91820" w:rsidP="007F3043">
            <w:pPr>
              <w:rPr>
                <w:sz w:val="20"/>
                <w:lang w:val="es-ES"/>
              </w:rPr>
            </w:pPr>
            <w:r w:rsidRPr="00EB3D94">
              <w:rPr>
                <w:sz w:val="20"/>
                <w:lang w:val="es-ES"/>
              </w:rPr>
              <w:t>Coste máximo por cobros de cheques extranjeros</w:t>
            </w:r>
          </w:p>
        </w:tc>
        <w:tc>
          <w:tcPr>
            <w:tcW w:w="3402" w:type="dxa"/>
            <w:tcBorders>
              <w:top w:val="single" w:sz="4" w:space="0" w:color="auto"/>
              <w:left w:val="nil"/>
              <w:bottom w:val="single" w:sz="4" w:space="0" w:color="auto"/>
              <w:right w:val="single" w:sz="4" w:space="0" w:color="auto"/>
            </w:tcBorders>
            <w:shd w:val="clear" w:color="000000" w:fill="FFFFFF"/>
            <w:vAlign w:val="center"/>
          </w:tcPr>
          <w:p w14:paraId="38AF949C" w14:textId="77777777" w:rsidR="00C91820" w:rsidRPr="00EB3D94" w:rsidRDefault="00C91820" w:rsidP="007F3043">
            <w:pPr>
              <w:jc w:val="center"/>
              <w:rPr>
                <w:sz w:val="20"/>
                <w:lang w:val="es-ES"/>
              </w:rPr>
            </w:pPr>
          </w:p>
        </w:tc>
      </w:tr>
      <w:tr w:rsidR="00EB3D94" w:rsidRPr="00EB3D94" w14:paraId="63428C15" w14:textId="77777777" w:rsidTr="007F3043">
        <w:trPr>
          <w:trHeight w:val="290"/>
        </w:trPr>
        <w:tc>
          <w:tcPr>
            <w:tcW w:w="5807" w:type="dxa"/>
            <w:tcBorders>
              <w:top w:val="single" w:sz="4" w:space="0" w:color="auto"/>
              <w:left w:val="single" w:sz="4" w:space="0" w:color="auto"/>
              <w:bottom w:val="single" w:sz="4" w:space="0" w:color="auto"/>
              <w:right w:val="single" w:sz="4" w:space="0" w:color="auto"/>
            </w:tcBorders>
            <w:shd w:val="clear" w:color="000000" w:fill="FFFFFF"/>
            <w:vAlign w:val="center"/>
          </w:tcPr>
          <w:p w14:paraId="62786220" w14:textId="77777777" w:rsidR="00C91820" w:rsidRPr="00EB3D94" w:rsidRDefault="00C91820" w:rsidP="007F3043">
            <w:pPr>
              <w:rPr>
                <w:sz w:val="20"/>
                <w:lang w:val="es-ES"/>
              </w:rPr>
            </w:pPr>
            <w:r w:rsidRPr="00EB3D94">
              <w:rPr>
                <w:sz w:val="20"/>
                <w:lang w:val="es-ES"/>
              </w:rPr>
              <w:t>Coste máximo por remesas de exportación</w:t>
            </w:r>
          </w:p>
        </w:tc>
        <w:tc>
          <w:tcPr>
            <w:tcW w:w="3402" w:type="dxa"/>
            <w:tcBorders>
              <w:top w:val="single" w:sz="4" w:space="0" w:color="auto"/>
              <w:left w:val="nil"/>
              <w:bottom w:val="single" w:sz="4" w:space="0" w:color="auto"/>
              <w:right w:val="single" w:sz="4" w:space="0" w:color="auto"/>
            </w:tcBorders>
            <w:shd w:val="clear" w:color="000000" w:fill="FFFFFF"/>
            <w:vAlign w:val="center"/>
          </w:tcPr>
          <w:p w14:paraId="3F596348" w14:textId="77777777" w:rsidR="00C91820" w:rsidRPr="00EB3D94" w:rsidRDefault="00C91820" w:rsidP="007F3043">
            <w:pPr>
              <w:jc w:val="center"/>
              <w:rPr>
                <w:sz w:val="20"/>
                <w:lang w:val="es-ES"/>
              </w:rPr>
            </w:pPr>
          </w:p>
        </w:tc>
      </w:tr>
      <w:tr w:rsidR="00EB3D94" w:rsidRPr="00EB3D94" w14:paraId="736C223A" w14:textId="77777777" w:rsidTr="007F3043">
        <w:trPr>
          <w:trHeight w:val="290"/>
        </w:trPr>
        <w:tc>
          <w:tcPr>
            <w:tcW w:w="5807" w:type="dxa"/>
            <w:tcBorders>
              <w:top w:val="single" w:sz="4" w:space="0" w:color="auto"/>
              <w:left w:val="single" w:sz="4" w:space="0" w:color="auto"/>
              <w:bottom w:val="single" w:sz="4" w:space="0" w:color="auto"/>
              <w:right w:val="single" w:sz="4" w:space="0" w:color="auto"/>
            </w:tcBorders>
            <w:shd w:val="clear" w:color="000000" w:fill="FFFFFF"/>
            <w:vAlign w:val="center"/>
          </w:tcPr>
          <w:p w14:paraId="0B04F40C" w14:textId="77777777" w:rsidR="00C91820" w:rsidRPr="00EB3D94" w:rsidRDefault="00C91820" w:rsidP="007F3043">
            <w:pPr>
              <w:rPr>
                <w:sz w:val="20"/>
                <w:lang w:val="es-ES"/>
              </w:rPr>
            </w:pPr>
            <w:r w:rsidRPr="00EB3D94">
              <w:rPr>
                <w:sz w:val="20"/>
                <w:lang w:val="es-ES"/>
              </w:rPr>
              <w:t>Coste máximo por avales definidos a un año</w:t>
            </w:r>
          </w:p>
        </w:tc>
        <w:tc>
          <w:tcPr>
            <w:tcW w:w="3402" w:type="dxa"/>
            <w:tcBorders>
              <w:top w:val="single" w:sz="4" w:space="0" w:color="auto"/>
              <w:left w:val="nil"/>
              <w:bottom w:val="single" w:sz="4" w:space="0" w:color="auto"/>
              <w:right w:val="single" w:sz="4" w:space="0" w:color="auto"/>
            </w:tcBorders>
            <w:shd w:val="clear" w:color="000000" w:fill="FFFFFF"/>
            <w:vAlign w:val="center"/>
          </w:tcPr>
          <w:p w14:paraId="581331D8" w14:textId="77777777" w:rsidR="00C91820" w:rsidRPr="00EB3D94" w:rsidRDefault="00C91820" w:rsidP="007F3043">
            <w:pPr>
              <w:jc w:val="center"/>
              <w:rPr>
                <w:sz w:val="20"/>
                <w:lang w:val="es-ES"/>
              </w:rPr>
            </w:pPr>
          </w:p>
        </w:tc>
      </w:tr>
      <w:tr w:rsidR="00EB3D94" w:rsidRPr="00EB3D94" w14:paraId="089CFC6A" w14:textId="77777777" w:rsidTr="007F3043">
        <w:trPr>
          <w:trHeight w:val="290"/>
        </w:trPr>
        <w:tc>
          <w:tcPr>
            <w:tcW w:w="5807" w:type="dxa"/>
            <w:tcBorders>
              <w:top w:val="single" w:sz="4" w:space="0" w:color="auto"/>
              <w:left w:val="single" w:sz="4" w:space="0" w:color="auto"/>
              <w:bottom w:val="single" w:sz="4" w:space="0" w:color="auto"/>
              <w:right w:val="single" w:sz="4" w:space="0" w:color="auto"/>
            </w:tcBorders>
            <w:shd w:val="clear" w:color="000000" w:fill="FFFFFF"/>
            <w:vAlign w:val="center"/>
          </w:tcPr>
          <w:p w14:paraId="166A0774" w14:textId="77777777" w:rsidR="00C91820" w:rsidRPr="00EB3D94" w:rsidRDefault="00C91820" w:rsidP="007F3043">
            <w:pPr>
              <w:rPr>
                <w:sz w:val="20"/>
                <w:lang w:val="es-ES"/>
              </w:rPr>
            </w:pPr>
            <w:r w:rsidRPr="00EB3D94">
              <w:rPr>
                <w:sz w:val="20"/>
                <w:lang w:val="es-ES"/>
              </w:rPr>
              <w:t>Coste máximo por auditoría de cuentas</w:t>
            </w:r>
          </w:p>
        </w:tc>
        <w:tc>
          <w:tcPr>
            <w:tcW w:w="3402" w:type="dxa"/>
            <w:tcBorders>
              <w:top w:val="single" w:sz="4" w:space="0" w:color="auto"/>
              <w:left w:val="nil"/>
              <w:bottom w:val="single" w:sz="4" w:space="0" w:color="auto"/>
              <w:right w:val="single" w:sz="4" w:space="0" w:color="auto"/>
            </w:tcBorders>
            <w:shd w:val="clear" w:color="000000" w:fill="FFFFFF"/>
            <w:vAlign w:val="center"/>
          </w:tcPr>
          <w:p w14:paraId="7CACB4B2" w14:textId="77777777" w:rsidR="00C91820" w:rsidRPr="00EB3D94" w:rsidRDefault="00C91820" w:rsidP="007F3043">
            <w:pPr>
              <w:jc w:val="center"/>
              <w:rPr>
                <w:sz w:val="20"/>
                <w:lang w:val="es-ES"/>
              </w:rPr>
            </w:pPr>
          </w:p>
        </w:tc>
      </w:tr>
      <w:tr w:rsidR="00EB3D94" w:rsidRPr="00EB3D94" w14:paraId="5D914C5C" w14:textId="77777777" w:rsidTr="007F3043">
        <w:trPr>
          <w:trHeight w:val="290"/>
        </w:trPr>
        <w:tc>
          <w:tcPr>
            <w:tcW w:w="5807" w:type="dxa"/>
            <w:tcBorders>
              <w:top w:val="single" w:sz="4" w:space="0" w:color="auto"/>
              <w:left w:val="single" w:sz="4" w:space="0" w:color="auto"/>
              <w:bottom w:val="single" w:sz="4" w:space="0" w:color="auto"/>
              <w:right w:val="single" w:sz="4" w:space="0" w:color="auto"/>
            </w:tcBorders>
            <w:shd w:val="clear" w:color="000000" w:fill="FFFFFF"/>
            <w:vAlign w:val="center"/>
          </w:tcPr>
          <w:p w14:paraId="098C29C8" w14:textId="77777777" w:rsidR="00C91820" w:rsidRPr="00EB3D94" w:rsidRDefault="00C91820" w:rsidP="007F3043">
            <w:pPr>
              <w:rPr>
                <w:sz w:val="20"/>
                <w:lang w:val="es-ES"/>
              </w:rPr>
            </w:pPr>
            <w:r w:rsidRPr="00EB3D94">
              <w:rPr>
                <w:sz w:val="20"/>
                <w:lang w:val="es-ES"/>
              </w:rPr>
              <w:t>***</w:t>
            </w:r>
          </w:p>
        </w:tc>
        <w:tc>
          <w:tcPr>
            <w:tcW w:w="3402" w:type="dxa"/>
            <w:tcBorders>
              <w:top w:val="single" w:sz="4" w:space="0" w:color="auto"/>
              <w:left w:val="nil"/>
              <w:bottom w:val="single" w:sz="4" w:space="0" w:color="auto"/>
              <w:right w:val="single" w:sz="4" w:space="0" w:color="auto"/>
            </w:tcBorders>
            <w:shd w:val="clear" w:color="000000" w:fill="FFFFFF"/>
            <w:vAlign w:val="center"/>
          </w:tcPr>
          <w:p w14:paraId="612B84C4" w14:textId="77777777" w:rsidR="00C91820" w:rsidRPr="00EB3D94" w:rsidRDefault="00C91820" w:rsidP="007F3043">
            <w:pPr>
              <w:jc w:val="center"/>
              <w:rPr>
                <w:sz w:val="20"/>
                <w:lang w:val="es-ES"/>
              </w:rPr>
            </w:pPr>
          </w:p>
        </w:tc>
      </w:tr>
    </w:tbl>
    <w:p w14:paraId="2A2B5A9D" w14:textId="77777777" w:rsidR="00C91820" w:rsidRPr="00EB3D94" w:rsidRDefault="00C91820" w:rsidP="00C91820">
      <w:pPr>
        <w:rPr>
          <w:i/>
          <w:iCs/>
          <w:sz w:val="20"/>
          <w:lang w:val="es-ES"/>
        </w:rPr>
      </w:pPr>
      <w:r w:rsidRPr="00EB3D94">
        <w:rPr>
          <w:i/>
          <w:iCs/>
          <w:sz w:val="20"/>
          <w:lang w:val="es-ES"/>
        </w:rPr>
        <w:t>(***) Se pueden indicar otros servicios que se quieran ofrecer pero que no se valoraran.</w:t>
      </w:r>
    </w:p>
    <w:p w14:paraId="7D43FE06" w14:textId="77777777" w:rsidR="00C91820" w:rsidRPr="00EB3D94" w:rsidRDefault="00C91820" w:rsidP="00C91820">
      <w:pPr>
        <w:rPr>
          <w:sz w:val="20"/>
          <w:lang w:val="es-ES"/>
        </w:rPr>
      </w:pPr>
    </w:p>
    <w:p w14:paraId="48E6B9CA" w14:textId="56443474" w:rsidR="008C7827" w:rsidRPr="00EB3D94" w:rsidRDefault="00C91820" w:rsidP="00C91820">
      <w:pPr>
        <w:rPr>
          <w:sz w:val="20"/>
          <w:lang w:val="es-ES"/>
        </w:rPr>
      </w:pPr>
      <w:r w:rsidRPr="00EB3D94">
        <w:rPr>
          <w:sz w:val="20"/>
          <w:lang w:val="es-ES"/>
        </w:rPr>
        <w:t>Firma de la entidad licitadora:</w:t>
      </w:r>
    </w:p>
    <w:p w14:paraId="5672478F" w14:textId="77777777" w:rsidR="008C7827" w:rsidRPr="00EB3D94" w:rsidRDefault="00710840" w:rsidP="00BC4866">
      <w:pPr>
        <w:pStyle w:val="Default"/>
        <w:jc w:val="both"/>
        <w:rPr>
          <w:b/>
          <w:color w:val="auto"/>
          <w:sz w:val="20"/>
          <w:szCs w:val="20"/>
          <w:lang w:val="es-ES"/>
        </w:rPr>
      </w:pPr>
      <w:r w:rsidRPr="00EB3D94">
        <w:rPr>
          <w:b/>
          <w:color w:val="auto"/>
          <w:sz w:val="20"/>
          <w:szCs w:val="20"/>
          <w:lang w:val="es-ES"/>
        </w:rPr>
        <w:br w:type="page"/>
      </w:r>
    </w:p>
    <w:p w14:paraId="7930163B" w14:textId="77777777" w:rsidR="008C7827" w:rsidRPr="00EB3D94" w:rsidRDefault="008C7827" w:rsidP="00BC4866">
      <w:pPr>
        <w:pStyle w:val="Default"/>
        <w:jc w:val="both"/>
        <w:rPr>
          <w:b/>
          <w:color w:val="auto"/>
          <w:sz w:val="20"/>
          <w:szCs w:val="20"/>
          <w:lang w:val="es-ES"/>
        </w:rPr>
      </w:pPr>
      <w:r w:rsidRPr="00EB3D94">
        <w:rPr>
          <w:b/>
          <w:color w:val="auto"/>
          <w:sz w:val="20"/>
          <w:szCs w:val="20"/>
          <w:lang w:val="es-ES"/>
        </w:rPr>
        <w:lastRenderedPageBreak/>
        <w:t>ANEXO 3.2</w:t>
      </w:r>
    </w:p>
    <w:p w14:paraId="4EFFD2DF" w14:textId="35F717D1" w:rsidR="003211F6" w:rsidRPr="00EB3D94" w:rsidRDefault="003211F6" w:rsidP="004D3BDC">
      <w:pPr>
        <w:rPr>
          <w:b/>
          <w:bCs/>
          <w:sz w:val="20"/>
          <w:u w:val="thick"/>
          <w:lang w:val="es-ES"/>
        </w:rPr>
      </w:pPr>
    </w:p>
    <w:p w14:paraId="5C5B6F1C" w14:textId="77777777" w:rsidR="004D3BDC" w:rsidRPr="00EB3D94" w:rsidRDefault="004D3BDC" w:rsidP="004D3BDC">
      <w:pPr>
        <w:rPr>
          <w:b/>
          <w:bCs/>
          <w:sz w:val="20"/>
          <w:u w:val="thick"/>
          <w:lang w:val="es-ES"/>
        </w:rPr>
      </w:pPr>
      <w:r w:rsidRPr="00EB3D94">
        <w:rPr>
          <w:b/>
          <w:bCs/>
          <w:sz w:val="20"/>
          <w:u w:val="thick"/>
          <w:lang w:val="es-ES"/>
        </w:rPr>
        <w:t xml:space="preserve">Condiciones de los servicios financieros que tendrán que ofrecer las Entidades Financieras que se presenten al LOTE 2.  A valorar. </w:t>
      </w:r>
    </w:p>
    <w:p w14:paraId="3AC2629C" w14:textId="77777777" w:rsidR="004D3BDC" w:rsidRPr="00EB3D94" w:rsidRDefault="004D3BDC" w:rsidP="004D3BDC">
      <w:pPr>
        <w:pStyle w:val="Pargrafdellista"/>
        <w:numPr>
          <w:ilvl w:val="0"/>
          <w:numId w:val="67"/>
        </w:numPr>
        <w:autoSpaceDE w:val="0"/>
        <w:autoSpaceDN w:val="0"/>
        <w:adjustRightInd w:val="0"/>
        <w:spacing w:after="120"/>
        <w:ind w:left="714" w:hanging="357"/>
        <w:jc w:val="both"/>
        <w:rPr>
          <w:b/>
          <w:bCs/>
          <w:sz w:val="20"/>
          <w:u w:val="thick"/>
          <w:lang w:val="es-ES"/>
        </w:rPr>
      </w:pPr>
      <w:r w:rsidRPr="00EB3D94">
        <w:rPr>
          <w:b/>
          <w:bCs/>
          <w:sz w:val="20"/>
          <w:u w:val="thick"/>
          <w:lang w:val="es-ES"/>
        </w:rPr>
        <w:t>Coste de mantenimiento mensual del servicio de Cash-</w:t>
      </w:r>
      <w:proofErr w:type="spellStart"/>
      <w:r w:rsidRPr="00EB3D94">
        <w:rPr>
          <w:b/>
          <w:bCs/>
          <w:sz w:val="20"/>
          <w:u w:val="thick"/>
          <w:lang w:val="es-ES"/>
        </w:rPr>
        <w:t>pooling</w:t>
      </w:r>
      <w:proofErr w:type="spellEnd"/>
    </w:p>
    <w:tbl>
      <w:tblPr>
        <w:tblW w:w="9209" w:type="dxa"/>
        <w:tblCellMar>
          <w:left w:w="70" w:type="dxa"/>
          <w:right w:w="70" w:type="dxa"/>
        </w:tblCellMar>
        <w:tblLook w:val="04A0" w:firstRow="1" w:lastRow="0" w:firstColumn="1" w:lastColumn="0" w:noHBand="0" w:noVBand="1"/>
      </w:tblPr>
      <w:tblGrid>
        <w:gridCol w:w="5807"/>
        <w:gridCol w:w="3402"/>
      </w:tblGrid>
      <w:tr w:rsidR="00EB3D94" w:rsidRPr="00EB3D94" w14:paraId="67FB7864" w14:textId="77777777" w:rsidTr="007F3043">
        <w:trPr>
          <w:trHeight w:val="640"/>
        </w:trPr>
        <w:tc>
          <w:tcPr>
            <w:tcW w:w="5807"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4E4DC18E" w14:textId="77777777" w:rsidR="004D3BDC" w:rsidRPr="00EB3D94" w:rsidRDefault="004D3BDC" w:rsidP="007F3043">
            <w:pPr>
              <w:rPr>
                <w:b/>
                <w:bCs/>
                <w:sz w:val="20"/>
                <w:lang w:val="es-ES"/>
              </w:rPr>
            </w:pPr>
            <w:r w:rsidRPr="00EB3D94">
              <w:rPr>
                <w:b/>
                <w:bCs/>
                <w:sz w:val="20"/>
                <w:lang w:val="es-ES"/>
              </w:rPr>
              <w:t> </w:t>
            </w:r>
          </w:p>
        </w:tc>
        <w:tc>
          <w:tcPr>
            <w:tcW w:w="3402" w:type="dxa"/>
            <w:tcBorders>
              <w:top w:val="single" w:sz="4" w:space="0" w:color="auto"/>
              <w:left w:val="nil"/>
              <w:bottom w:val="single" w:sz="4" w:space="0" w:color="auto"/>
              <w:right w:val="single" w:sz="4" w:space="0" w:color="auto"/>
            </w:tcBorders>
            <w:shd w:val="clear" w:color="000000" w:fill="D6DCE4"/>
            <w:vAlign w:val="center"/>
            <w:hideMark/>
          </w:tcPr>
          <w:p w14:paraId="180737FC" w14:textId="77777777" w:rsidR="004D3BDC" w:rsidRPr="00EB3D94" w:rsidRDefault="004D3BDC" w:rsidP="007F3043">
            <w:pPr>
              <w:jc w:val="center"/>
              <w:rPr>
                <w:b/>
                <w:bCs/>
                <w:sz w:val="20"/>
                <w:lang w:val="es-ES"/>
              </w:rPr>
            </w:pPr>
            <w:r w:rsidRPr="00EB3D94">
              <w:rPr>
                <w:rFonts w:eastAsia="Calibri"/>
                <w:b/>
                <w:bCs/>
                <w:sz w:val="20"/>
                <w:lang w:val="es-ES" w:eastAsia="en-US"/>
              </w:rPr>
              <w:t>Coste mensual</w:t>
            </w:r>
            <w:r w:rsidRPr="00EB3D94">
              <w:rPr>
                <w:rFonts w:eastAsia="Calibri"/>
                <w:b/>
                <w:bCs/>
                <w:sz w:val="20"/>
                <w:lang w:val="es-ES" w:eastAsia="en-US"/>
              </w:rPr>
              <w:br/>
              <w:t xml:space="preserve">servicio de cash </w:t>
            </w:r>
            <w:proofErr w:type="spellStart"/>
            <w:r w:rsidRPr="00EB3D94">
              <w:rPr>
                <w:rFonts w:eastAsia="Calibri"/>
                <w:b/>
                <w:bCs/>
                <w:sz w:val="20"/>
                <w:lang w:val="es-ES" w:eastAsia="en-US"/>
              </w:rPr>
              <w:t>pooling</w:t>
            </w:r>
            <w:proofErr w:type="spellEnd"/>
          </w:p>
        </w:tc>
      </w:tr>
      <w:tr w:rsidR="00EB3D94" w:rsidRPr="00EB3D94" w14:paraId="2A73C6F4" w14:textId="77777777" w:rsidTr="007F3043">
        <w:trPr>
          <w:trHeight w:val="290"/>
        </w:trPr>
        <w:tc>
          <w:tcPr>
            <w:tcW w:w="5807" w:type="dxa"/>
            <w:tcBorders>
              <w:top w:val="nil"/>
              <w:left w:val="single" w:sz="4" w:space="0" w:color="auto"/>
              <w:bottom w:val="single" w:sz="4" w:space="0" w:color="auto"/>
              <w:right w:val="single" w:sz="4" w:space="0" w:color="auto"/>
            </w:tcBorders>
            <w:shd w:val="clear" w:color="000000" w:fill="FFFFFF"/>
            <w:vAlign w:val="center"/>
            <w:hideMark/>
          </w:tcPr>
          <w:p w14:paraId="354676DC" w14:textId="77777777" w:rsidR="004D3BDC" w:rsidRPr="00EB3D94" w:rsidRDefault="004D3BDC" w:rsidP="007F3043">
            <w:pPr>
              <w:rPr>
                <w:sz w:val="20"/>
                <w:lang w:val="es-ES"/>
              </w:rPr>
            </w:pPr>
            <w:r w:rsidRPr="00EB3D94">
              <w:rPr>
                <w:sz w:val="20"/>
                <w:lang w:val="es-ES"/>
              </w:rPr>
              <w:t xml:space="preserve">Coste del servicio de cash </w:t>
            </w:r>
            <w:proofErr w:type="spellStart"/>
            <w:r w:rsidRPr="00EB3D94">
              <w:rPr>
                <w:sz w:val="20"/>
                <w:lang w:val="es-ES"/>
              </w:rPr>
              <w:t>pooling</w:t>
            </w:r>
            <w:proofErr w:type="spellEnd"/>
            <w:r w:rsidRPr="00EB3D94">
              <w:rPr>
                <w:sz w:val="20"/>
                <w:lang w:val="es-ES"/>
              </w:rPr>
              <w:t xml:space="preserve"> por Entidad Pública </w:t>
            </w:r>
            <w:r w:rsidRPr="00EB3D94">
              <w:rPr>
                <w:sz w:val="20"/>
                <w:lang w:val="es-ES"/>
              </w:rPr>
              <w:br/>
              <w:t>(máximo de 950 euros por cuenta corriente)</w:t>
            </w:r>
          </w:p>
        </w:tc>
        <w:tc>
          <w:tcPr>
            <w:tcW w:w="3402" w:type="dxa"/>
            <w:tcBorders>
              <w:top w:val="nil"/>
              <w:left w:val="nil"/>
              <w:bottom w:val="single" w:sz="4" w:space="0" w:color="auto"/>
              <w:right w:val="single" w:sz="4" w:space="0" w:color="auto"/>
            </w:tcBorders>
            <w:shd w:val="clear" w:color="000000" w:fill="FFFFFF"/>
            <w:vAlign w:val="center"/>
            <w:hideMark/>
          </w:tcPr>
          <w:p w14:paraId="6B4AAA4A" w14:textId="77777777" w:rsidR="004D3BDC" w:rsidRPr="00EB3D94" w:rsidRDefault="004D3BDC" w:rsidP="007F3043">
            <w:pPr>
              <w:jc w:val="center"/>
              <w:rPr>
                <w:sz w:val="20"/>
                <w:lang w:val="es-ES"/>
              </w:rPr>
            </w:pPr>
            <w:r w:rsidRPr="00EB3D94">
              <w:rPr>
                <w:rFonts w:eastAsia="Calibri"/>
                <w:sz w:val="20"/>
                <w:lang w:val="es-ES" w:eastAsia="en-US"/>
              </w:rPr>
              <w:t>--, -- € por cuenta corriente</w:t>
            </w:r>
          </w:p>
        </w:tc>
      </w:tr>
    </w:tbl>
    <w:p w14:paraId="36A45209" w14:textId="77777777" w:rsidR="004D3BDC" w:rsidRPr="00EB3D94" w:rsidRDefault="004D3BDC" w:rsidP="004D3BDC">
      <w:pPr>
        <w:rPr>
          <w:b/>
          <w:bCs/>
          <w:sz w:val="20"/>
          <w:u w:val="thick"/>
          <w:lang w:val="es-ES"/>
        </w:rPr>
      </w:pPr>
    </w:p>
    <w:p w14:paraId="58EC037A" w14:textId="77777777" w:rsidR="004D3BDC" w:rsidRPr="00EB3D94" w:rsidRDefault="004D3BDC" w:rsidP="004D3BDC">
      <w:pPr>
        <w:pStyle w:val="Pargrafdellista"/>
        <w:numPr>
          <w:ilvl w:val="0"/>
          <w:numId w:val="67"/>
        </w:numPr>
        <w:autoSpaceDE w:val="0"/>
        <w:autoSpaceDN w:val="0"/>
        <w:adjustRightInd w:val="0"/>
        <w:spacing w:after="120"/>
        <w:ind w:left="714" w:hanging="357"/>
        <w:jc w:val="both"/>
        <w:rPr>
          <w:b/>
          <w:bCs/>
          <w:sz w:val="20"/>
          <w:u w:val="thick"/>
          <w:lang w:val="es-ES"/>
        </w:rPr>
      </w:pPr>
      <w:r w:rsidRPr="00EB3D94">
        <w:rPr>
          <w:b/>
          <w:bCs/>
          <w:sz w:val="20"/>
          <w:u w:val="thick"/>
          <w:lang w:val="es-ES"/>
        </w:rPr>
        <w:t>Importe de las operaciones de endeudamiento a corto plazo de la Tesorería Corporativa</w:t>
      </w:r>
    </w:p>
    <w:p w14:paraId="714E41D9" w14:textId="77777777" w:rsidR="004D3BDC" w:rsidRPr="00EB3D94" w:rsidRDefault="004D3BDC" w:rsidP="004D3BDC">
      <w:pPr>
        <w:rPr>
          <w:sz w:val="20"/>
          <w:lang w:val="es-ES"/>
        </w:rPr>
      </w:pPr>
    </w:p>
    <w:tbl>
      <w:tblPr>
        <w:tblW w:w="9209" w:type="dxa"/>
        <w:tblCellMar>
          <w:left w:w="70" w:type="dxa"/>
          <w:right w:w="70" w:type="dxa"/>
        </w:tblCellMar>
        <w:tblLook w:val="04A0" w:firstRow="1" w:lastRow="0" w:firstColumn="1" w:lastColumn="0" w:noHBand="0" w:noVBand="1"/>
      </w:tblPr>
      <w:tblGrid>
        <w:gridCol w:w="5807"/>
        <w:gridCol w:w="3402"/>
      </w:tblGrid>
      <w:tr w:rsidR="00EB3D94" w:rsidRPr="00EB3D94" w14:paraId="30C178AA" w14:textId="77777777" w:rsidTr="007F3043">
        <w:trPr>
          <w:trHeight w:val="640"/>
        </w:trPr>
        <w:tc>
          <w:tcPr>
            <w:tcW w:w="5807"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62411C90" w14:textId="77777777" w:rsidR="004D3BDC" w:rsidRPr="00EB3D94" w:rsidRDefault="004D3BDC" w:rsidP="007F3043">
            <w:pPr>
              <w:rPr>
                <w:b/>
                <w:bCs/>
                <w:sz w:val="20"/>
                <w:lang w:val="es-ES"/>
              </w:rPr>
            </w:pPr>
            <w:r w:rsidRPr="00EB3D94">
              <w:rPr>
                <w:b/>
                <w:bCs/>
                <w:sz w:val="20"/>
                <w:lang w:val="es-ES"/>
              </w:rPr>
              <w:t> </w:t>
            </w:r>
          </w:p>
        </w:tc>
        <w:tc>
          <w:tcPr>
            <w:tcW w:w="3402" w:type="dxa"/>
            <w:tcBorders>
              <w:top w:val="single" w:sz="4" w:space="0" w:color="auto"/>
              <w:left w:val="nil"/>
              <w:bottom w:val="single" w:sz="4" w:space="0" w:color="auto"/>
              <w:right w:val="single" w:sz="4" w:space="0" w:color="auto"/>
            </w:tcBorders>
            <w:shd w:val="clear" w:color="000000" w:fill="D6DCE4"/>
            <w:vAlign w:val="center"/>
            <w:hideMark/>
          </w:tcPr>
          <w:p w14:paraId="76F1AE87" w14:textId="77777777" w:rsidR="004D3BDC" w:rsidRPr="00EB3D94" w:rsidRDefault="004D3BDC" w:rsidP="007F3043">
            <w:pPr>
              <w:jc w:val="center"/>
              <w:rPr>
                <w:b/>
                <w:bCs/>
                <w:sz w:val="20"/>
                <w:lang w:val="es-ES"/>
              </w:rPr>
            </w:pPr>
            <w:r w:rsidRPr="00EB3D94">
              <w:rPr>
                <w:rFonts w:eastAsia="Calibri"/>
                <w:b/>
                <w:bCs/>
                <w:sz w:val="20"/>
                <w:lang w:val="es-ES" w:eastAsia="en-US"/>
              </w:rPr>
              <w:t>Importe Ofrecido (Mínimo 70M€)</w:t>
            </w:r>
          </w:p>
        </w:tc>
      </w:tr>
      <w:tr w:rsidR="00EB3D94" w:rsidRPr="00EB3D94" w14:paraId="586A81AF" w14:textId="77777777" w:rsidTr="007F3043">
        <w:trPr>
          <w:trHeight w:val="290"/>
        </w:trPr>
        <w:tc>
          <w:tcPr>
            <w:tcW w:w="5807" w:type="dxa"/>
            <w:tcBorders>
              <w:top w:val="nil"/>
              <w:left w:val="single" w:sz="4" w:space="0" w:color="auto"/>
              <w:bottom w:val="single" w:sz="4" w:space="0" w:color="auto"/>
              <w:right w:val="single" w:sz="4" w:space="0" w:color="auto"/>
            </w:tcBorders>
            <w:shd w:val="clear" w:color="000000" w:fill="FFFFFF"/>
            <w:vAlign w:val="center"/>
            <w:hideMark/>
          </w:tcPr>
          <w:p w14:paraId="093EE2E9" w14:textId="77777777" w:rsidR="004D3BDC" w:rsidRPr="00EB3D94" w:rsidRDefault="004D3BDC" w:rsidP="007F3043">
            <w:pPr>
              <w:rPr>
                <w:sz w:val="20"/>
                <w:lang w:val="es-ES"/>
              </w:rPr>
            </w:pPr>
            <w:r w:rsidRPr="00EB3D94">
              <w:rPr>
                <w:sz w:val="20"/>
                <w:lang w:val="es-ES"/>
              </w:rPr>
              <w:t>Indicar el importe global ofrecido de la operación de endeudamiento a corto plazo (mínimo 70M€)</w:t>
            </w:r>
          </w:p>
        </w:tc>
        <w:tc>
          <w:tcPr>
            <w:tcW w:w="3402" w:type="dxa"/>
            <w:tcBorders>
              <w:top w:val="nil"/>
              <w:left w:val="nil"/>
              <w:bottom w:val="single" w:sz="4" w:space="0" w:color="auto"/>
              <w:right w:val="single" w:sz="4" w:space="0" w:color="auto"/>
            </w:tcBorders>
            <w:shd w:val="clear" w:color="000000" w:fill="FFFFFF"/>
            <w:vAlign w:val="center"/>
            <w:hideMark/>
          </w:tcPr>
          <w:p w14:paraId="4C93AD41" w14:textId="77777777" w:rsidR="004D3BDC" w:rsidRPr="00EB3D94" w:rsidRDefault="004D3BDC" w:rsidP="007F3043">
            <w:pPr>
              <w:jc w:val="center"/>
              <w:rPr>
                <w:sz w:val="20"/>
                <w:lang w:val="es-ES"/>
              </w:rPr>
            </w:pPr>
          </w:p>
        </w:tc>
      </w:tr>
    </w:tbl>
    <w:p w14:paraId="08FE0612" w14:textId="77777777" w:rsidR="004D3BDC" w:rsidRPr="00EB3D94" w:rsidRDefault="004D3BDC" w:rsidP="004D3BDC">
      <w:pPr>
        <w:rPr>
          <w:sz w:val="20"/>
          <w:lang w:val="es-ES"/>
        </w:rPr>
      </w:pPr>
    </w:p>
    <w:p w14:paraId="143B9ECF" w14:textId="77777777" w:rsidR="004D3BDC" w:rsidRPr="00EB3D94" w:rsidRDefault="004D3BDC" w:rsidP="004D3BDC">
      <w:pPr>
        <w:pStyle w:val="Pargrafdellista"/>
        <w:numPr>
          <w:ilvl w:val="0"/>
          <w:numId w:val="67"/>
        </w:numPr>
        <w:autoSpaceDE w:val="0"/>
        <w:autoSpaceDN w:val="0"/>
        <w:adjustRightInd w:val="0"/>
        <w:spacing w:after="120"/>
        <w:ind w:left="714" w:hanging="357"/>
        <w:jc w:val="both"/>
        <w:rPr>
          <w:b/>
          <w:bCs/>
          <w:sz w:val="20"/>
          <w:u w:val="thick"/>
          <w:lang w:val="es-ES"/>
        </w:rPr>
      </w:pPr>
      <w:r w:rsidRPr="00EB3D94">
        <w:rPr>
          <w:b/>
          <w:bCs/>
          <w:sz w:val="20"/>
          <w:u w:val="thick"/>
          <w:lang w:val="es-ES"/>
        </w:rPr>
        <w:t>Coste transferencias nacionales y Unión Europea.</w:t>
      </w:r>
    </w:p>
    <w:tbl>
      <w:tblPr>
        <w:tblW w:w="9209" w:type="dxa"/>
        <w:tblCellMar>
          <w:left w:w="70" w:type="dxa"/>
          <w:right w:w="70" w:type="dxa"/>
        </w:tblCellMar>
        <w:tblLook w:val="04A0" w:firstRow="1" w:lastRow="0" w:firstColumn="1" w:lastColumn="0" w:noHBand="0" w:noVBand="1"/>
      </w:tblPr>
      <w:tblGrid>
        <w:gridCol w:w="5807"/>
        <w:gridCol w:w="3402"/>
      </w:tblGrid>
      <w:tr w:rsidR="00EB3D94" w:rsidRPr="00EB3D94" w14:paraId="51335CE0" w14:textId="77777777" w:rsidTr="007F3043">
        <w:trPr>
          <w:trHeight w:val="640"/>
        </w:trPr>
        <w:tc>
          <w:tcPr>
            <w:tcW w:w="5807"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4E481C80" w14:textId="77777777" w:rsidR="004D3BDC" w:rsidRPr="00EB3D94" w:rsidRDefault="004D3BDC" w:rsidP="007F3043">
            <w:pPr>
              <w:rPr>
                <w:b/>
                <w:bCs/>
                <w:sz w:val="20"/>
                <w:lang w:val="es-ES"/>
              </w:rPr>
            </w:pPr>
            <w:r w:rsidRPr="00EB3D94">
              <w:rPr>
                <w:b/>
                <w:bCs/>
                <w:sz w:val="20"/>
                <w:lang w:val="es-ES"/>
              </w:rPr>
              <w:t> Órdenes transferencias nacionales</w:t>
            </w:r>
          </w:p>
        </w:tc>
        <w:tc>
          <w:tcPr>
            <w:tcW w:w="3402" w:type="dxa"/>
            <w:tcBorders>
              <w:top w:val="single" w:sz="4" w:space="0" w:color="auto"/>
              <w:left w:val="nil"/>
              <w:bottom w:val="single" w:sz="4" w:space="0" w:color="auto"/>
              <w:right w:val="single" w:sz="4" w:space="0" w:color="auto"/>
            </w:tcBorders>
            <w:shd w:val="clear" w:color="000000" w:fill="D6DCE4"/>
            <w:vAlign w:val="center"/>
            <w:hideMark/>
          </w:tcPr>
          <w:p w14:paraId="3F7A4845" w14:textId="77777777" w:rsidR="004D3BDC" w:rsidRPr="00EB3D94" w:rsidRDefault="004D3BDC" w:rsidP="007F3043">
            <w:pPr>
              <w:jc w:val="center"/>
              <w:rPr>
                <w:b/>
                <w:bCs/>
                <w:sz w:val="20"/>
                <w:lang w:val="es-ES"/>
              </w:rPr>
            </w:pPr>
            <w:r w:rsidRPr="00EB3D94">
              <w:rPr>
                <w:rFonts w:eastAsia="Calibri"/>
                <w:b/>
                <w:bCs/>
                <w:sz w:val="20"/>
                <w:lang w:val="es-ES" w:eastAsia="en-US"/>
              </w:rPr>
              <w:t>Coste (porcentaje, no superior al 0,050%, sobre volumen estimado operativa transaccional.)</w:t>
            </w:r>
          </w:p>
        </w:tc>
      </w:tr>
      <w:tr w:rsidR="00EB3D94" w:rsidRPr="00EB3D94" w14:paraId="5FA7D2E0" w14:textId="77777777" w:rsidTr="007F3043">
        <w:trPr>
          <w:trHeight w:val="290"/>
        </w:trPr>
        <w:tc>
          <w:tcPr>
            <w:tcW w:w="5807" w:type="dxa"/>
            <w:tcBorders>
              <w:top w:val="nil"/>
              <w:left w:val="single" w:sz="4" w:space="0" w:color="auto"/>
              <w:bottom w:val="single" w:sz="4" w:space="0" w:color="auto"/>
              <w:right w:val="single" w:sz="4" w:space="0" w:color="auto"/>
            </w:tcBorders>
            <w:shd w:val="clear" w:color="000000" w:fill="FFFFFF"/>
            <w:vAlign w:val="center"/>
            <w:hideMark/>
          </w:tcPr>
          <w:p w14:paraId="3A7EE719" w14:textId="77777777" w:rsidR="004D3BDC" w:rsidRPr="00EB3D94" w:rsidRDefault="004D3BDC" w:rsidP="007F3043">
            <w:pPr>
              <w:jc w:val="both"/>
              <w:rPr>
                <w:sz w:val="20"/>
                <w:lang w:val="es-ES"/>
              </w:rPr>
            </w:pPr>
            <w:r w:rsidRPr="00EB3D94">
              <w:rPr>
                <w:sz w:val="20"/>
                <w:lang w:val="es-ES"/>
              </w:rPr>
              <w:t>Los costes anuales que se cobraran en concepto de operativa transaccional por transferencias nacionales ordenadas será como máximo el 0,050% del importe de las transferencias. El cálculo se efectuará sobre el volumen de la operativa transaccional anual estimada de 5.000 millones de euros anuales para el LOTE 2. Los costes que se calcularán para cada entidad financiera adjudicataria se obtendrán conforme a la siguiente fórmula: [(5.000 M€ x porcentaje a aplicar que no será superior a 0,050%) x porcentaje final de negocio]. El precio resultante se liquidará mensualmente (docenas partes).</w:t>
            </w:r>
          </w:p>
        </w:tc>
        <w:tc>
          <w:tcPr>
            <w:tcW w:w="3402" w:type="dxa"/>
            <w:tcBorders>
              <w:top w:val="nil"/>
              <w:left w:val="nil"/>
              <w:bottom w:val="single" w:sz="4" w:space="0" w:color="auto"/>
              <w:right w:val="single" w:sz="4" w:space="0" w:color="auto"/>
            </w:tcBorders>
            <w:shd w:val="clear" w:color="000000" w:fill="FFFFFF"/>
            <w:vAlign w:val="center"/>
            <w:hideMark/>
          </w:tcPr>
          <w:p w14:paraId="31748F3D" w14:textId="77777777" w:rsidR="004D3BDC" w:rsidRPr="00EB3D94" w:rsidRDefault="004D3BDC" w:rsidP="007F3043">
            <w:pPr>
              <w:jc w:val="center"/>
              <w:rPr>
                <w:sz w:val="20"/>
                <w:lang w:val="es-ES"/>
              </w:rPr>
            </w:pPr>
          </w:p>
        </w:tc>
      </w:tr>
    </w:tbl>
    <w:p w14:paraId="4451D2A9" w14:textId="77777777" w:rsidR="004D3BDC" w:rsidRPr="00EB3D94" w:rsidRDefault="004D3BDC" w:rsidP="004D3BDC">
      <w:pPr>
        <w:rPr>
          <w:sz w:val="20"/>
          <w:lang w:val="es-ES"/>
        </w:rPr>
      </w:pPr>
    </w:p>
    <w:p w14:paraId="120B7DD5" w14:textId="77777777" w:rsidR="004D3BDC" w:rsidRPr="00EB3D94" w:rsidRDefault="004D3BDC" w:rsidP="004D3BDC">
      <w:pPr>
        <w:pStyle w:val="Pargrafdellista"/>
        <w:numPr>
          <w:ilvl w:val="0"/>
          <w:numId w:val="67"/>
        </w:numPr>
        <w:autoSpaceDE w:val="0"/>
        <w:autoSpaceDN w:val="0"/>
        <w:adjustRightInd w:val="0"/>
        <w:spacing w:after="120"/>
        <w:ind w:left="714" w:hanging="357"/>
        <w:jc w:val="both"/>
        <w:rPr>
          <w:b/>
          <w:bCs/>
          <w:sz w:val="20"/>
          <w:u w:val="thick"/>
          <w:lang w:val="es-ES"/>
        </w:rPr>
      </w:pPr>
      <w:r w:rsidRPr="00EB3D94">
        <w:rPr>
          <w:b/>
          <w:bCs/>
          <w:sz w:val="20"/>
          <w:u w:val="thick"/>
          <w:lang w:val="es-ES"/>
        </w:rPr>
        <w:t>Porcentaje Líneas de crédito / Préstamo</w:t>
      </w:r>
    </w:p>
    <w:tbl>
      <w:tblPr>
        <w:tblW w:w="9209" w:type="dxa"/>
        <w:tblCellMar>
          <w:left w:w="70" w:type="dxa"/>
          <w:right w:w="70" w:type="dxa"/>
        </w:tblCellMar>
        <w:tblLook w:val="04A0" w:firstRow="1" w:lastRow="0" w:firstColumn="1" w:lastColumn="0" w:noHBand="0" w:noVBand="1"/>
      </w:tblPr>
      <w:tblGrid>
        <w:gridCol w:w="5807"/>
        <w:gridCol w:w="3402"/>
      </w:tblGrid>
      <w:tr w:rsidR="00EB3D94" w:rsidRPr="00EB3D94" w14:paraId="5E3D019D" w14:textId="77777777" w:rsidTr="007F3043">
        <w:trPr>
          <w:trHeight w:val="640"/>
        </w:trPr>
        <w:tc>
          <w:tcPr>
            <w:tcW w:w="5807"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5DE6FF16" w14:textId="77777777" w:rsidR="004D3BDC" w:rsidRPr="00EB3D94" w:rsidRDefault="004D3BDC" w:rsidP="007F3043">
            <w:pPr>
              <w:rPr>
                <w:b/>
                <w:bCs/>
                <w:sz w:val="20"/>
                <w:lang w:val="es-ES"/>
              </w:rPr>
            </w:pPr>
            <w:r w:rsidRPr="00EB3D94">
              <w:rPr>
                <w:b/>
                <w:bCs/>
                <w:sz w:val="20"/>
                <w:lang w:val="es-ES"/>
              </w:rPr>
              <w:t> </w:t>
            </w:r>
          </w:p>
        </w:tc>
        <w:tc>
          <w:tcPr>
            <w:tcW w:w="3402" w:type="dxa"/>
            <w:tcBorders>
              <w:top w:val="single" w:sz="4" w:space="0" w:color="auto"/>
              <w:left w:val="nil"/>
              <w:bottom w:val="single" w:sz="4" w:space="0" w:color="auto"/>
              <w:right w:val="single" w:sz="4" w:space="0" w:color="auto"/>
            </w:tcBorders>
            <w:shd w:val="clear" w:color="000000" w:fill="D6DCE4"/>
            <w:vAlign w:val="center"/>
            <w:hideMark/>
          </w:tcPr>
          <w:p w14:paraId="01D4DD5E" w14:textId="77777777" w:rsidR="004D3BDC" w:rsidRPr="00EB3D94" w:rsidRDefault="004D3BDC" w:rsidP="007F3043">
            <w:pPr>
              <w:jc w:val="center"/>
              <w:rPr>
                <w:b/>
                <w:bCs/>
                <w:sz w:val="20"/>
                <w:lang w:val="es-ES"/>
              </w:rPr>
            </w:pPr>
            <w:r w:rsidRPr="00EB3D94">
              <w:rPr>
                <w:rFonts w:eastAsia="Calibri"/>
                <w:b/>
                <w:bCs/>
                <w:sz w:val="20"/>
                <w:lang w:val="es-ES" w:eastAsia="en-US"/>
              </w:rPr>
              <w:t>Preséntate del importe ofrecido en líneas de crédito (80% o 100%)</w:t>
            </w:r>
          </w:p>
        </w:tc>
      </w:tr>
      <w:tr w:rsidR="00EB3D94" w:rsidRPr="00EB3D94" w14:paraId="5492F2FE" w14:textId="77777777" w:rsidTr="007F3043">
        <w:trPr>
          <w:trHeight w:val="290"/>
        </w:trPr>
        <w:tc>
          <w:tcPr>
            <w:tcW w:w="5807" w:type="dxa"/>
            <w:tcBorders>
              <w:top w:val="nil"/>
              <w:left w:val="single" w:sz="4" w:space="0" w:color="auto"/>
              <w:bottom w:val="single" w:sz="4" w:space="0" w:color="auto"/>
              <w:right w:val="single" w:sz="4" w:space="0" w:color="auto"/>
            </w:tcBorders>
            <w:shd w:val="clear" w:color="000000" w:fill="FFFFFF"/>
            <w:vAlign w:val="center"/>
            <w:hideMark/>
          </w:tcPr>
          <w:p w14:paraId="6573D327" w14:textId="77777777" w:rsidR="004D3BDC" w:rsidRPr="00EB3D94" w:rsidRDefault="004D3BDC" w:rsidP="007F3043">
            <w:pPr>
              <w:rPr>
                <w:sz w:val="20"/>
                <w:lang w:val="es-ES"/>
              </w:rPr>
            </w:pPr>
            <w:r w:rsidRPr="00EB3D94">
              <w:rPr>
                <w:sz w:val="20"/>
                <w:lang w:val="es-ES"/>
              </w:rPr>
              <w:t xml:space="preserve">Indicar si el porcentaje en línea de crédito es del 80% o del 100%. </w:t>
            </w:r>
          </w:p>
        </w:tc>
        <w:tc>
          <w:tcPr>
            <w:tcW w:w="3402" w:type="dxa"/>
            <w:tcBorders>
              <w:top w:val="nil"/>
              <w:left w:val="nil"/>
              <w:bottom w:val="single" w:sz="4" w:space="0" w:color="auto"/>
              <w:right w:val="single" w:sz="4" w:space="0" w:color="auto"/>
            </w:tcBorders>
            <w:shd w:val="clear" w:color="000000" w:fill="FFFFFF"/>
            <w:vAlign w:val="center"/>
            <w:hideMark/>
          </w:tcPr>
          <w:p w14:paraId="27787E53" w14:textId="77777777" w:rsidR="004D3BDC" w:rsidRPr="00EB3D94" w:rsidRDefault="004D3BDC" w:rsidP="007F3043">
            <w:pPr>
              <w:jc w:val="center"/>
              <w:rPr>
                <w:sz w:val="20"/>
                <w:lang w:val="es-ES"/>
              </w:rPr>
            </w:pPr>
          </w:p>
        </w:tc>
      </w:tr>
    </w:tbl>
    <w:p w14:paraId="2480E6FF" w14:textId="77777777" w:rsidR="004D3BDC" w:rsidRPr="00EB3D94" w:rsidRDefault="004D3BDC" w:rsidP="004D3BDC">
      <w:pPr>
        <w:rPr>
          <w:b/>
          <w:bCs/>
          <w:sz w:val="20"/>
          <w:u w:val="thick"/>
          <w:lang w:val="es-ES"/>
        </w:rPr>
      </w:pPr>
    </w:p>
    <w:p w14:paraId="002A8D9F" w14:textId="77777777" w:rsidR="004D3BDC" w:rsidRPr="00EB3D94" w:rsidRDefault="004D3BDC" w:rsidP="004D3BDC">
      <w:pPr>
        <w:pStyle w:val="Pargrafdellista"/>
        <w:numPr>
          <w:ilvl w:val="0"/>
          <w:numId w:val="67"/>
        </w:numPr>
        <w:autoSpaceDE w:val="0"/>
        <w:autoSpaceDN w:val="0"/>
        <w:adjustRightInd w:val="0"/>
        <w:spacing w:after="120"/>
        <w:ind w:left="714" w:hanging="357"/>
        <w:jc w:val="both"/>
        <w:rPr>
          <w:b/>
          <w:bCs/>
          <w:sz w:val="20"/>
          <w:u w:val="thick"/>
          <w:lang w:val="es-ES"/>
        </w:rPr>
      </w:pPr>
      <w:r w:rsidRPr="00EB3D94">
        <w:rPr>
          <w:b/>
          <w:bCs/>
          <w:sz w:val="20"/>
          <w:u w:val="thick"/>
          <w:lang w:val="es-ES"/>
        </w:rPr>
        <w:t>Coste máximo aplicable a las operaciones de endeudamiento a corto plazo de la Tesorería Corporativa</w:t>
      </w:r>
    </w:p>
    <w:tbl>
      <w:tblPr>
        <w:tblW w:w="9209" w:type="dxa"/>
        <w:tblCellMar>
          <w:left w:w="70" w:type="dxa"/>
          <w:right w:w="70" w:type="dxa"/>
        </w:tblCellMar>
        <w:tblLook w:val="04A0" w:firstRow="1" w:lastRow="0" w:firstColumn="1" w:lastColumn="0" w:noHBand="0" w:noVBand="1"/>
      </w:tblPr>
      <w:tblGrid>
        <w:gridCol w:w="5807"/>
        <w:gridCol w:w="3402"/>
      </w:tblGrid>
      <w:tr w:rsidR="00EB3D94" w:rsidRPr="00EB3D94" w14:paraId="134D34C0" w14:textId="77777777" w:rsidTr="007F3043">
        <w:trPr>
          <w:trHeight w:val="640"/>
        </w:trPr>
        <w:tc>
          <w:tcPr>
            <w:tcW w:w="5807"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7B87BD16" w14:textId="77777777" w:rsidR="004D3BDC" w:rsidRPr="00EB3D94" w:rsidRDefault="004D3BDC" w:rsidP="007F3043">
            <w:pPr>
              <w:rPr>
                <w:b/>
                <w:bCs/>
                <w:sz w:val="20"/>
                <w:lang w:val="es-ES"/>
              </w:rPr>
            </w:pPr>
            <w:r w:rsidRPr="00EB3D94">
              <w:rPr>
                <w:b/>
                <w:bCs/>
                <w:sz w:val="20"/>
                <w:lang w:val="es-ES"/>
              </w:rPr>
              <w:t> </w:t>
            </w:r>
          </w:p>
        </w:tc>
        <w:tc>
          <w:tcPr>
            <w:tcW w:w="3402" w:type="dxa"/>
            <w:tcBorders>
              <w:top w:val="single" w:sz="4" w:space="0" w:color="auto"/>
              <w:left w:val="nil"/>
              <w:bottom w:val="single" w:sz="4" w:space="0" w:color="auto"/>
              <w:right w:val="single" w:sz="4" w:space="0" w:color="auto"/>
            </w:tcBorders>
            <w:shd w:val="clear" w:color="000000" w:fill="D6DCE4"/>
            <w:vAlign w:val="center"/>
            <w:hideMark/>
          </w:tcPr>
          <w:p w14:paraId="216DFB44" w14:textId="77777777" w:rsidR="004D3BDC" w:rsidRPr="00EB3D94" w:rsidRDefault="004D3BDC" w:rsidP="007F3043">
            <w:pPr>
              <w:jc w:val="center"/>
              <w:rPr>
                <w:b/>
                <w:bCs/>
                <w:sz w:val="20"/>
                <w:lang w:val="es-ES"/>
              </w:rPr>
            </w:pPr>
            <w:r w:rsidRPr="00EB3D94">
              <w:rPr>
                <w:rFonts w:eastAsia="Calibri"/>
                <w:b/>
                <w:bCs/>
                <w:sz w:val="20"/>
                <w:lang w:val="es-ES" w:eastAsia="en-US"/>
              </w:rPr>
              <w:t xml:space="preserve">Reducción sobre el diferencial máximo de 50 puntos básicos (en puntos básicos redondeado a tres decimales)  </w:t>
            </w:r>
          </w:p>
        </w:tc>
      </w:tr>
      <w:tr w:rsidR="00EB3D94" w:rsidRPr="00EB3D94" w14:paraId="2A20E657" w14:textId="77777777" w:rsidTr="007F3043">
        <w:trPr>
          <w:trHeight w:val="894"/>
        </w:trPr>
        <w:tc>
          <w:tcPr>
            <w:tcW w:w="5807" w:type="dxa"/>
            <w:tcBorders>
              <w:top w:val="nil"/>
              <w:left w:val="single" w:sz="4" w:space="0" w:color="auto"/>
              <w:bottom w:val="single" w:sz="4" w:space="0" w:color="auto"/>
              <w:right w:val="single" w:sz="4" w:space="0" w:color="auto"/>
            </w:tcBorders>
            <w:shd w:val="clear" w:color="000000" w:fill="FFFFFF"/>
            <w:vAlign w:val="center"/>
            <w:hideMark/>
          </w:tcPr>
          <w:p w14:paraId="13ED6373" w14:textId="77777777" w:rsidR="004D3BDC" w:rsidRPr="00EB3D94" w:rsidRDefault="004D3BDC" w:rsidP="007F3043">
            <w:pPr>
              <w:jc w:val="both"/>
              <w:rPr>
                <w:sz w:val="20"/>
                <w:lang w:val="es-ES"/>
              </w:rPr>
            </w:pPr>
            <w:r w:rsidRPr="00EB3D94">
              <w:rPr>
                <w:sz w:val="20"/>
                <w:lang w:val="es-ES" w:eastAsia="es-ES"/>
              </w:rPr>
              <w:t>Indicar la mejora en el diferencial a aplicar sobre el coste de financiamiento del Estado con una vida media equivalente expresado como reducción del diferencial máximo de 50 puntos básicos. Importe expresado en puntos básicos redondeado a tres decimales</w:t>
            </w:r>
            <w:r w:rsidRPr="00EB3D94">
              <w:rPr>
                <w:sz w:val="20"/>
                <w:lang w:val="es-ES"/>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14:paraId="150CE103" w14:textId="77777777" w:rsidR="004D3BDC" w:rsidRPr="00EB3D94" w:rsidRDefault="004D3BDC" w:rsidP="007F3043">
            <w:pPr>
              <w:jc w:val="center"/>
              <w:rPr>
                <w:sz w:val="20"/>
                <w:lang w:val="es-ES"/>
              </w:rPr>
            </w:pPr>
          </w:p>
        </w:tc>
      </w:tr>
    </w:tbl>
    <w:p w14:paraId="4B315E90" w14:textId="77777777" w:rsidR="004D3BDC" w:rsidRPr="00EB3D94" w:rsidRDefault="004D3BDC" w:rsidP="004D3BDC">
      <w:pPr>
        <w:rPr>
          <w:sz w:val="20"/>
          <w:lang w:val="es-ES"/>
        </w:rPr>
      </w:pPr>
    </w:p>
    <w:p w14:paraId="400594AD" w14:textId="77777777" w:rsidR="004D3BDC" w:rsidRPr="00EB3D94" w:rsidRDefault="004D3BDC" w:rsidP="004D3BDC">
      <w:pPr>
        <w:rPr>
          <w:sz w:val="20"/>
          <w:lang w:val="es-ES"/>
        </w:rPr>
      </w:pPr>
      <w:r w:rsidRPr="00EB3D94">
        <w:rPr>
          <w:sz w:val="20"/>
          <w:lang w:val="es-ES"/>
        </w:rPr>
        <w:t>Firma de la entidad licitadora:</w:t>
      </w:r>
    </w:p>
    <w:p w14:paraId="728DBDC5" w14:textId="77777777" w:rsidR="002437BE" w:rsidRPr="00EB3D94" w:rsidRDefault="002437BE" w:rsidP="00BC4866">
      <w:pPr>
        <w:jc w:val="both"/>
        <w:rPr>
          <w:rFonts w:cs="Arial"/>
          <w:sz w:val="20"/>
          <w:highlight w:val="yellow"/>
          <w:lang w:val="es-ES"/>
        </w:rPr>
      </w:pPr>
      <w:r w:rsidRPr="00EB3D94">
        <w:rPr>
          <w:rFonts w:cs="Arial"/>
          <w:sz w:val="20"/>
          <w:highlight w:val="yellow"/>
          <w:lang w:val="es-ES"/>
        </w:rPr>
        <w:br w:type="page"/>
      </w:r>
    </w:p>
    <w:p w14:paraId="6B4BA140" w14:textId="77777777" w:rsidR="004D3BDC" w:rsidRPr="00EB3D94" w:rsidRDefault="004D3BDC" w:rsidP="004D3BDC">
      <w:pPr>
        <w:rPr>
          <w:b/>
          <w:bCs/>
          <w:u w:val="thick"/>
          <w:lang w:val="es-ES"/>
        </w:rPr>
      </w:pPr>
      <w:r w:rsidRPr="00EB3D94">
        <w:rPr>
          <w:b/>
          <w:bCs/>
          <w:u w:val="thick"/>
          <w:lang w:val="es-ES"/>
        </w:rPr>
        <w:lastRenderedPageBreak/>
        <w:t>GLOSARIO UTILITZADO</w:t>
      </w:r>
    </w:p>
    <w:p w14:paraId="12785031" w14:textId="77777777" w:rsidR="004D3BDC" w:rsidRPr="00EB3D94" w:rsidRDefault="004D3BDC" w:rsidP="004D3BDC">
      <w:pPr>
        <w:rPr>
          <w:lang w:val="es-ES"/>
        </w:rPr>
      </w:pPr>
    </w:p>
    <w:p w14:paraId="4F75FD4D" w14:textId="77777777" w:rsidR="004D3BDC" w:rsidRPr="00EB3D94" w:rsidRDefault="004D3BDC" w:rsidP="004D3BDC">
      <w:pPr>
        <w:jc w:val="both"/>
        <w:rPr>
          <w:bCs/>
          <w:lang w:val="es-ES"/>
        </w:rPr>
      </w:pPr>
      <w:r w:rsidRPr="00EB3D94">
        <w:rPr>
          <w:b/>
          <w:lang w:val="es-ES"/>
        </w:rPr>
        <w:t>Entidades Pública,</w:t>
      </w:r>
      <w:r w:rsidRPr="00EB3D94">
        <w:rPr>
          <w:bCs/>
          <w:lang w:val="es-ES"/>
        </w:rPr>
        <w:t xml:space="preserve"> se entiende por entidades públicas todas las entidades clasificadas o susceptibles de ser clasificadas como Administración pública de la Generalitat según los criterios metodológicos del sistema europeo de cuentas (SEC95) y las otras entidades en las que la participación de la Generalitat, de forma directa o indirecta, sea mayoritaria. Entidades autónomas de carácter administrativo, comercial o financiero, entidades de derecho público sometidas al ordenamiento jurídico privado, sociedades y otras entidades de carácter mercantil, consorcios y entidades asimiladas y, por último, fundaciones o universidades.</w:t>
      </w:r>
    </w:p>
    <w:p w14:paraId="7048B04A" w14:textId="77777777" w:rsidR="004D3BDC" w:rsidRPr="00EB3D94" w:rsidRDefault="004D3BDC" w:rsidP="004D3BDC">
      <w:pPr>
        <w:jc w:val="both"/>
        <w:rPr>
          <w:bCs/>
          <w:lang w:val="es-ES"/>
        </w:rPr>
      </w:pPr>
    </w:p>
    <w:p w14:paraId="7C833FEC" w14:textId="77777777" w:rsidR="004D3BDC" w:rsidRPr="00EB3D94" w:rsidRDefault="004D3BDC" w:rsidP="004D3BDC">
      <w:pPr>
        <w:jc w:val="both"/>
        <w:rPr>
          <w:bCs/>
          <w:lang w:val="es-ES"/>
        </w:rPr>
      </w:pPr>
      <w:r w:rsidRPr="00EB3D94">
        <w:rPr>
          <w:b/>
          <w:lang w:val="es-ES"/>
        </w:rPr>
        <w:t xml:space="preserve">El </w:t>
      </w:r>
      <w:r w:rsidRPr="00EB3D94">
        <w:rPr>
          <w:b/>
          <w:bCs/>
          <w:lang w:val="es-ES"/>
        </w:rPr>
        <w:t>cash-</w:t>
      </w:r>
      <w:proofErr w:type="spellStart"/>
      <w:r w:rsidRPr="00EB3D94">
        <w:rPr>
          <w:b/>
          <w:bCs/>
          <w:lang w:val="es-ES"/>
        </w:rPr>
        <w:t>pooling</w:t>
      </w:r>
      <w:proofErr w:type="spellEnd"/>
      <w:r w:rsidRPr="00EB3D94">
        <w:rPr>
          <w:b/>
          <w:lang w:val="es-ES"/>
        </w:rPr>
        <w:t xml:space="preserve"> o </w:t>
      </w:r>
      <w:r w:rsidRPr="00EB3D94">
        <w:rPr>
          <w:b/>
          <w:bCs/>
          <w:lang w:val="es-ES"/>
        </w:rPr>
        <w:t>centralización de saldos,</w:t>
      </w:r>
      <w:r w:rsidRPr="00EB3D94">
        <w:rPr>
          <w:b/>
          <w:lang w:val="es-ES"/>
        </w:rPr>
        <w:t xml:space="preserve"> </w:t>
      </w:r>
      <w:r w:rsidRPr="00EB3D94">
        <w:rPr>
          <w:bCs/>
          <w:lang w:val="es-ES"/>
        </w:rPr>
        <w:t>consiste en establecer un sistema automático de traspaso de saldos desde diferentes cuentas denominadas "cuentas operativas" de las Entidades Públicas hacia una única cuenta llamada "cuenta tesorera" de la Tesorería Corporativa. Esta centralización de los saldos se realizará al final del día y con diferenciación entre pagos e ingreso (con fecha valor y fecha de operación) de la cuenta.</w:t>
      </w:r>
    </w:p>
    <w:p w14:paraId="24D01BB2" w14:textId="77777777" w:rsidR="004D3BDC" w:rsidRPr="00EB3D94" w:rsidRDefault="004D3BDC" w:rsidP="004D3BDC">
      <w:pPr>
        <w:jc w:val="both"/>
        <w:rPr>
          <w:b/>
          <w:lang w:val="es-ES"/>
        </w:rPr>
      </w:pPr>
    </w:p>
    <w:p w14:paraId="03CB8909" w14:textId="77777777" w:rsidR="004D3BDC" w:rsidRPr="00EB3D94" w:rsidRDefault="004D3BDC" w:rsidP="004D3BDC">
      <w:pPr>
        <w:jc w:val="both"/>
        <w:rPr>
          <w:bCs/>
          <w:lang w:val="es-ES"/>
        </w:rPr>
      </w:pPr>
      <w:r w:rsidRPr="00EB3D94">
        <w:rPr>
          <w:b/>
          <w:lang w:val="es-ES"/>
        </w:rPr>
        <w:t>La cuenta tesorera</w:t>
      </w:r>
      <w:r w:rsidRPr="00EB3D94">
        <w:rPr>
          <w:bCs/>
          <w:lang w:val="es-ES"/>
        </w:rPr>
        <w:t>, recoge el saldo de las cuentas centralizadoras de las Entidades Públicas de Cash-</w:t>
      </w:r>
      <w:proofErr w:type="spellStart"/>
      <w:r w:rsidRPr="00EB3D94">
        <w:rPr>
          <w:bCs/>
          <w:lang w:val="es-ES"/>
        </w:rPr>
        <w:t>pooling</w:t>
      </w:r>
      <w:proofErr w:type="spellEnd"/>
      <w:r w:rsidRPr="00EB3D94">
        <w:rPr>
          <w:bCs/>
          <w:lang w:val="es-ES"/>
        </w:rPr>
        <w:t>. El acceso a estas cuentas quedará restringido a la Tesorería Corporativa.</w:t>
      </w:r>
    </w:p>
    <w:p w14:paraId="52382F7A" w14:textId="5EC34218" w:rsidR="004D3BDC" w:rsidRPr="00EB3D94" w:rsidRDefault="004D3BDC" w:rsidP="004D3BDC">
      <w:pPr>
        <w:jc w:val="both"/>
        <w:rPr>
          <w:b/>
          <w:lang w:val="es-ES"/>
        </w:rPr>
      </w:pPr>
      <w:r w:rsidRPr="00EB3D94">
        <w:rPr>
          <w:b/>
          <w:lang w:val="es-ES"/>
        </w:rPr>
        <w:t xml:space="preserve"> </w:t>
      </w:r>
    </w:p>
    <w:p w14:paraId="50824724" w14:textId="77777777" w:rsidR="004D3BDC" w:rsidRPr="00EB3D94" w:rsidRDefault="004D3BDC" w:rsidP="004D3BDC">
      <w:pPr>
        <w:jc w:val="both"/>
        <w:rPr>
          <w:lang w:val="es-ES"/>
        </w:rPr>
      </w:pPr>
      <w:r w:rsidRPr="00EB3D94">
        <w:rPr>
          <w:b/>
          <w:bCs/>
          <w:lang w:val="es-ES"/>
        </w:rPr>
        <w:t xml:space="preserve">Cuenta centralizadora </w:t>
      </w:r>
      <w:r w:rsidRPr="00EB3D94">
        <w:rPr>
          <w:lang w:val="es-ES"/>
        </w:rPr>
        <w:t>de una Entidad Pública, cuando una Entidad Pública necesite disponer de varias cuentas operativas para gestionar de manera efectiva sus operaciones, se ejecutará un primer arrastre de saldos entre las cuentas operativas de la Entidad Pública y una cuenta centralizadora de cash-</w:t>
      </w:r>
      <w:proofErr w:type="spellStart"/>
      <w:r w:rsidRPr="00EB3D94">
        <w:rPr>
          <w:lang w:val="es-ES"/>
        </w:rPr>
        <w:t>pooling</w:t>
      </w:r>
      <w:proofErr w:type="spellEnd"/>
      <w:r w:rsidRPr="00EB3D94">
        <w:rPr>
          <w:lang w:val="es-ES"/>
        </w:rPr>
        <w:t xml:space="preserve"> interna también en la Entidad Pública. Posteriormente, se ejecutará el arrastre entre la cuenta centralizadora de la Entidad Pública y la cuenta tesorería de la Tesorería Corporativa. La cuenta centralizadora de las Entidades Públicas con 2 niveles de cash-</w:t>
      </w:r>
      <w:proofErr w:type="spellStart"/>
      <w:r w:rsidRPr="00EB3D94">
        <w:rPr>
          <w:lang w:val="es-ES"/>
        </w:rPr>
        <w:t>pooling</w:t>
      </w:r>
      <w:proofErr w:type="spellEnd"/>
      <w:r w:rsidRPr="00EB3D94">
        <w:rPr>
          <w:lang w:val="es-ES"/>
        </w:rPr>
        <w:t xml:space="preserve"> actuará como cuenta concentradora de los movimientos de las cuentas operativas, para luego hacer el traspaso hacia la cuenta tesorería de la Tesorería Corporativa.</w:t>
      </w:r>
    </w:p>
    <w:p w14:paraId="30F01888" w14:textId="77777777" w:rsidR="004D3BDC" w:rsidRPr="00EB3D94" w:rsidRDefault="004D3BDC" w:rsidP="004D3BDC">
      <w:pPr>
        <w:pStyle w:val="Pargrafdellista"/>
        <w:numPr>
          <w:ilvl w:val="0"/>
          <w:numId w:val="20"/>
        </w:numPr>
        <w:tabs>
          <w:tab w:val="clear" w:pos="720"/>
          <w:tab w:val="num" w:pos="363"/>
        </w:tabs>
        <w:autoSpaceDE w:val="0"/>
        <w:autoSpaceDN w:val="0"/>
        <w:adjustRightInd w:val="0"/>
        <w:ind w:left="357" w:hanging="357"/>
        <w:jc w:val="both"/>
        <w:rPr>
          <w:lang w:val="es-ES"/>
        </w:rPr>
      </w:pPr>
      <w:r w:rsidRPr="00EB3D94">
        <w:rPr>
          <w:lang w:val="es-ES"/>
        </w:rPr>
        <w:t>Existirá una cuenta centralizadora en cada Entidad Pública (cuando la Entidad Pública tenga solamente un nivel de cash-</w:t>
      </w:r>
      <w:proofErr w:type="spellStart"/>
      <w:r w:rsidRPr="00EB3D94">
        <w:rPr>
          <w:lang w:val="es-ES"/>
        </w:rPr>
        <w:t>pooling</w:t>
      </w:r>
      <w:proofErr w:type="spellEnd"/>
      <w:r w:rsidRPr="00EB3D94">
        <w:rPr>
          <w:lang w:val="es-ES"/>
        </w:rPr>
        <w:t>, la cuenta Centralizadora será igual a la cuenta Operativa)</w:t>
      </w:r>
    </w:p>
    <w:p w14:paraId="05E9D4D4" w14:textId="77777777" w:rsidR="004D3BDC" w:rsidRPr="00EB3D94" w:rsidRDefault="004D3BDC" w:rsidP="004D3BDC">
      <w:pPr>
        <w:pStyle w:val="Pargrafdellista"/>
        <w:numPr>
          <w:ilvl w:val="0"/>
          <w:numId w:val="21"/>
        </w:numPr>
        <w:tabs>
          <w:tab w:val="clear" w:pos="720"/>
          <w:tab w:val="num" w:pos="363"/>
        </w:tabs>
        <w:autoSpaceDE w:val="0"/>
        <w:autoSpaceDN w:val="0"/>
        <w:adjustRightInd w:val="0"/>
        <w:ind w:left="357" w:hanging="357"/>
        <w:jc w:val="both"/>
        <w:rPr>
          <w:lang w:val="es-ES"/>
        </w:rPr>
      </w:pPr>
      <w:r w:rsidRPr="00EB3D94">
        <w:rPr>
          <w:lang w:val="es-ES"/>
        </w:rPr>
        <w:t>Al final del día se anotarán en primer lugar las operaciones de traspaso de fondos agrupadas por fecha de valoración y operación, diferenciando los apuntes por los conceptos de gasto (acumulado de cargos) e ingreso (acumulado de abonos) derivados del proceso de arrastre con las cuentas operativas. Posteriormente, se anotarán de la misma manera las operaciones de traspaso de fondos agrupadas por fecha de valoración y operación, derivadas del proceso de arrastre con las cuentas tesoreras de la Tesorería Corporativa.</w:t>
      </w:r>
    </w:p>
    <w:p w14:paraId="76967E10" w14:textId="77777777" w:rsidR="004D3BDC" w:rsidRPr="00EB3D94" w:rsidRDefault="004D3BDC" w:rsidP="004D3BDC">
      <w:pPr>
        <w:pStyle w:val="Pargrafdellista"/>
        <w:numPr>
          <w:ilvl w:val="0"/>
          <w:numId w:val="21"/>
        </w:numPr>
        <w:tabs>
          <w:tab w:val="clear" w:pos="720"/>
          <w:tab w:val="num" w:pos="363"/>
        </w:tabs>
        <w:autoSpaceDE w:val="0"/>
        <w:autoSpaceDN w:val="0"/>
        <w:adjustRightInd w:val="0"/>
        <w:ind w:left="357" w:hanging="357"/>
        <w:jc w:val="both"/>
        <w:rPr>
          <w:lang w:val="es-ES"/>
        </w:rPr>
      </w:pPr>
      <w:r w:rsidRPr="00EB3D94">
        <w:rPr>
          <w:lang w:val="es-ES"/>
        </w:rPr>
        <w:t xml:space="preserve">Tendrán saldo cero con data valor y operación y, por lo tanto, al inicio del día, su saldo siempre será cero. </w:t>
      </w:r>
    </w:p>
    <w:p w14:paraId="066F1CBC" w14:textId="77777777" w:rsidR="004D3BDC" w:rsidRPr="00EB3D94" w:rsidRDefault="004D3BDC" w:rsidP="004D3BDC">
      <w:pPr>
        <w:pStyle w:val="Pargrafdellista"/>
        <w:numPr>
          <w:ilvl w:val="0"/>
          <w:numId w:val="21"/>
        </w:numPr>
        <w:tabs>
          <w:tab w:val="clear" w:pos="720"/>
          <w:tab w:val="num" w:pos="363"/>
        </w:tabs>
        <w:autoSpaceDE w:val="0"/>
        <w:autoSpaceDN w:val="0"/>
        <w:adjustRightInd w:val="0"/>
        <w:ind w:left="357" w:hanging="357"/>
        <w:jc w:val="both"/>
        <w:rPr>
          <w:lang w:val="es-ES"/>
        </w:rPr>
      </w:pPr>
      <w:r w:rsidRPr="00EB3D94">
        <w:rPr>
          <w:lang w:val="es-ES"/>
        </w:rPr>
        <w:t xml:space="preserve">El acceso a estas cuentas quedará restringido a la Entidad Pública a la que pertenezca. </w:t>
      </w:r>
    </w:p>
    <w:p w14:paraId="6FAE0194" w14:textId="77777777" w:rsidR="004D3BDC" w:rsidRPr="00EB3D94" w:rsidRDefault="004D3BDC" w:rsidP="004D3BDC">
      <w:pPr>
        <w:pStyle w:val="Pargrafdellista"/>
        <w:autoSpaceDE w:val="0"/>
        <w:autoSpaceDN w:val="0"/>
        <w:adjustRightInd w:val="0"/>
        <w:ind w:left="357"/>
        <w:jc w:val="both"/>
        <w:rPr>
          <w:lang w:val="es-ES"/>
        </w:rPr>
      </w:pPr>
    </w:p>
    <w:p w14:paraId="017F8E32" w14:textId="77777777" w:rsidR="004D3BDC" w:rsidRPr="00EB3D94" w:rsidRDefault="004D3BDC" w:rsidP="004D3BDC">
      <w:pPr>
        <w:jc w:val="both"/>
        <w:rPr>
          <w:lang w:val="es-ES"/>
        </w:rPr>
      </w:pPr>
      <w:r w:rsidRPr="00EB3D94">
        <w:rPr>
          <w:b/>
          <w:bCs/>
          <w:lang w:val="es-ES"/>
        </w:rPr>
        <w:t>Cuentas operativas</w:t>
      </w:r>
      <w:r w:rsidRPr="00EB3D94">
        <w:rPr>
          <w:lang w:val="es-ES"/>
        </w:rPr>
        <w:t>, son las cuentas en las que se registran las operaciones diarias, es decir, los pagos y cobros de la Entidad Pública. Por otro lado, en la cuenta tesorera se reflejará únicamente la operativa propia de los movimientos de cash-</w:t>
      </w:r>
      <w:proofErr w:type="spellStart"/>
      <w:r w:rsidRPr="00EB3D94">
        <w:rPr>
          <w:lang w:val="es-ES"/>
        </w:rPr>
        <w:t>pooling</w:t>
      </w:r>
      <w:proofErr w:type="spellEnd"/>
      <w:r w:rsidRPr="00EB3D94">
        <w:rPr>
          <w:lang w:val="es-ES"/>
        </w:rPr>
        <w:t>. Se reflejará el detalle de los movimientos de pagos e ingresos que se produzcan en la operativa diaria de la Entidad Pública. Al final del día se anotarán las operaciones de traspaso de fondos agrupadas por fecha de valoración y operación derivadas del proceso de arrastre del cash</w:t>
      </w:r>
      <w:r w:rsidRPr="00EB3D94">
        <w:rPr>
          <w:b/>
          <w:bCs/>
          <w:lang w:val="es-ES"/>
        </w:rPr>
        <w:t>-</w:t>
      </w:r>
      <w:proofErr w:type="spellStart"/>
      <w:r w:rsidRPr="00EB3D94">
        <w:rPr>
          <w:lang w:val="es-ES"/>
        </w:rPr>
        <w:t>pooling</w:t>
      </w:r>
      <w:proofErr w:type="spellEnd"/>
      <w:r w:rsidRPr="00EB3D94">
        <w:rPr>
          <w:lang w:val="es-ES"/>
        </w:rPr>
        <w:t>. Tendrán saldo cero con fecha valor y operación.</w:t>
      </w:r>
    </w:p>
    <w:p w14:paraId="157EB85B" w14:textId="77777777" w:rsidR="004D3BDC" w:rsidRPr="00EB3D94" w:rsidRDefault="004D3BDC" w:rsidP="004D3BDC">
      <w:pPr>
        <w:jc w:val="both"/>
        <w:rPr>
          <w:lang w:val="es-ES"/>
        </w:rPr>
      </w:pPr>
      <w:r w:rsidRPr="00EB3D94">
        <w:rPr>
          <w:lang w:val="es-ES"/>
        </w:rPr>
        <w:lastRenderedPageBreak/>
        <w:t>Por lo tanto, su saldo siempre será cero al inicio del día. El acceso a estas cuentas estará restringido a la Entidad Pública a la que pertenezcan.</w:t>
      </w:r>
    </w:p>
    <w:p w14:paraId="1DF48458" w14:textId="77777777" w:rsidR="004D3BDC" w:rsidRPr="00EB3D94" w:rsidRDefault="004D3BDC" w:rsidP="004D3BDC">
      <w:pPr>
        <w:jc w:val="both"/>
        <w:rPr>
          <w:lang w:val="es-ES"/>
        </w:rPr>
      </w:pPr>
    </w:p>
    <w:p w14:paraId="17030A73" w14:textId="4885EB73" w:rsidR="004D3BDC" w:rsidRPr="00EB3D94" w:rsidRDefault="004D3BDC" w:rsidP="004D3BDC">
      <w:pPr>
        <w:jc w:val="both"/>
        <w:rPr>
          <w:lang w:val="es-ES"/>
        </w:rPr>
      </w:pPr>
      <w:r w:rsidRPr="00EB3D94">
        <w:rPr>
          <w:b/>
          <w:bCs/>
          <w:lang w:val="es-ES"/>
        </w:rPr>
        <w:t>Límite operativo</w:t>
      </w:r>
      <w:r w:rsidRPr="00EB3D94">
        <w:rPr>
          <w:lang w:val="es-ES"/>
        </w:rPr>
        <w:t xml:space="preserve">, es el importe máximo que la Tesorería Corporativa autoriza a la Entidad Pública a disponer de la Cuenta Tesorera. </w:t>
      </w:r>
    </w:p>
    <w:sectPr w:rsidR="004D3BDC" w:rsidRPr="00EB3D94" w:rsidSect="002462B8">
      <w:headerReference w:type="default" r:id="rId14"/>
      <w:footerReference w:type="even" r:id="rId15"/>
      <w:footerReference w:type="default" r:id="rId16"/>
      <w:pgSz w:w="11906" w:h="16838" w:code="9"/>
      <w:pgMar w:top="1797" w:right="1133" w:bottom="1701" w:left="1701"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9A5E0" w14:textId="77777777" w:rsidR="00363394" w:rsidRDefault="00363394">
      <w:r>
        <w:separator/>
      </w:r>
    </w:p>
  </w:endnote>
  <w:endnote w:type="continuationSeparator" w:id="0">
    <w:p w14:paraId="5C0F439D" w14:textId="77777777" w:rsidR="00363394" w:rsidRDefault="00363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Helvetica Light*">
    <w:altName w:val="Arial Nova Light"/>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5F5D6" w14:textId="77777777" w:rsidR="00883E62" w:rsidRPr="006760F9" w:rsidRDefault="00883E62" w:rsidP="00883E62">
    <w:pPr>
      <w:pStyle w:val="Peu"/>
      <w:rPr>
        <w:sz w:val="14"/>
        <w:szCs w:val="14"/>
      </w:rPr>
    </w:pPr>
    <w:r w:rsidRPr="006760F9">
      <w:rPr>
        <w:sz w:val="14"/>
        <w:szCs w:val="14"/>
      </w:rPr>
      <w:t xml:space="preserve">Calle del Fuego, 57 </w:t>
    </w:r>
  </w:p>
  <w:p w14:paraId="59C4C9E3" w14:textId="77777777" w:rsidR="00883E62" w:rsidRDefault="00883E62" w:rsidP="00883E62">
    <w:pPr>
      <w:pStyle w:val="Peu"/>
      <w:rPr>
        <w:sz w:val="14"/>
        <w:szCs w:val="14"/>
      </w:rPr>
    </w:pPr>
    <w:r w:rsidRPr="006760F9">
      <w:rPr>
        <w:sz w:val="14"/>
        <w:szCs w:val="14"/>
      </w:rPr>
      <w:t>08038 Barcelona</w:t>
    </w:r>
  </w:p>
  <w:p w14:paraId="6D81FDAD" w14:textId="77777777" w:rsidR="00883E62" w:rsidRDefault="00883E62">
    <w:pPr>
      <w:pStyle w:val="Peu"/>
    </w:pPr>
    <w:r>
      <w:rPr>
        <w:sz w:val="14"/>
        <w:szCs w:val="14"/>
      </w:rPr>
      <w:t>Tel. 933 162 000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B72AE" w14:textId="77777777" w:rsidR="00412E60" w:rsidRDefault="00412E60" w:rsidP="007C78A5">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w:t>
    </w:r>
    <w:r>
      <w:rPr>
        <w:rStyle w:val="Nmerodepgina"/>
      </w:rPr>
      <w:fldChar w:fldCharType="end"/>
    </w:r>
  </w:p>
  <w:p w14:paraId="0A8B7912" w14:textId="77777777" w:rsidR="00412E60" w:rsidRDefault="00412E60" w:rsidP="007C78A5">
    <w:pPr>
      <w:pStyle w:val="Peu"/>
      <w:ind w:right="360"/>
    </w:pPr>
  </w:p>
  <w:p w14:paraId="23B064C2" w14:textId="77777777" w:rsidR="00412E60" w:rsidRDefault="00412E6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BBCCE" w14:textId="77777777" w:rsidR="00412E60" w:rsidRDefault="00412E60" w:rsidP="007C78A5">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E6C0B">
      <w:rPr>
        <w:rStyle w:val="Nmerodepgina"/>
        <w:noProof/>
      </w:rPr>
      <w:t>54</w:t>
    </w:r>
    <w:r>
      <w:rPr>
        <w:rStyle w:val="Nmerodepgina"/>
      </w:rPr>
      <w:fldChar w:fldCharType="end"/>
    </w:r>
  </w:p>
  <w:p w14:paraId="30C6DD0A" w14:textId="77777777" w:rsidR="00412E60" w:rsidRPr="006760F9" w:rsidRDefault="00412E60" w:rsidP="00D4694C">
    <w:pPr>
      <w:pStyle w:val="Peu"/>
      <w:rPr>
        <w:sz w:val="14"/>
        <w:szCs w:val="14"/>
      </w:rPr>
    </w:pPr>
    <w:r w:rsidRPr="006760F9">
      <w:rPr>
        <w:sz w:val="14"/>
        <w:szCs w:val="14"/>
      </w:rPr>
      <w:t xml:space="preserve">Calle del Fuego, 57 </w:t>
    </w:r>
  </w:p>
  <w:p w14:paraId="581A96EF" w14:textId="77777777" w:rsidR="00412E60" w:rsidRDefault="00412E60" w:rsidP="00D4694C">
    <w:pPr>
      <w:pStyle w:val="Peu"/>
      <w:rPr>
        <w:sz w:val="14"/>
        <w:szCs w:val="14"/>
      </w:rPr>
    </w:pPr>
    <w:r w:rsidRPr="006760F9">
      <w:rPr>
        <w:sz w:val="14"/>
        <w:szCs w:val="14"/>
      </w:rPr>
      <w:t>08038 Barcelona</w:t>
    </w:r>
  </w:p>
  <w:p w14:paraId="0F1D218C" w14:textId="77777777" w:rsidR="00412E60" w:rsidRPr="007A47C4" w:rsidRDefault="00412E60" w:rsidP="00D4694C">
    <w:pPr>
      <w:pStyle w:val="Peu"/>
    </w:pPr>
    <w:r>
      <w:rPr>
        <w:sz w:val="14"/>
        <w:szCs w:val="14"/>
      </w:rPr>
      <w:t>Tel. 933 162 000</w:t>
    </w:r>
  </w:p>
  <w:p w14:paraId="6B9CBFB7" w14:textId="77777777" w:rsidR="00412E60" w:rsidRDefault="00412E60">
    <w:pPr>
      <w:pStyle w:val="Peu"/>
      <w:spacing w:line="140" w:lineRule="exact"/>
      <w:rPr>
        <w:rFonts w:cs="Arial"/>
        <w:sz w:val="16"/>
      </w:rPr>
    </w:pPr>
    <w:r>
      <w:rPr>
        <w:rFonts w:ascii="Helvetica Light*" w:hAnsi="Helvetica Light*"/>
        <w:sz w:val="14"/>
      </w:rPr>
      <w:tab/>
    </w:r>
    <w:r>
      <w:rPr>
        <w:rFonts w:ascii="Helvetica Light*" w:hAnsi="Helvetica Light*"/>
        <w:sz w:val="14"/>
      </w:rPr>
      <w:tab/>
    </w:r>
  </w:p>
  <w:p w14:paraId="7773B0BC" w14:textId="77777777" w:rsidR="00412E60" w:rsidRDefault="00412E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2FB4F" w14:textId="77777777" w:rsidR="00363394" w:rsidRDefault="00363394">
      <w:r>
        <w:separator/>
      </w:r>
    </w:p>
  </w:footnote>
  <w:footnote w:type="continuationSeparator" w:id="0">
    <w:p w14:paraId="6C3DD601" w14:textId="77777777" w:rsidR="00363394" w:rsidRDefault="00363394">
      <w:r>
        <w:continuationSeparator/>
      </w:r>
    </w:p>
  </w:footnote>
  <w:footnote w:id="1">
    <w:p w14:paraId="0C9C10F8" w14:textId="7BB8FFEC" w:rsidR="00E23614" w:rsidRDefault="00E23614" w:rsidP="00E23614">
      <w:pPr>
        <w:pStyle w:val="Textdenotaapeudepgina"/>
        <w:jc w:val="both"/>
      </w:pPr>
      <w:r>
        <w:rPr>
          <w:rStyle w:val="Refernciadenotaapeudepgina"/>
        </w:rPr>
        <w:footnoteRef/>
      </w:r>
      <w:r>
        <w:t xml:space="preserve"> </w:t>
      </w:r>
      <w:r w:rsidRPr="00E23614">
        <w:rPr>
          <w:sz w:val="18"/>
          <w:szCs w:val="18"/>
        </w:rPr>
        <w:t xml:space="preserve">De </w:t>
      </w:r>
      <w:proofErr w:type="spellStart"/>
      <w:r w:rsidRPr="00E23614">
        <w:rPr>
          <w:sz w:val="18"/>
          <w:szCs w:val="18"/>
        </w:rPr>
        <w:t>acuerdo</w:t>
      </w:r>
      <w:proofErr w:type="spellEnd"/>
      <w:r w:rsidRPr="00E23614">
        <w:rPr>
          <w:sz w:val="18"/>
          <w:szCs w:val="18"/>
        </w:rPr>
        <w:t xml:space="preserve"> con lo </w:t>
      </w:r>
      <w:proofErr w:type="spellStart"/>
      <w:r w:rsidRPr="00E23614">
        <w:rPr>
          <w:sz w:val="18"/>
          <w:szCs w:val="18"/>
        </w:rPr>
        <w:t>establecido</w:t>
      </w:r>
      <w:proofErr w:type="spellEnd"/>
      <w:r w:rsidRPr="00E23614">
        <w:rPr>
          <w:sz w:val="18"/>
          <w:szCs w:val="18"/>
        </w:rPr>
        <w:t xml:space="preserve"> en el articulo 5 de la </w:t>
      </w:r>
      <w:proofErr w:type="spellStart"/>
      <w:r w:rsidRPr="00E23614">
        <w:rPr>
          <w:sz w:val="18"/>
          <w:szCs w:val="18"/>
        </w:rPr>
        <w:t>Resolución</w:t>
      </w:r>
      <w:proofErr w:type="spellEnd"/>
      <w:r w:rsidRPr="00E23614">
        <w:rPr>
          <w:sz w:val="18"/>
          <w:szCs w:val="18"/>
        </w:rPr>
        <w:t xml:space="preserve"> del interventor general, por la que se </w:t>
      </w:r>
      <w:proofErr w:type="spellStart"/>
      <w:r w:rsidRPr="00E23614">
        <w:rPr>
          <w:sz w:val="18"/>
          <w:szCs w:val="18"/>
        </w:rPr>
        <w:t>aprueba</w:t>
      </w:r>
      <w:proofErr w:type="spellEnd"/>
      <w:r w:rsidRPr="00E23614">
        <w:rPr>
          <w:sz w:val="18"/>
          <w:szCs w:val="18"/>
        </w:rPr>
        <w:t xml:space="preserve"> la </w:t>
      </w:r>
      <w:proofErr w:type="spellStart"/>
      <w:r w:rsidRPr="00E23614">
        <w:rPr>
          <w:sz w:val="18"/>
          <w:szCs w:val="18"/>
        </w:rPr>
        <w:t>instrucción</w:t>
      </w:r>
      <w:proofErr w:type="spellEnd"/>
      <w:r w:rsidRPr="00E23614">
        <w:rPr>
          <w:sz w:val="18"/>
          <w:szCs w:val="18"/>
        </w:rPr>
        <w:t xml:space="preserve"> que </w:t>
      </w:r>
      <w:proofErr w:type="spellStart"/>
      <w:r w:rsidRPr="00E23614">
        <w:rPr>
          <w:sz w:val="18"/>
          <w:szCs w:val="18"/>
        </w:rPr>
        <w:t>establece</w:t>
      </w:r>
      <w:proofErr w:type="spellEnd"/>
      <w:r w:rsidRPr="00E23614">
        <w:rPr>
          <w:sz w:val="18"/>
          <w:szCs w:val="18"/>
        </w:rPr>
        <w:t xml:space="preserve"> las </w:t>
      </w:r>
      <w:proofErr w:type="spellStart"/>
      <w:r w:rsidRPr="00E23614">
        <w:rPr>
          <w:sz w:val="18"/>
          <w:szCs w:val="18"/>
        </w:rPr>
        <w:t>directrices</w:t>
      </w:r>
      <w:proofErr w:type="spellEnd"/>
      <w:r w:rsidRPr="00E23614">
        <w:rPr>
          <w:sz w:val="18"/>
          <w:szCs w:val="18"/>
        </w:rPr>
        <w:t xml:space="preserve"> a seguir por los </w:t>
      </w:r>
      <w:proofErr w:type="spellStart"/>
      <w:r w:rsidRPr="00E23614">
        <w:rPr>
          <w:sz w:val="18"/>
          <w:szCs w:val="18"/>
        </w:rPr>
        <w:t>representantes</w:t>
      </w:r>
      <w:proofErr w:type="spellEnd"/>
      <w:r w:rsidRPr="00E23614">
        <w:rPr>
          <w:sz w:val="18"/>
          <w:szCs w:val="18"/>
        </w:rPr>
        <w:t xml:space="preserve"> de la </w:t>
      </w:r>
      <w:proofErr w:type="spellStart"/>
      <w:r w:rsidRPr="00E23614">
        <w:rPr>
          <w:sz w:val="18"/>
          <w:szCs w:val="18"/>
        </w:rPr>
        <w:t>Interveción</w:t>
      </w:r>
      <w:proofErr w:type="spellEnd"/>
      <w:r w:rsidRPr="00E23614">
        <w:rPr>
          <w:sz w:val="18"/>
          <w:szCs w:val="18"/>
        </w:rPr>
        <w:t xml:space="preserve"> General en la </w:t>
      </w:r>
      <w:proofErr w:type="spellStart"/>
      <w:r w:rsidRPr="00E23614">
        <w:rPr>
          <w:sz w:val="18"/>
          <w:szCs w:val="18"/>
        </w:rPr>
        <w:t>asistencia</w:t>
      </w:r>
      <w:proofErr w:type="spellEnd"/>
      <w:r w:rsidRPr="00E23614">
        <w:rPr>
          <w:sz w:val="18"/>
          <w:szCs w:val="18"/>
        </w:rPr>
        <w:t xml:space="preserve"> a las </w:t>
      </w:r>
      <w:proofErr w:type="spellStart"/>
      <w:r w:rsidRPr="00E23614">
        <w:rPr>
          <w:sz w:val="18"/>
          <w:szCs w:val="18"/>
        </w:rPr>
        <w:t>mesas</w:t>
      </w:r>
      <w:proofErr w:type="spellEnd"/>
      <w:r w:rsidRPr="00E23614">
        <w:rPr>
          <w:sz w:val="18"/>
          <w:szCs w:val="18"/>
        </w:rPr>
        <w:t xml:space="preserve"> de </w:t>
      </w:r>
      <w:proofErr w:type="spellStart"/>
      <w:r w:rsidRPr="00E23614">
        <w:rPr>
          <w:sz w:val="18"/>
          <w:szCs w:val="18"/>
        </w:rPr>
        <w:t>contratación</w:t>
      </w:r>
      <w:proofErr w:type="spellEnd"/>
      <w:r w:rsidRPr="00E23614">
        <w:rPr>
          <w:sz w:val="18"/>
          <w:szCs w:val="18"/>
        </w:rPr>
        <w:t xml:space="preserve"> administrativa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33204" w14:textId="77777777" w:rsidR="00883E62" w:rsidRDefault="00972666">
    <w:pPr>
      <w:pStyle w:val="Capalera"/>
    </w:pPr>
    <w:r>
      <w:rPr>
        <w:noProof/>
      </w:rPr>
      <w:drawing>
        <wp:inline distT="0" distB="0" distL="0" distR="0" wp14:anchorId="116051EE" wp14:editId="3733DC79">
          <wp:extent cx="2952750" cy="323850"/>
          <wp:effectExtent l="0" t="0" r="0" b="0"/>
          <wp:docPr id="11" name="Imatge 1" descr="Logotip del Departament d'Economia i Finances,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Logotip del Departament d'Economia i Finances, Generalitat de Cataluny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0" cy="3238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C00EA" w14:textId="77777777" w:rsidR="001C40F2" w:rsidRDefault="00972666">
    <w:pPr>
      <w:pStyle w:val="Capalera"/>
    </w:pPr>
    <w:r>
      <w:rPr>
        <w:noProof/>
      </w:rPr>
      <w:drawing>
        <wp:inline distT="0" distB="0" distL="0" distR="0" wp14:anchorId="5B9DCC99" wp14:editId="4FBEDDBA">
          <wp:extent cx="2914650" cy="323850"/>
          <wp:effectExtent l="0" t="0" r="0" b="0"/>
          <wp:docPr id="12" name="Imatge 12" descr="Títol: Logotip del Depart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ítol: Logotip del Departament"/>
                  <pic:cNvPicPr>
                    <a:picLocks noChangeAspect="1" noChangeArrowheads="1"/>
                  </pic:cNvPicPr>
                </pic:nvPicPr>
                <pic:blipFill>
                  <a:blip r:embed="rId1">
                    <a:extLst>
                      <a:ext uri="{28A0092B-C50C-407E-A947-70E740481C1C}">
                        <a14:useLocalDpi xmlns:a14="http://schemas.microsoft.com/office/drawing/2010/main" val="0"/>
                      </a:ext>
                    </a:extLst>
                  </a:blip>
                  <a:srcRect r="-66" b="-195"/>
                  <a:stretch>
                    <a:fillRect/>
                  </a:stretch>
                </pic:blipFill>
                <pic:spPr bwMode="auto">
                  <a:xfrm>
                    <a:off x="0" y="0"/>
                    <a:ext cx="2914650" cy="323850"/>
                  </a:xfrm>
                  <a:prstGeom prst="rect">
                    <a:avLst/>
                  </a:prstGeom>
                  <a:noFill/>
                  <a:ln>
                    <a:noFill/>
                  </a:ln>
                </pic:spPr>
              </pic:pic>
            </a:graphicData>
          </a:graphic>
        </wp:inline>
      </w:drawing>
    </w:r>
  </w:p>
  <w:p w14:paraId="659C0CA3" w14:textId="77777777" w:rsidR="00412E60" w:rsidRDefault="00412E60">
    <w:pPr>
      <w:pStyle w:val="Capalera"/>
      <w:tabs>
        <w:tab w:val="clear" w:pos="4252"/>
        <w:tab w:val="left" w:pos="567"/>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6E704F30"/>
    <w:lvl w:ilvl="0">
      <w:start w:val="1"/>
      <w:numFmt w:val="decimal"/>
      <w:lvlText w:val="%1)"/>
      <w:lvlJc w:val="left"/>
      <w:pPr>
        <w:tabs>
          <w:tab w:val="num" w:pos="2914"/>
        </w:tabs>
        <w:ind w:left="2914" w:hanging="360"/>
      </w:pPr>
    </w:lvl>
    <w:lvl w:ilvl="1">
      <w:start w:val="1"/>
      <w:numFmt w:val="lowerLetter"/>
      <w:lvlText w:val="%2)"/>
      <w:lvlJc w:val="left"/>
      <w:pPr>
        <w:tabs>
          <w:tab w:val="num" w:pos="3634"/>
        </w:tabs>
        <w:ind w:left="3634" w:hanging="360"/>
      </w:pPr>
      <w:rPr>
        <w:rFonts w:ascii="Book Antiqua" w:eastAsia="Times New Roman" w:hAnsi="Book Antiqua" w:cs="Times New Roman"/>
      </w:rPr>
    </w:lvl>
    <w:lvl w:ilvl="2">
      <w:start w:val="1"/>
      <w:numFmt w:val="lowerRoman"/>
      <w:lvlText w:val="%3)"/>
      <w:lvlJc w:val="right"/>
      <w:pPr>
        <w:tabs>
          <w:tab w:val="num" w:pos="4354"/>
        </w:tabs>
        <w:ind w:left="4354" w:hanging="180"/>
      </w:pPr>
    </w:lvl>
    <w:lvl w:ilvl="3">
      <w:start w:val="1"/>
      <w:numFmt w:val="decimal"/>
      <w:lvlText w:val="%4."/>
      <w:lvlJc w:val="left"/>
      <w:pPr>
        <w:tabs>
          <w:tab w:val="num" w:pos="5074"/>
        </w:tabs>
        <w:ind w:left="5074" w:hanging="360"/>
      </w:pPr>
      <w:rPr>
        <w:rFonts w:ascii="Book Antiqua" w:eastAsia="Times New Roman" w:hAnsi="Book Antiqua" w:cs="Times New Roman"/>
      </w:rPr>
    </w:lvl>
    <w:lvl w:ilvl="4">
      <w:start w:val="1"/>
      <w:numFmt w:val="lowerLetter"/>
      <w:lvlText w:val="%5)"/>
      <w:lvlJc w:val="left"/>
      <w:pPr>
        <w:tabs>
          <w:tab w:val="num" w:pos="5794"/>
        </w:tabs>
        <w:ind w:left="5794" w:hanging="360"/>
      </w:pPr>
    </w:lvl>
    <w:lvl w:ilvl="5">
      <w:start w:val="1"/>
      <w:numFmt w:val="lowerRoman"/>
      <w:lvlText w:val="%6)"/>
      <w:lvlJc w:val="right"/>
      <w:pPr>
        <w:tabs>
          <w:tab w:val="num" w:pos="6514"/>
        </w:tabs>
        <w:ind w:left="6514" w:hanging="180"/>
      </w:pPr>
    </w:lvl>
    <w:lvl w:ilvl="6">
      <w:start w:val="1"/>
      <w:numFmt w:val="decimal"/>
      <w:lvlText w:val="%7)"/>
      <w:lvlJc w:val="left"/>
      <w:pPr>
        <w:tabs>
          <w:tab w:val="num" w:pos="7234"/>
        </w:tabs>
        <w:ind w:left="7234" w:hanging="360"/>
      </w:pPr>
    </w:lvl>
    <w:lvl w:ilvl="7">
      <w:start w:val="1"/>
      <w:numFmt w:val="lowerLetter"/>
      <w:lvlText w:val="%8)"/>
      <w:lvlJc w:val="left"/>
      <w:pPr>
        <w:tabs>
          <w:tab w:val="num" w:pos="7954"/>
        </w:tabs>
        <w:ind w:left="7954" w:hanging="360"/>
      </w:pPr>
    </w:lvl>
    <w:lvl w:ilvl="8">
      <w:start w:val="1"/>
      <w:numFmt w:val="lowerRoman"/>
      <w:lvlText w:val="%9)"/>
      <w:lvlJc w:val="right"/>
      <w:pPr>
        <w:tabs>
          <w:tab w:val="num" w:pos="8674"/>
        </w:tabs>
        <w:ind w:left="8674" w:hanging="180"/>
      </w:pPr>
    </w:lvl>
  </w:abstractNum>
  <w:abstractNum w:abstractNumId="1" w15:restartNumberingAfterBreak="0">
    <w:nsid w:val="00000005"/>
    <w:multiLevelType w:val="multilevel"/>
    <w:tmpl w:val="9364CD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7"/>
    <w:multiLevelType w:val="multilevel"/>
    <w:tmpl w:val="9364CD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13"/>
    <w:multiLevelType w:val="multilevel"/>
    <w:tmpl w:val="9364CD28"/>
    <w:lvl w:ilvl="0">
      <w:start w:val="1"/>
      <w:numFmt w:val="bullet"/>
      <w:lvlText w:val=""/>
      <w:lvlJc w:val="left"/>
      <w:pPr>
        <w:tabs>
          <w:tab w:val="num" w:pos="920"/>
        </w:tabs>
        <w:ind w:left="920" w:hanging="360"/>
      </w:pPr>
      <w:rPr>
        <w:rFonts w:ascii="Symbol" w:hAnsi="Symbol" w:hint="default"/>
      </w:rPr>
    </w:lvl>
    <w:lvl w:ilvl="1">
      <w:start w:val="1"/>
      <w:numFmt w:val="bullet"/>
      <w:lvlText w:val="o"/>
      <w:lvlJc w:val="left"/>
      <w:pPr>
        <w:tabs>
          <w:tab w:val="num" w:pos="1640"/>
        </w:tabs>
        <w:ind w:left="1640" w:hanging="360"/>
      </w:pPr>
      <w:rPr>
        <w:rFonts w:ascii="Courier New" w:hAnsi="Courier New" w:cs="Courier New" w:hint="default"/>
      </w:rPr>
    </w:lvl>
    <w:lvl w:ilvl="2">
      <w:start w:val="1"/>
      <w:numFmt w:val="bullet"/>
      <w:lvlText w:val=""/>
      <w:lvlJc w:val="left"/>
      <w:pPr>
        <w:tabs>
          <w:tab w:val="num" w:pos="2360"/>
        </w:tabs>
        <w:ind w:left="2360" w:hanging="360"/>
      </w:pPr>
      <w:rPr>
        <w:rFonts w:ascii="Wingdings" w:hAnsi="Wingdings" w:hint="default"/>
      </w:rPr>
    </w:lvl>
    <w:lvl w:ilvl="3">
      <w:start w:val="1"/>
      <w:numFmt w:val="bullet"/>
      <w:lvlText w:val=""/>
      <w:lvlJc w:val="left"/>
      <w:pPr>
        <w:tabs>
          <w:tab w:val="num" w:pos="3080"/>
        </w:tabs>
        <w:ind w:left="3080" w:hanging="360"/>
      </w:pPr>
      <w:rPr>
        <w:rFonts w:ascii="Symbol" w:hAnsi="Symbol" w:hint="default"/>
      </w:rPr>
    </w:lvl>
    <w:lvl w:ilvl="4">
      <w:start w:val="1"/>
      <w:numFmt w:val="bullet"/>
      <w:lvlText w:val="o"/>
      <w:lvlJc w:val="left"/>
      <w:pPr>
        <w:tabs>
          <w:tab w:val="num" w:pos="3800"/>
        </w:tabs>
        <w:ind w:left="3800" w:hanging="360"/>
      </w:pPr>
      <w:rPr>
        <w:rFonts w:ascii="Courier New" w:hAnsi="Courier New" w:cs="Courier New" w:hint="default"/>
      </w:rPr>
    </w:lvl>
    <w:lvl w:ilvl="5">
      <w:start w:val="1"/>
      <w:numFmt w:val="bullet"/>
      <w:lvlText w:val=""/>
      <w:lvlJc w:val="left"/>
      <w:pPr>
        <w:tabs>
          <w:tab w:val="num" w:pos="4520"/>
        </w:tabs>
        <w:ind w:left="4520" w:hanging="360"/>
      </w:pPr>
      <w:rPr>
        <w:rFonts w:ascii="Wingdings" w:hAnsi="Wingdings" w:hint="default"/>
      </w:rPr>
    </w:lvl>
    <w:lvl w:ilvl="6">
      <w:start w:val="1"/>
      <w:numFmt w:val="bullet"/>
      <w:lvlText w:val=""/>
      <w:lvlJc w:val="left"/>
      <w:pPr>
        <w:tabs>
          <w:tab w:val="num" w:pos="5240"/>
        </w:tabs>
        <w:ind w:left="5240" w:hanging="360"/>
      </w:pPr>
      <w:rPr>
        <w:rFonts w:ascii="Symbol" w:hAnsi="Symbol" w:hint="default"/>
      </w:rPr>
    </w:lvl>
    <w:lvl w:ilvl="7">
      <w:start w:val="1"/>
      <w:numFmt w:val="bullet"/>
      <w:lvlText w:val="o"/>
      <w:lvlJc w:val="left"/>
      <w:pPr>
        <w:tabs>
          <w:tab w:val="num" w:pos="5960"/>
        </w:tabs>
        <w:ind w:left="5960" w:hanging="360"/>
      </w:pPr>
      <w:rPr>
        <w:rFonts w:ascii="Courier New" w:hAnsi="Courier New" w:cs="Courier New" w:hint="default"/>
      </w:rPr>
    </w:lvl>
    <w:lvl w:ilvl="8">
      <w:start w:val="1"/>
      <w:numFmt w:val="bullet"/>
      <w:lvlText w:val=""/>
      <w:lvlJc w:val="left"/>
      <w:pPr>
        <w:tabs>
          <w:tab w:val="num" w:pos="6680"/>
        </w:tabs>
        <w:ind w:left="6680" w:hanging="360"/>
      </w:pPr>
      <w:rPr>
        <w:rFonts w:ascii="Wingdings" w:hAnsi="Wingdings" w:hint="default"/>
      </w:rPr>
    </w:lvl>
  </w:abstractNum>
  <w:abstractNum w:abstractNumId="4" w15:restartNumberingAfterBreak="0">
    <w:nsid w:val="00000015"/>
    <w:multiLevelType w:val="multilevel"/>
    <w:tmpl w:val="9364CD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000016"/>
    <w:multiLevelType w:val="multilevel"/>
    <w:tmpl w:val="9364CD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352733"/>
    <w:multiLevelType w:val="hybridMultilevel"/>
    <w:tmpl w:val="7534B99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05703ACD"/>
    <w:multiLevelType w:val="hybridMultilevel"/>
    <w:tmpl w:val="F34C6418"/>
    <w:lvl w:ilvl="0" w:tplc="04030003">
      <w:start w:val="1"/>
      <w:numFmt w:val="bullet"/>
      <w:lvlText w:val="o"/>
      <w:lvlJc w:val="left"/>
      <w:pPr>
        <w:ind w:left="1428" w:hanging="360"/>
      </w:pPr>
      <w:rPr>
        <w:rFonts w:ascii="Courier New" w:hAnsi="Courier New" w:cs="Courier New"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8" w15:restartNumberingAfterBreak="0">
    <w:nsid w:val="08AC6CAF"/>
    <w:multiLevelType w:val="hybridMultilevel"/>
    <w:tmpl w:val="09E2A6E6"/>
    <w:lvl w:ilvl="0" w:tplc="57409EA8">
      <w:start w:val="1"/>
      <w:numFmt w:val="lowerLetter"/>
      <w:lvlText w:val="%1)"/>
      <w:lvlJc w:val="left"/>
      <w:pPr>
        <w:ind w:left="360" w:hanging="360"/>
      </w:pPr>
      <w:rPr>
        <w:rFonts w:cs="Arial"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9" w15:restartNumberingAfterBreak="0">
    <w:nsid w:val="09E9570E"/>
    <w:multiLevelType w:val="hybridMultilevel"/>
    <w:tmpl w:val="07268C2C"/>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0" w15:restartNumberingAfterBreak="0">
    <w:nsid w:val="0B945C6E"/>
    <w:multiLevelType w:val="hybridMultilevel"/>
    <w:tmpl w:val="942AA634"/>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1" w15:restartNumberingAfterBreak="0">
    <w:nsid w:val="0BDD5B73"/>
    <w:multiLevelType w:val="hybridMultilevel"/>
    <w:tmpl w:val="15EC4F52"/>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2" w15:restartNumberingAfterBreak="0">
    <w:nsid w:val="0ED9440E"/>
    <w:multiLevelType w:val="hybridMultilevel"/>
    <w:tmpl w:val="0BDC6584"/>
    <w:lvl w:ilvl="0" w:tplc="E2E4BFF0">
      <w:numFmt w:val="bullet"/>
      <w:lvlText w:val=""/>
      <w:lvlJc w:val="left"/>
      <w:pPr>
        <w:ind w:left="333" w:hanging="284"/>
      </w:pPr>
      <w:rPr>
        <w:rFonts w:ascii="Symbol" w:eastAsia="Symbol" w:hAnsi="Symbol" w:cs="Symbol" w:hint="default"/>
        <w:w w:val="100"/>
        <w:sz w:val="22"/>
        <w:szCs w:val="22"/>
        <w:lang w:val="ca-ES" w:eastAsia="en-US" w:bidi="ar-SA"/>
      </w:rPr>
    </w:lvl>
    <w:lvl w:ilvl="1" w:tplc="F66E8118">
      <w:numFmt w:val="bullet"/>
      <w:lvlText w:val="•"/>
      <w:lvlJc w:val="left"/>
      <w:pPr>
        <w:ind w:left="558" w:hanging="284"/>
      </w:pPr>
      <w:rPr>
        <w:rFonts w:hint="default"/>
        <w:lang w:val="ca-ES" w:eastAsia="en-US" w:bidi="ar-SA"/>
      </w:rPr>
    </w:lvl>
    <w:lvl w:ilvl="2" w:tplc="17CADEDE">
      <w:numFmt w:val="bullet"/>
      <w:lvlText w:val="•"/>
      <w:lvlJc w:val="left"/>
      <w:pPr>
        <w:ind w:left="777" w:hanging="284"/>
      </w:pPr>
      <w:rPr>
        <w:rFonts w:hint="default"/>
        <w:lang w:val="ca-ES" w:eastAsia="en-US" w:bidi="ar-SA"/>
      </w:rPr>
    </w:lvl>
    <w:lvl w:ilvl="3" w:tplc="A0C89118">
      <w:numFmt w:val="bullet"/>
      <w:lvlText w:val="•"/>
      <w:lvlJc w:val="left"/>
      <w:pPr>
        <w:ind w:left="995" w:hanging="284"/>
      </w:pPr>
      <w:rPr>
        <w:rFonts w:hint="default"/>
        <w:lang w:val="ca-ES" w:eastAsia="en-US" w:bidi="ar-SA"/>
      </w:rPr>
    </w:lvl>
    <w:lvl w:ilvl="4" w:tplc="B6161CD2">
      <w:numFmt w:val="bullet"/>
      <w:lvlText w:val="•"/>
      <w:lvlJc w:val="left"/>
      <w:pPr>
        <w:ind w:left="1214" w:hanging="284"/>
      </w:pPr>
      <w:rPr>
        <w:rFonts w:hint="default"/>
        <w:lang w:val="ca-ES" w:eastAsia="en-US" w:bidi="ar-SA"/>
      </w:rPr>
    </w:lvl>
    <w:lvl w:ilvl="5" w:tplc="10C81B74">
      <w:numFmt w:val="bullet"/>
      <w:lvlText w:val="•"/>
      <w:lvlJc w:val="left"/>
      <w:pPr>
        <w:ind w:left="1432" w:hanging="284"/>
      </w:pPr>
      <w:rPr>
        <w:rFonts w:hint="default"/>
        <w:lang w:val="ca-ES" w:eastAsia="en-US" w:bidi="ar-SA"/>
      </w:rPr>
    </w:lvl>
    <w:lvl w:ilvl="6" w:tplc="9DEE3A40">
      <w:numFmt w:val="bullet"/>
      <w:lvlText w:val="•"/>
      <w:lvlJc w:val="left"/>
      <w:pPr>
        <w:ind w:left="1651" w:hanging="284"/>
      </w:pPr>
      <w:rPr>
        <w:rFonts w:hint="default"/>
        <w:lang w:val="ca-ES" w:eastAsia="en-US" w:bidi="ar-SA"/>
      </w:rPr>
    </w:lvl>
    <w:lvl w:ilvl="7" w:tplc="157A37A2">
      <w:numFmt w:val="bullet"/>
      <w:lvlText w:val="•"/>
      <w:lvlJc w:val="left"/>
      <w:pPr>
        <w:ind w:left="1869" w:hanging="284"/>
      </w:pPr>
      <w:rPr>
        <w:rFonts w:hint="default"/>
        <w:lang w:val="ca-ES" w:eastAsia="en-US" w:bidi="ar-SA"/>
      </w:rPr>
    </w:lvl>
    <w:lvl w:ilvl="8" w:tplc="C47C3B1E">
      <w:numFmt w:val="bullet"/>
      <w:lvlText w:val="•"/>
      <w:lvlJc w:val="left"/>
      <w:pPr>
        <w:ind w:left="2088" w:hanging="284"/>
      </w:pPr>
      <w:rPr>
        <w:rFonts w:hint="default"/>
        <w:lang w:val="ca-ES" w:eastAsia="en-US" w:bidi="ar-SA"/>
      </w:rPr>
    </w:lvl>
  </w:abstractNum>
  <w:abstractNum w:abstractNumId="13" w15:restartNumberingAfterBreak="0">
    <w:nsid w:val="11CB47AD"/>
    <w:multiLevelType w:val="hybridMultilevel"/>
    <w:tmpl w:val="47AC165C"/>
    <w:lvl w:ilvl="0" w:tplc="04030015">
      <w:start w:val="1"/>
      <w:numFmt w:val="upperLetter"/>
      <w:lvlText w:val="%1."/>
      <w:lvlJc w:val="left"/>
      <w:pPr>
        <w:tabs>
          <w:tab w:val="num" w:pos="360"/>
        </w:tabs>
        <w:ind w:left="360" w:hanging="360"/>
      </w:pPr>
    </w:lvl>
    <w:lvl w:ilvl="1" w:tplc="04030001">
      <w:start w:val="1"/>
      <w:numFmt w:val="bullet"/>
      <w:lvlText w:val=""/>
      <w:lvlJc w:val="left"/>
      <w:pPr>
        <w:tabs>
          <w:tab w:val="num" w:pos="1080"/>
        </w:tabs>
        <w:ind w:left="1080" w:hanging="360"/>
      </w:pPr>
      <w:rPr>
        <w:rFonts w:ascii="Symbol" w:hAnsi="Symbol" w:hint="default"/>
      </w:rPr>
    </w:lvl>
    <w:lvl w:ilvl="2" w:tplc="E6260148">
      <w:start w:val="9"/>
      <w:numFmt w:val="bullet"/>
      <w:lvlText w:val="–"/>
      <w:lvlJc w:val="left"/>
      <w:pPr>
        <w:tabs>
          <w:tab w:val="num" w:pos="1980"/>
        </w:tabs>
        <w:ind w:left="1980" w:hanging="360"/>
      </w:pPr>
      <w:rPr>
        <w:rFonts w:ascii="Arial" w:eastAsia="Times New Roman" w:hAnsi="Arial" w:cs="Arial" w:hint="default"/>
      </w:rPr>
    </w:lvl>
    <w:lvl w:ilvl="3" w:tplc="90A8FEE0">
      <w:start w:val="1"/>
      <w:numFmt w:val="decimal"/>
      <w:lvlText w:val="%4."/>
      <w:lvlJc w:val="left"/>
      <w:pPr>
        <w:ind w:left="2520" w:hanging="360"/>
      </w:pPr>
      <w:rPr>
        <w:rFonts w:hint="default"/>
      </w:rPr>
    </w:lvl>
    <w:lvl w:ilvl="4" w:tplc="4DB80300">
      <w:start w:val="1"/>
      <w:numFmt w:val="lowerLetter"/>
      <w:lvlText w:val="%5)"/>
      <w:lvlJc w:val="left"/>
      <w:pPr>
        <w:ind w:left="3240" w:hanging="360"/>
      </w:pPr>
      <w:rPr>
        <w:rFonts w:hint="default"/>
      </w:rPr>
    </w:lvl>
    <w:lvl w:ilvl="5" w:tplc="0403001B" w:tentative="1">
      <w:start w:val="1"/>
      <w:numFmt w:val="lowerRoman"/>
      <w:lvlText w:val="%6."/>
      <w:lvlJc w:val="right"/>
      <w:pPr>
        <w:tabs>
          <w:tab w:val="num" w:pos="3960"/>
        </w:tabs>
        <w:ind w:left="3960" w:hanging="180"/>
      </w:pPr>
    </w:lvl>
    <w:lvl w:ilvl="6" w:tplc="0403000F" w:tentative="1">
      <w:start w:val="1"/>
      <w:numFmt w:val="decimal"/>
      <w:lvlText w:val="%7."/>
      <w:lvlJc w:val="left"/>
      <w:pPr>
        <w:tabs>
          <w:tab w:val="num" w:pos="4680"/>
        </w:tabs>
        <w:ind w:left="4680" w:hanging="360"/>
      </w:pPr>
    </w:lvl>
    <w:lvl w:ilvl="7" w:tplc="04030019" w:tentative="1">
      <w:start w:val="1"/>
      <w:numFmt w:val="lowerLetter"/>
      <w:lvlText w:val="%8."/>
      <w:lvlJc w:val="left"/>
      <w:pPr>
        <w:tabs>
          <w:tab w:val="num" w:pos="5400"/>
        </w:tabs>
        <w:ind w:left="5400" w:hanging="360"/>
      </w:pPr>
    </w:lvl>
    <w:lvl w:ilvl="8" w:tplc="0403001B" w:tentative="1">
      <w:start w:val="1"/>
      <w:numFmt w:val="lowerRoman"/>
      <w:lvlText w:val="%9."/>
      <w:lvlJc w:val="right"/>
      <w:pPr>
        <w:tabs>
          <w:tab w:val="num" w:pos="6120"/>
        </w:tabs>
        <w:ind w:left="6120" w:hanging="180"/>
      </w:pPr>
    </w:lvl>
  </w:abstractNum>
  <w:abstractNum w:abstractNumId="14" w15:restartNumberingAfterBreak="0">
    <w:nsid w:val="12D51D9A"/>
    <w:multiLevelType w:val="hybridMultilevel"/>
    <w:tmpl w:val="C1FC519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17F55746"/>
    <w:multiLevelType w:val="hybridMultilevel"/>
    <w:tmpl w:val="FFBEC106"/>
    <w:lvl w:ilvl="0" w:tplc="04030009">
      <w:start w:val="1"/>
      <w:numFmt w:val="bullet"/>
      <w:lvlText w:val=""/>
      <w:lvlJc w:val="left"/>
      <w:pPr>
        <w:tabs>
          <w:tab w:val="num" w:pos="360"/>
        </w:tabs>
        <w:ind w:left="360" w:hanging="360"/>
      </w:pPr>
      <w:rPr>
        <w:rFonts w:ascii="Wingdings" w:hAnsi="Wingdings" w:hint="default"/>
      </w:rPr>
    </w:lvl>
    <w:lvl w:ilvl="1" w:tplc="04030003" w:tentative="1">
      <w:start w:val="1"/>
      <w:numFmt w:val="bullet"/>
      <w:lvlText w:val="o"/>
      <w:lvlJc w:val="left"/>
      <w:pPr>
        <w:tabs>
          <w:tab w:val="num" w:pos="1080"/>
        </w:tabs>
        <w:ind w:left="1080" w:hanging="360"/>
      </w:pPr>
      <w:rPr>
        <w:rFonts w:ascii="Courier New" w:hAnsi="Courier New" w:cs="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7FF53BC"/>
    <w:multiLevelType w:val="hybridMultilevel"/>
    <w:tmpl w:val="58D8D14A"/>
    <w:lvl w:ilvl="0" w:tplc="AF0015DE">
      <w:numFmt w:val="bullet"/>
      <w:lvlText w:val=""/>
      <w:lvlJc w:val="left"/>
      <w:pPr>
        <w:ind w:left="333" w:hanging="284"/>
      </w:pPr>
      <w:rPr>
        <w:rFonts w:ascii="Symbol" w:eastAsia="Symbol" w:hAnsi="Symbol" w:cs="Symbol" w:hint="default"/>
        <w:w w:val="100"/>
        <w:sz w:val="22"/>
        <w:szCs w:val="22"/>
        <w:lang w:val="ca-ES" w:eastAsia="en-US" w:bidi="ar-SA"/>
      </w:rPr>
    </w:lvl>
    <w:lvl w:ilvl="1" w:tplc="62F26136">
      <w:numFmt w:val="bullet"/>
      <w:lvlText w:val="•"/>
      <w:lvlJc w:val="left"/>
      <w:pPr>
        <w:ind w:left="558" w:hanging="284"/>
      </w:pPr>
      <w:rPr>
        <w:rFonts w:hint="default"/>
        <w:lang w:val="ca-ES" w:eastAsia="en-US" w:bidi="ar-SA"/>
      </w:rPr>
    </w:lvl>
    <w:lvl w:ilvl="2" w:tplc="BB1E0AC0">
      <w:numFmt w:val="bullet"/>
      <w:lvlText w:val="•"/>
      <w:lvlJc w:val="left"/>
      <w:pPr>
        <w:ind w:left="777" w:hanging="284"/>
      </w:pPr>
      <w:rPr>
        <w:rFonts w:hint="default"/>
        <w:lang w:val="ca-ES" w:eastAsia="en-US" w:bidi="ar-SA"/>
      </w:rPr>
    </w:lvl>
    <w:lvl w:ilvl="3" w:tplc="B1D494AE">
      <w:numFmt w:val="bullet"/>
      <w:lvlText w:val="•"/>
      <w:lvlJc w:val="left"/>
      <w:pPr>
        <w:ind w:left="995" w:hanging="284"/>
      </w:pPr>
      <w:rPr>
        <w:rFonts w:hint="default"/>
        <w:lang w:val="ca-ES" w:eastAsia="en-US" w:bidi="ar-SA"/>
      </w:rPr>
    </w:lvl>
    <w:lvl w:ilvl="4" w:tplc="486CAC54">
      <w:numFmt w:val="bullet"/>
      <w:lvlText w:val="•"/>
      <w:lvlJc w:val="left"/>
      <w:pPr>
        <w:ind w:left="1214" w:hanging="284"/>
      </w:pPr>
      <w:rPr>
        <w:rFonts w:hint="default"/>
        <w:lang w:val="ca-ES" w:eastAsia="en-US" w:bidi="ar-SA"/>
      </w:rPr>
    </w:lvl>
    <w:lvl w:ilvl="5" w:tplc="98047520">
      <w:numFmt w:val="bullet"/>
      <w:lvlText w:val="•"/>
      <w:lvlJc w:val="left"/>
      <w:pPr>
        <w:ind w:left="1432" w:hanging="284"/>
      </w:pPr>
      <w:rPr>
        <w:rFonts w:hint="default"/>
        <w:lang w:val="ca-ES" w:eastAsia="en-US" w:bidi="ar-SA"/>
      </w:rPr>
    </w:lvl>
    <w:lvl w:ilvl="6" w:tplc="B156A7EE">
      <w:numFmt w:val="bullet"/>
      <w:lvlText w:val="•"/>
      <w:lvlJc w:val="left"/>
      <w:pPr>
        <w:ind w:left="1651" w:hanging="284"/>
      </w:pPr>
      <w:rPr>
        <w:rFonts w:hint="default"/>
        <w:lang w:val="ca-ES" w:eastAsia="en-US" w:bidi="ar-SA"/>
      </w:rPr>
    </w:lvl>
    <w:lvl w:ilvl="7" w:tplc="F312B06A">
      <w:numFmt w:val="bullet"/>
      <w:lvlText w:val="•"/>
      <w:lvlJc w:val="left"/>
      <w:pPr>
        <w:ind w:left="1869" w:hanging="284"/>
      </w:pPr>
      <w:rPr>
        <w:rFonts w:hint="default"/>
        <w:lang w:val="ca-ES" w:eastAsia="en-US" w:bidi="ar-SA"/>
      </w:rPr>
    </w:lvl>
    <w:lvl w:ilvl="8" w:tplc="68D062A8">
      <w:numFmt w:val="bullet"/>
      <w:lvlText w:val="•"/>
      <w:lvlJc w:val="left"/>
      <w:pPr>
        <w:ind w:left="2088" w:hanging="284"/>
      </w:pPr>
      <w:rPr>
        <w:rFonts w:hint="default"/>
        <w:lang w:val="ca-ES" w:eastAsia="en-US" w:bidi="ar-SA"/>
      </w:rPr>
    </w:lvl>
  </w:abstractNum>
  <w:abstractNum w:abstractNumId="17" w15:restartNumberingAfterBreak="0">
    <w:nsid w:val="18802D71"/>
    <w:multiLevelType w:val="hybridMultilevel"/>
    <w:tmpl w:val="06DEDECE"/>
    <w:lvl w:ilvl="0" w:tplc="040A0001">
      <w:start w:val="1"/>
      <w:numFmt w:val="bullet"/>
      <w:lvlText w:val=""/>
      <w:lvlJc w:val="left"/>
      <w:pPr>
        <w:tabs>
          <w:tab w:val="num" w:pos="720"/>
        </w:tabs>
        <w:ind w:left="720" w:hanging="360"/>
      </w:pPr>
      <w:rPr>
        <w:rFonts w:ascii="Symbol" w:hAnsi="Symbol" w:hint="default"/>
      </w:rPr>
    </w:lvl>
    <w:lvl w:ilvl="1" w:tplc="040A000F">
      <w:start w:val="1"/>
      <w:numFmt w:val="decimal"/>
      <w:lvlText w:val="%2."/>
      <w:lvlJc w:val="left"/>
      <w:pPr>
        <w:tabs>
          <w:tab w:val="num" w:pos="1440"/>
        </w:tabs>
        <w:ind w:left="1440" w:hanging="360"/>
      </w:pPr>
      <w:rPr>
        <w:rFonts w:hint="default"/>
      </w:rPr>
    </w:lvl>
    <w:lvl w:ilvl="2" w:tplc="040A0005">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A7418A2"/>
    <w:multiLevelType w:val="hybridMultilevel"/>
    <w:tmpl w:val="4316F0DA"/>
    <w:lvl w:ilvl="0" w:tplc="739C8602">
      <w:start w:val="1"/>
      <w:numFmt w:val="decimal"/>
      <w:lvlText w:val="%1."/>
      <w:lvlJc w:val="left"/>
      <w:pPr>
        <w:ind w:left="987" w:hanging="360"/>
      </w:pPr>
      <w:rPr>
        <w:rFonts w:ascii="Arial" w:eastAsia="Arial" w:hAnsi="Arial" w:cs="Arial" w:hint="default"/>
        <w:b/>
        <w:bCs/>
        <w:spacing w:val="-1"/>
        <w:w w:val="100"/>
        <w:sz w:val="22"/>
        <w:szCs w:val="22"/>
        <w:lang w:val="ca-ES" w:eastAsia="en-US" w:bidi="ar-SA"/>
      </w:rPr>
    </w:lvl>
    <w:lvl w:ilvl="1" w:tplc="6CE4E0E0">
      <w:numFmt w:val="bullet"/>
      <w:lvlText w:val=""/>
      <w:lvlJc w:val="left"/>
      <w:pPr>
        <w:ind w:left="1362" w:hanging="360"/>
      </w:pPr>
      <w:rPr>
        <w:rFonts w:ascii="Symbol" w:eastAsia="Symbol" w:hAnsi="Symbol" w:cs="Symbol" w:hint="default"/>
        <w:w w:val="100"/>
        <w:sz w:val="22"/>
        <w:szCs w:val="22"/>
        <w:lang w:val="ca-ES" w:eastAsia="en-US" w:bidi="ar-SA"/>
      </w:rPr>
    </w:lvl>
    <w:lvl w:ilvl="2" w:tplc="AE4AC41A">
      <w:numFmt w:val="bullet"/>
      <w:lvlText w:val="•"/>
      <w:lvlJc w:val="left"/>
      <w:pPr>
        <w:ind w:left="2334" w:hanging="360"/>
      </w:pPr>
      <w:rPr>
        <w:rFonts w:hint="default"/>
        <w:lang w:val="ca-ES" w:eastAsia="en-US" w:bidi="ar-SA"/>
      </w:rPr>
    </w:lvl>
    <w:lvl w:ilvl="3" w:tplc="AF445CA8">
      <w:numFmt w:val="bullet"/>
      <w:lvlText w:val="•"/>
      <w:lvlJc w:val="left"/>
      <w:pPr>
        <w:ind w:left="3308" w:hanging="360"/>
      </w:pPr>
      <w:rPr>
        <w:rFonts w:hint="default"/>
        <w:lang w:val="ca-ES" w:eastAsia="en-US" w:bidi="ar-SA"/>
      </w:rPr>
    </w:lvl>
    <w:lvl w:ilvl="4" w:tplc="2504602C">
      <w:numFmt w:val="bullet"/>
      <w:lvlText w:val="•"/>
      <w:lvlJc w:val="left"/>
      <w:pPr>
        <w:ind w:left="4282" w:hanging="360"/>
      </w:pPr>
      <w:rPr>
        <w:rFonts w:hint="default"/>
        <w:lang w:val="ca-ES" w:eastAsia="en-US" w:bidi="ar-SA"/>
      </w:rPr>
    </w:lvl>
    <w:lvl w:ilvl="5" w:tplc="CD8AC120">
      <w:numFmt w:val="bullet"/>
      <w:lvlText w:val="•"/>
      <w:lvlJc w:val="left"/>
      <w:pPr>
        <w:ind w:left="5256" w:hanging="360"/>
      </w:pPr>
      <w:rPr>
        <w:rFonts w:hint="default"/>
        <w:lang w:val="ca-ES" w:eastAsia="en-US" w:bidi="ar-SA"/>
      </w:rPr>
    </w:lvl>
    <w:lvl w:ilvl="6" w:tplc="9C0AD254">
      <w:numFmt w:val="bullet"/>
      <w:lvlText w:val="•"/>
      <w:lvlJc w:val="left"/>
      <w:pPr>
        <w:ind w:left="6230" w:hanging="360"/>
      </w:pPr>
      <w:rPr>
        <w:rFonts w:hint="default"/>
        <w:lang w:val="ca-ES" w:eastAsia="en-US" w:bidi="ar-SA"/>
      </w:rPr>
    </w:lvl>
    <w:lvl w:ilvl="7" w:tplc="6292F316">
      <w:numFmt w:val="bullet"/>
      <w:lvlText w:val="•"/>
      <w:lvlJc w:val="left"/>
      <w:pPr>
        <w:ind w:left="7204" w:hanging="360"/>
      </w:pPr>
      <w:rPr>
        <w:rFonts w:hint="default"/>
        <w:lang w:val="ca-ES" w:eastAsia="en-US" w:bidi="ar-SA"/>
      </w:rPr>
    </w:lvl>
    <w:lvl w:ilvl="8" w:tplc="45FADEAE">
      <w:numFmt w:val="bullet"/>
      <w:lvlText w:val="•"/>
      <w:lvlJc w:val="left"/>
      <w:pPr>
        <w:ind w:left="8178" w:hanging="360"/>
      </w:pPr>
      <w:rPr>
        <w:rFonts w:hint="default"/>
        <w:lang w:val="ca-ES" w:eastAsia="en-US" w:bidi="ar-SA"/>
      </w:rPr>
    </w:lvl>
  </w:abstractNum>
  <w:abstractNum w:abstractNumId="19" w15:restartNumberingAfterBreak="0">
    <w:nsid w:val="1C272B44"/>
    <w:multiLevelType w:val="hybridMultilevel"/>
    <w:tmpl w:val="3A122176"/>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0" w15:restartNumberingAfterBreak="0">
    <w:nsid w:val="20B20E28"/>
    <w:multiLevelType w:val="hybridMultilevel"/>
    <w:tmpl w:val="94888CCA"/>
    <w:lvl w:ilvl="0" w:tplc="040A0001">
      <w:start w:val="1"/>
      <w:numFmt w:val="bullet"/>
      <w:lvlText w:val=""/>
      <w:lvlJc w:val="left"/>
      <w:pPr>
        <w:tabs>
          <w:tab w:val="num" w:pos="1080"/>
        </w:tabs>
        <w:ind w:left="1080" w:hanging="360"/>
      </w:pPr>
      <w:rPr>
        <w:rFonts w:ascii="Symbol" w:hAnsi="Symbol" w:hint="default"/>
      </w:rPr>
    </w:lvl>
    <w:lvl w:ilvl="1" w:tplc="040A0003" w:tentative="1">
      <w:start w:val="1"/>
      <w:numFmt w:val="bullet"/>
      <w:lvlText w:val="o"/>
      <w:lvlJc w:val="left"/>
      <w:pPr>
        <w:tabs>
          <w:tab w:val="num" w:pos="1800"/>
        </w:tabs>
        <w:ind w:left="1800" w:hanging="360"/>
      </w:pPr>
      <w:rPr>
        <w:rFonts w:ascii="Courier New" w:hAnsi="Courier New" w:cs="Courier New" w:hint="default"/>
      </w:rPr>
    </w:lvl>
    <w:lvl w:ilvl="2" w:tplc="040A0005" w:tentative="1">
      <w:start w:val="1"/>
      <w:numFmt w:val="bullet"/>
      <w:lvlText w:val=""/>
      <w:lvlJc w:val="left"/>
      <w:pPr>
        <w:tabs>
          <w:tab w:val="num" w:pos="2520"/>
        </w:tabs>
        <w:ind w:left="2520" w:hanging="360"/>
      </w:pPr>
      <w:rPr>
        <w:rFonts w:ascii="Wingdings" w:hAnsi="Wingdings" w:hint="default"/>
      </w:rPr>
    </w:lvl>
    <w:lvl w:ilvl="3" w:tplc="040A0001" w:tentative="1">
      <w:start w:val="1"/>
      <w:numFmt w:val="bullet"/>
      <w:lvlText w:val=""/>
      <w:lvlJc w:val="left"/>
      <w:pPr>
        <w:tabs>
          <w:tab w:val="num" w:pos="3240"/>
        </w:tabs>
        <w:ind w:left="3240" w:hanging="360"/>
      </w:pPr>
      <w:rPr>
        <w:rFonts w:ascii="Symbol" w:hAnsi="Symbol" w:hint="default"/>
      </w:rPr>
    </w:lvl>
    <w:lvl w:ilvl="4" w:tplc="040A0003" w:tentative="1">
      <w:start w:val="1"/>
      <w:numFmt w:val="bullet"/>
      <w:lvlText w:val="o"/>
      <w:lvlJc w:val="left"/>
      <w:pPr>
        <w:tabs>
          <w:tab w:val="num" w:pos="3960"/>
        </w:tabs>
        <w:ind w:left="3960" w:hanging="360"/>
      </w:pPr>
      <w:rPr>
        <w:rFonts w:ascii="Courier New" w:hAnsi="Courier New" w:cs="Courier New" w:hint="default"/>
      </w:rPr>
    </w:lvl>
    <w:lvl w:ilvl="5" w:tplc="040A0005" w:tentative="1">
      <w:start w:val="1"/>
      <w:numFmt w:val="bullet"/>
      <w:lvlText w:val=""/>
      <w:lvlJc w:val="left"/>
      <w:pPr>
        <w:tabs>
          <w:tab w:val="num" w:pos="4680"/>
        </w:tabs>
        <w:ind w:left="4680" w:hanging="360"/>
      </w:pPr>
      <w:rPr>
        <w:rFonts w:ascii="Wingdings" w:hAnsi="Wingdings" w:hint="default"/>
      </w:rPr>
    </w:lvl>
    <w:lvl w:ilvl="6" w:tplc="040A0001" w:tentative="1">
      <w:start w:val="1"/>
      <w:numFmt w:val="bullet"/>
      <w:lvlText w:val=""/>
      <w:lvlJc w:val="left"/>
      <w:pPr>
        <w:tabs>
          <w:tab w:val="num" w:pos="5400"/>
        </w:tabs>
        <w:ind w:left="5400" w:hanging="360"/>
      </w:pPr>
      <w:rPr>
        <w:rFonts w:ascii="Symbol" w:hAnsi="Symbol" w:hint="default"/>
      </w:rPr>
    </w:lvl>
    <w:lvl w:ilvl="7" w:tplc="040A0003" w:tentative="1">
      <w:start w:val="1"/>
      <w:numFmt w:val="bullet"/>
      <w:lvlText w:val="o"/>
      <w:lvlJc w:val="left"/>
      <w:pPr>
        <w:tabs>
          <w:tab w:val="num" w:pos="6120"/>
        </w:tabs>
        <w:ind w:left="6120" w:hanging="360"/>
      </w:pPr>
      <w:rPr>
        <w:rFonts w:ascii="Courier New" w:hAnsi="Courier New" w:cs="Courier New" w:hint="default"/>
      </w:rPr>
    </w:lvl>
    <w:lvl w:ilvl="8" w:tplc="040A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5753228"/>
    <w:multiLevelType w:val="hybridMultilevel"/>
    <w:tmpl w:val="DC9CD704"/>
    <w:lvl w:ilvl="0" w:tplc="040A0001">
      <w:start w:val="1"/>
      <w:numFmt w:val="bullet"/>
      <w:lvlText w:val=""/>
      <w:lvlJc w:val="left"/>
      <w:pPr>
        <w:tabs>
          <w:tab w:val="num" w:pos="1080"/>
        </w:tabs>
        <w:ind w:left="1080" w:hanging="360"/>
      </w:pPr>
      <w:rPr>
        <w:rFonts w:ascii="Symbol" w:hAnsi="Symbol" w:hint="default"/>
      </w:rPr>
    </w:lvl>
    <w:lvl w:ilvl="1" w:tplc="040A0003" w:tentative="1">
      <w:start w:val="1"/>
      <w:numFmt w:val="bullet"/>
      <w:lvlText w:val="o"/>
      <w:lvlJc w:val="left"/>
      <w:pPr>
        <w:tabs>
          <w:tab w:val="num" w:pos="1800"/>
        </w:tabs>
        <w:ind w:left="1800" w:hanging="360"/>
      </w:pPr>
      <w:rPr>
        <w:rFonts w:ascii="Courier New" w:hAnsi="Courier New" w:cs="Courier New" w:hint="default"/>
      </w:rPr>
    </w:lvl>
    <w:lvl w:ilvl="2" w:tplc="040A0005" w:tentative="1">
      <w:start w:val="1"/>
      <w:numFmt w:val="bullet"/>
      <w:lvlText w:val=""/>
      <w:lvlJc w:val="left"/>
      <w:pPr>
        <w:tabs>
          <w:tab w:val="num" w:pos="2520"/>
        </w:tabs>
        <w:ind w:left="2520" w:hanging="360"/>
      </w:pPr>
      <w:rPr>
        <w:rFonts w:ascii="Wingdings" w:hAnsi="Wingdings" w:hint="default"/>
      </w:rPr>
    </w:lvl>
    <w:lvl w:ilvl="3" w:tplc="040A0001" w:tentative="1">
      <w:start w:val="1"/>
      <w:numFmt w:val="bullet"/>
      <w:lvlText w:val=""/>
      <w:lvlJc w:val="left"/>
      <w:pPr>
        <w:tabs>
          <w:tab w:val="num" w:pos="3240"/>
        </w:tabs>
        <w:ind w:left="3240" w:hanging="360"/>
      </w:pPr>
      <w:rPr>
        <w:rFonts w:ascii="Symbol" w:hAnsi="Symbol" w:hint="default"/>
      </w:rPr>
    </w:lvl>
    <w:lvl w:ilvl="4" w:tplc="040A0003" w:tentative="1">
      <w:start w:val="1"/>
      <w:numFmt w:val="bullet"/>
      <w:lvlText w:val="o"/>
      <w:lvlJc w:val="left"/>
      <w:pPr>
        <w:tabs>
          <w:tab w:val="num" w:pos="3960"/>
        </w:tabs>
        <w:ind w:left="3960" w:hanging="360"/>
      </w:pPr>
      <w:rPr>
        <w:rFonts w:ascii="Courier New" w:hAnsi="Courier New" w:cs="Courier New" w:hint="default"/>
      </w:rPr>
    </w:lvl>
    <w:lvl w:ilvl="5" w:tplc="040A0005" w:tentative="1">
      <w:start w:val="1"/>
      <w:numFmt w:val="bullet"/>
      <w:lvlText w:val=""/>
      <w:lvlJc w:val="left"/>
      <w:pPr>
        <w:tabs>
          <w:tab w:val="num" w:pos="4680"/>
        </w:tabs>
        <w:ind w:left="4680" w:hanging="360"/>
      </w:pPr>
      <w:rPr>
        <w:rFonts w:ascii="Wingdings" w:hAnsi="Wingdings" w:hint="default"/>
      </w:rPr>
    </w:lvl>
    <w:lvl w:ilvl="6" w:tplc="040A0001" w:tentative="1">
      <w:start w:val="1"/>
      <w:numFmt w:val="bullet"/>
      <w:lvlText w:val=""/>
      <w:lvlJc w:val="left"/>
      <w:pPr>
        <w:tabs>
          <w:tab w:val="num" w:pos="5400"/>
        </w:tabs>
        <w:ind w:left="5400" w:hanging="360"/>
      </w:pPr>
      <w:rPr>
        <w:rFonts w:ascii="Symbol" w:hAnsi="Symbol" w:hint="default"/>
      </w:rPr>
    </w:lvl>
    <w:lvl w:ilvl="7" w:tplc="040A0003" w:tentative="1">
      <w:start w:val="1"/>
      <w:numFmt w:val="bullet"/>
      <w:lvlText w:val="o"/>
      <w:lvlJc w:val="left"/>
      <w:pPr>
        <w:tabs>
          <w:tab w:val="num" w:pos="6120"/>
        </w:tabs>
        <w:ind w:left="6120" w:hanging="360"/>
      </w:pPr>
      <w:rPr>
        <w:rFonts w:ascii="Courier New" w:hAnsi="Courier New" w:cs="Courier New" w:hint="default"/>
      </w:rPr>
    </w:lvl>
    <w:lvl w:ilvl="8" w:tplc="040A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288664A9"/>
    <w:multiLevelType w:val="hybridMultilevel"/>
    <w:tmpl w:val="CFF2F226"/>
    <w:lvl w:ilvl="0" w:tplc="040A0001">
      <w:start w:val="1"/>
      <w:numFmt w:val="bullet"/>
      <w:lvlText w:val=""/>
      <w:lvlJc w:val="left"/>
      <w:pPr>
        <w:tabs>
          <w:tab w:val="num" w:pos="1080"/>
        </w:tabs>
        <w:ind w:left="1080" w:hanging="360"/>
      </w:pPr>
      <w:rPr>
        <w:rFonts w:ascii="Symbol" w:hAnsi="Symbol" w:hint="default"/>
      </w:rPr>
    </w:lvl>
    <w:lvl w:ilvl="1" w:tplc="040A0003" w:tentative="1">
      <w:start w:val="1"/>
      <w:numFmt w:val="bullet"/>
      <w:lvlText w:val="o"/>
      <w:lvlJc w:val="left"/>
      <w:pPr>
        <w:tabs>
          <w:tab w:val="num" w:pos="1800"/>
        </w:tabs>
        <w:ind w:left="1800" w:hanging="360"/>
      </w:pPr>
      <w:rPr>
        <w:rFonts w:ascii="Courier New" w:hAnsi="Courier New" w:cs="Courier New" w:hint="default"/>
      </w:rPr>
    </w:lvl>
    <w:lvl w:ilvl="2" w:tplc="040A0005" w:tentative="1">
      <w:start w:val="1"/>
      <w:numFmt w:val="bullet"/>
      <w:lvlText w:val=""/>
      <w:lvlJc w:val="left"/>
      <w:pPr>
        <w:tabs>
          <w:tab w:val="num" w:pos="2520"/>
        </w:tabs>
        <w:ind w:left="2520" w:hanging="360"/>
      </w:pPr>
      <w:rPr>
        <w:rFonts w:ascii="Wingdings" w:hAnsi="Wingdings" w:hint="default"/>
      </w:rPr>
    </w:lvl>
    <w:lvl w:ilvl="3" w:tplc="040A0001" w:tentative="1">
      <w:start w:val="1"/>
      <w:numFmt w:val="bullet"/>
      <w:lvlText w:val=""/>
      <w:lvlJc w:val="left"/>
      <w:pPr>
        <w:tabs>
          <w:tab w:val="num" w:pos="3240"/>
        </w:tabs>
        <w:ind w:left="3240" w:hanging="360"/>
      </w:pPr>
      <w:rPr>
        <w:rFonts w:ascii="Symbol" w:hAnsi="Symbol" w:hint="default"/>
      </w:rPr>
    </w:lvl>
    <w:lvl w:ilvl="4" w:tplc="040A0003" w:tentative="1">
      <w:start w:val="1"/>
      <w:numFmt w:val="bullet"/>
      <w:lvlText w:val="o"/>
      <w:lvlJc w:val="left"/>
      <w:pPr>
        <w:tabs>
          <w:tab w:val="num" w:pos="3960"/>
        </w:tabs>
        <w:ind w:left="3960" w:hanging="360"/>
      </w:pPr>
      <w:rPr>
        <w:rFonts w:ascii="Courier New" w:hAnsi="Courier New" w:cs="Courier New" w:hint="default"/>
      </w:rPr>
    </w:lvl>
    <w:lvl w:ilvl="5" w:tplc="040A0005" w:tentative="1">
      <w:start w:val="1"/>
      <w:numFmt w:val="bullet"/>
      <w:lvlText w:val=""/>
      <w:lvlJc w:val="left"/>
      <w:pPr>
        <w:tabs>
          <w:tab w:val="num" w:pos="4680"/>
        </w:tabs>
        <w:ind w:left="4680" w:hanging="360"/>
      </w:pPr>
      <w:rPr>
        <w:rFonts w:ascii="Wingdings" w:hAnsi="Wingdings" w:hint="default"/>
      </w:rPr>
    </w:lvl>
    <w:lvl w:ilvl="6" w:tplc="040A0001" w:tentative="1">
      <w:start w:val="1"/>
      <w:numFmt w:val="bullet"/>
      <w:lvlText w:val=""/>
      <w:lvlJc w:val="left"/>
      <w:pPr>
        <w:tabs>
          <w:tab w:val="num" w:pos="5400"/>
        </w:tabs>
        <w:ind w:left="5400" w:hanging="360"/>
      </w:pPr>
      <w:rPr>
        <w:rFonts w:ascii="Symbol" w:hAnsi="Symbol" w:hint="default"/>
      </w:rPr>
    </w:lvl>
    <w:lvl w:ilvl="7" w:tplc="040A0003" w:tentative="1">
      <w:start w:val="1"/>
      <w:numFmt w:val="bullet"/>
      <w:lvlText w:val="o"/>
      <w:lvlJc w:val="left"/>
      <w:pPr>
        <w:tabs>
          <w:tab w:val="num" w:pos="6120"/>
        </w:tabs>
        <w:ind w:left="6120" w:hanging="360"/>
      </w:pPr>
      <w:rPr>
        <w:rFonts w:ascii="Courier New" w:hAnsi="Courier New" w:cs="Courier New" w:hint="default"/>
      </w:rPr>
    </w:lvl>
    <w:lvl w:ilvl="8" w:tplc="040A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2A2C1DF4"/>
    <w:multiLevelType w:val="hybridMultilevel"/>
    <w:tmpl w:val="8D8E194A"/>
    <w:lvl w:ilvl="0" w:tplc="1ED640A0">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4" w15:restartNumberingAfterBreak="0">
    <w:nsid w:val="2B2270C2"/>
    <w:multiLevelType w:val="hybridMultilevel"/>
    <w:tmpl w:val="48F2C1AA"/>
    <w:lvl w:ilvl="0" w:tplc="040A0001">
      <w:start w:val="1"/>
      <w:numFmt w:val="bullet"/>
      <w:lvlText w:val=""/>
      <w:lvlJc w:val="left"/>
      <w:pPr>
        <w:tabs>
          <w:tab w:val="num" w:pos="1080"/>
        </w:tabs>
        <w:ind w:left="1080" w:hanging="360"/>
      </w:pPr>
      <w:rPr>
        <w:rFonts w:ascii="Symbol" w:hAnsi="Symbol" w:hint="default"/>
      </w:rPr>
    </w:lvl>
    <w:lvl w:ilvl="1" w:tplc="040A0003" w:tentative="1">
      <w:start w:val="1"/>
      <w:numFmt w:val="bullet"/>
      <w:lvlText w:val="o"/>
      <w:lvlJc w:val="left"/>
      <w:pPr>
        <w:tabs>
          <w:tab w:val="num" w:pos="1800"/>
        </w:tabs>
        <w:ind w:left="1800" w:hanging="360"/>
      </w:pPr>
      <w:rPr>
        <w:rFonts w:ascii="Courier New" w:hAnsi="Courier New" w:cs="Courier New" w:hint="default"/>
      </w:rPr>
    </w:lvl>
    <w:lvl w:ilvl="2" w:tplc="040A0005" w:tentative="1">
      <w:start w:val="1"/>
      <w:numFmt w:val="bullet"/>
      <w:lvlText w:val=""/>
      <w:lvlJc w:val="left"/>
      <w:pPr>
        <w:tabs>
          <w:tab w:val="num" w:pos="2520"/>
        </w:tabs>
        <w:ind w:left="2520" w:hanging="360"/>
      </w:pPr>
      <w:rPr>
        <w:rFonts w:ascii="Wingdings" w:hAnsi="Wingdings" w:hint="default"/>
      </w:rPr>
    </w:lvl>
    <w:lvl w:ilvl="3" w:tplc="040A0001" w:tentative="1">
      <w:start w:val="1"/>
      <w:numFmt w:val="bullet"/>
      <w:lvlText w:val=""/>
      <w:lvlJc w:val="left"/>
      <w:pPr>
        <w:tabs>
          <w:tab w:val="num" w:pos="3240"/>
        </w:tabs>
        <w:ind w:left="3240" w:hanging="360"/>
      </w:pPr>
      <w:rPr>
        <w:rFonts w:ascii="Symbol" w:hAnsi="Symbol" w:hint="default"/>
      </w:rPr>
    </w:lvl>
    <w:lvl w:ilvl="4" w:tplc="040A0003" w:tentative="1">
      <w:start w:val="1"/>
      <w:numFmt w:val="bullet"/>
      <w:lvlText w:val="o"/>
      <w:lvlJc w:val="left"/>
      <w:pPr>
        <w:tabs>
          <w:tab w:val="num" w:pos="3960"/>
        </w:tabs>
        <w:ind w:left="3960" w:hanging="360"/>
      </w:pPr>
      <w:rPr>
        <w:rFonts w:ascii="Courier New" w:hAnsi="Courier New" w:cs="Courier New" w:hint="default"/>
      </w:rPr>
    </w:lvl>
    <w:lvl w:ilvl="5" w:tplc="040A0005" w:tentative="1">
      <w:start w:val="1"/>
      <w:numFmt w:val="bullet"/>
      <w:lvlText w:val=""/>
      <w:lvlJc w:val="left"/>
      <w:pPr>
        <w:tabs>
          <w:tab w:val="num" w:pos="4680"/>
        </w:tabs>
        <w:ind w:left="4680" w:hanging="360"/>
      </w:pPr>
      <w:rPr>
        <w:rFonts w:ascii="Wingdings" w:hAnsi="Wingdings" w:hint="default"/>
      </w:rPr>
    </w:lvl>
    <w:lvl w:ilvl="6" w:tplc="040A0001" w:tentative="1">
      <w:start w:val="1"/>
      <w:numFmt w:val="bullet"/>
      <w:lvlText w:val=""/>
      <w:lvlJc w:val="left"/>
      <w:pPr>
        <w:tabs>
          <w:tab w:val="num" w:pos="5400"/>
        </w:tabs>
        <w:ind w:left="5400" w:hanging="360"/>
      </w:pPr>
      <w:rPr>
        <w:rFonts w:ascii="Symbol" w:hAnsi="Symbol" w:hint="default"/>
      </w:rPr>
    </w:lvl>
    <w:lvl w:ilvl="7" w:tplc="040A0003" w:tentative="1">
      <w:start w:val="1"/>
      <w:numFmt w:val="bullet"/>
      <w:lvlText w:val="o"/>
      <w:lvlJc w:val="left"/>
      <w:pPr>
        <w:tabs>
          <w:tab w:val="num" w:pos="6120"/>
        </w:tabs>
        <w:ind w:left="6120" w:hanging="360"/>
      </w:pPr>
      <w:rPr>
        <w:rFonts w:ascii="Courier New" w:hAnsi="Courier New" w:cs="Courier New" w:hint="default"/>
      </w:rPr>
    </w:lvl>
    <w:lvl w:ilvl="8" w:tplc="040A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2C073326"/>
    <w:multiLevelType w:val="hybridMultilevel"/>
    <w:tmpl w:val="FCBECDC6"/>
    <w:lvl w:ilvl="0" w:tplc="04030009">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2FA03A5E"/>
    <w:multiLevelType w:val="hybridMultilevel"/>
    <w:tmpl w:val="D17CF878"/>
    <w:lvl w:ilvl="0" w:tplc="B1B28B0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3040491C"/>
    <w:multiLevelType w:val="hybridMultilevel"/>
    <w:tmpl w:val="E842DAD0"/>
    <w:lvl w:ilvl="0" w:tplc="EA8A3CB4">
      <w:numFmt w:val="bullet"/>
      <w:lvlText w:val=""/>
      <w:lvlJc w:val="left"/>
      <w:pPr>
        <w:ind w:left="333" w:hanging="284"/>
      </w:pPr>
      <w:rPr>
        <w:rFonts w:ascii="Symbol" w:eastAsia="Symbol" w:hAnsi="Symbol" w:cs="Symbol" w:hint="default"/>
        <w:w w:val="100"/>
        <w:sz w:val="22"/>
        <w:szCs w:val="22"/>
        <w:lang w:val="ca-ES" w:eastAsia="en-US" w:bidi="ar-SA"/>
      </w:rPr>
    </w:lvl>
    <w:lvl w:ilvl="1" w:tplc="4FE2E5C6">
      <w:numFmt w:val="bullet"/>
      <w:lvlText w:val="•"/>
      <w:lvlJc w:val="left"/>
      <w:pPr>
        <w:ind w:left="642" w:hanging="284"/>
      </w:pPr>
      <w:rPr>
        <w:rFonts w:hint="default"/>
        <w:lang w:val="ca-ES" w:eastAsia="en-US" w:bidi="ar-SA"/>
      </w:rPr>
    </w:lvl>
    <w:lvl w:ilvl="2" w:tplc="70E8E83E">
      <w:numFmt w:val="bullet"/>
      <w:lvlText w:val="•"/>
      <w:lvlJc w:val="left"/>
      <w:pPr>
        <w:ind w:left="944" w:hanging="284"/>
      </w:pPr>
      <w:rPr>
        <w:rFonts w:hint="default"/>
        <w:lang w:val="ca-ES" w:eastAsia="en-US" w:bidi="ar-SA"/>
      </w:rPr>
    </w:lvl>
    <w:lvl w:ilvl="3" w:tplc="0E94955A">
      <w:numFmt w:val="bullet"/>
      <w:lvlText w:val="•"/>
      <w:lvlJc w:val="left"/>
      <w:pPr>
        <w:ind w:left="1246" w:hanging="284"/>
      </w:pPr>
      <w:rPr>
        <w:rFonts w:hint="default"/>
        <w:lang w:val="ca-ES" w:eastAsia="en-US" w:bidi="ar-SA"/>
      </w:rPr>
    </w:lvl>
    <w:lvl w:ilvl="4" w:tplc="11BE0F5C">
      <w:numFmt w:val="bullet"/>
      <w:lvlText w:val="•"/>
      <w:lvlJc w:val="left"/>
      <w:pPr>
        <w:ind w:left="1548" w:hanging="284"/>
      </w:pPr>
      <w:rPr>
        <w:rFonts w:hint="default"/>
        <w:lang w:val="ca-ES" w:eastAsia="en-US" w:bidi="ar-SA"/>
      </w:rPr>
    </w:lvl>
    <w:lvl w:ilvl="5" w:tplc="7F70947A">
      <w:numFmt w:val="bullet"/>
      <w:lvlText w:val="•"/>
      <w:lvlJc w:val="left"/>
      <w:pPr>
        <w:ind w:left="1850" w:hanging="284"/>
      </w:pPr>
      <w:rPr>
        <w:rFonts w:hint="default"/>
        <w:lang w:val="ca-ES" w:eastAsia="en-US" w:bidi="ar-SA"/>
      </w:rPr>
    </w:lvl>
    <w:lvl w:ilvl="6" w:tplc="82AEADF8">
      <w:numFmt w:val="bullet"/>
      <w:lvlText w:val="•"/>
      <w:lvlJc w:val="left"/>
      <w:pPr>
        <w:ind w:left="2152" w:hanging="284"/>
      </w:pPr>
      <w:rPr>
        <w:rFonts w:hint="default"/>
        <w:lang w:val="ca-ES" w:eastAsia="en-US" w:bidi="ar-SA"/>
      </w:rPr>
    </w:lvl>
    <w:lvl w:ilvl="7" w:tplc="835CD0D2">
      <w:numFmt w:val="bullet"/>
      <w:lvlText w:val="•"/>
      <w:lvlJc w:val="left"/>
      <w:pPr>
        <w:ind w:left="2454" w:hanging="284"/>
      </w:pPr>
      <w:rPr>
        <w:rFonts w:hint="default"/>
        <w:lang w:val="ca-ES" w:eastAsia="en-US" w:bidi="ar-SA"/>
      </w:rPr>
    </w:lvl>
    <w:lvl w:ilvl="8" w:tplc="C8B0BAAC">
      <w:numFmt w:val="bullet"/>
      <w:lvlText w:val="•"/>
      <w:lvlJc w:val="left"/>
      <w:pPr>
        <w:ind w:left="2756" w:hanging="284"/>
      </w:pPr>
      <w:rPr>
        <w:rFonts w:hint="default"/>
        <w:lang w:val="ca-ES" w:eastAsia="en-US" w:bidi="ar-SA"/>
      </w:rPr>
    </w:lvl>
  </w:abstractNum>
  <w:abstractNum w:abstractNumId="28" w15:restartNumberingAfterBreak="0">
    <w:nsid w:val="329F42A7"/>
    <w:multiLevelType w:val="hybridMultilevel"/>
    <w:tmpl w:val="A586755C"/>
    <w:lvl w:ilvl="0" w:tplc="040A0001">
      <w:start w:val="1"/>
      <w:numFmt w:val="bullet"/>
      <w:lvlText w:val=""/>
      <w:lvlJc w:val="left"/>
      <w:pPr>
        <w:tabs>
          <w:tab w:val="num" w:pos="1080"/>
        </w:tabs>
        <w:ind w:left="1080" w:hanging="360"/>
      </w:pPr>
      <w:rPr>
        <w:rFonts w:ascii="Symbol" w:hAnsi="Symbol" w:hint="default"/>
      </w:rPr>
    </w:lvl>
    <w:lvl w:ilvl="1" w:tplc="040A0003" w:tentative="1">
      <w:start w:val="1"/>
      <w:numFmt w:val="bullet"/>
      <w:lvlText w:val="o"/>
      <w:lvlJc w:val="left"/>
      <w:pPr>
        <w:tabs>
          <w:tab w:val="num" w:pos="1800"/>
        </w:tabs>
        <w:ind w:left="1800" w:hanging="360"/>
      </w:pPr>
      <w:rPr>
        <w:rFonts w:ascii="Courier New" w:hAnsi="Courier New" w:cs="Courier New" w:hint="default"/>
      </w:rPr>
    </w:lvl>
    <w:lvl w:ilvl="2" w:tplc="040A0005" w:tentative="1">
      <w:start w:val="1"/>
      <w:numFmt w:val="bullet"/>
      <w:lvlText w:val=""/>
      <w:lvlJc w:val="left"/>
      <w:pPr>
        <w:tabs>
          <w:tab w:val="num" w:pos="2520"/>
        </w:tabs>
        <w:ind w:left="2520" w:hanging="360"/>
      </w:pPr>
      <w:rPr>
        <w:rFonts w:ascii="Wingdings" w:hAnsi="Wingdings" w:hint="default"/>
      </w:rPr>
    </w:lvl>
    <w:lvl w:ilvl="3" w:tplc="040A0001" w:tentative="1">
      <w:start w:val="1"/>
      <w:numFmt w:val="bullet"/>
      <w:lvlText w:val=""/>
      <w:lvlJc w:val="left"/>
      <w:pPr>
        <w:tabs>
          <w:tab w:val="num" w:pos="3240"/>
        </w:tabs>
        <w:ind w:left="3240" w:hanging="360"/>
      </w:pPr>
      <w:rPr>
        <w:rFonts w:ascii="Symbol" w:hAnsi="Symbol" w:hint="default"/>
      </w:rPr>
    </w:lvl>
    <w:lvl w:ilvl="4" w:tplc="040A0003" w:tentative="1">
      <w:start w:val="1"/>
      <w:numFmt w:val="bullet"/>
      <w:lvlText w:val="o"/>
      <w:lvlJc w:val="left"/>
      <w:pPr>
        <w:tabs>
          <w:tab w:val="num" w:pos="3960"/>
        </w:tabs>
        <w:ind w:left="3960" w:hanging="360"/>
      </w:pPr>
      <w:rPr>
        <w:rFonts w:ascii="Courier New" w:hAnsi="Courier New" w:cs="Courier New" w:hint="default"/>
      </w:rPr>
    </w:lvl>
    <w:lvl w:ilvl="5" w:tplc="040A0005" w:tentative="1">
      <w:start w:val="1"/>
      <w:numFmt w:val="bullet"/>
      <w:lvlText w:val=""/>
      <w:lvlJc w:val="left"/>
      <w:pPr>
        <w:tabs>
          <w:tab w:val="num" w:pos="4680"/>
        </w:tabs>
        <w:ind w:left="4680" w:hanging="360"/>
      </w:pPr>
      <w:rPr>
        <w:rFonts w:ascii="Wingdings" w:hAnsi="Wingdings" w:hint="default"/>
      </w:rPr>
    </w:lvl>
    <w:lvl w:ilvl="6" w:tplc="040A0001" w:tentative="1">
      <w:start w:val="1"/>
      <w:numFmt w:val="bullet"/>
      <w:lvlText w:val=""/>
      <w:lvlJc w:val="left"/>
      <w:pPr>
        <w:tabs>
          <w:tab w:val="num" w:pos="5400"/>
        </w:tabs>
        <w:ind w:left="5400" w:hanging="360"/>
      </w:pPr>
      <w:rPr>
        <w:rFonts w:ascii="Symbol" w:hAnsi="Symbol" w:hint="default"/>
      </w:rPr>
    </w:lvl>
    <w:lvl w:ilvl="7" w:tplc="040A0003" w:tentative="1">
      <w:start w:val="1"/>
      <w:numFmt w:val="bullet"/>
      <w:lvlText w:val="o"/>
      <w:lvlJc w:val="left"/>
      <w:pPr>
        <w:tabs>
          <w:tab w:val="num" w:pos="6120"/>
        </w:tabs>
        <w:ind w:left="6120" w:hanging="360"/>
      </w:pPr>
      <w:rPr>
        <w:rFonts w:ascii="Courier New" w:hAnsi="Courier New" w:cs="Courier New" w:hint="default"/>
      </w:rPr>
    </w:lvl>
    <w:lvl w:ilvl="8" w:tplc="04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32A63544"/>
    <w:multiLevelType w:val="hybridMultilevel"/>
    <w:tmpl w:val="3DB816CC"/>
    <w:lvl w:ilvl="0" w:tplc="6E9E0D34">
      <w:start w:val="4"/>
      <w:numFmt w:val="bullet"/>
      <w:lvlText w:val="-"/>
      <w:lvlJc w:val="left"/>
      <w:pPr>
        <w:tabs>
          <w:tab w:val="num" w:pos="360"/>
        </w:tabs>
        <w:ind w:left="360" w:hanging="360"/>
      </w:pPr>
      <w:rPr>
        <w:rFonts w:ascii="Book Antiqua" w:eastAsia="Times New Roman" w:hAnsi="Book Antiqua" w:cs="Times New Roman" w:hint="default"/>
        <w:b/>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333E1956"/>
    <w:multiLevelType w:val="hybridMultilevel"/>
    <w:tmpl w:val="55BA1336"/>
    <w:lvl w:ilvl="0" w:tplc="7CD687FA">
      <w:numFmt w:val="bullet"/>
      <w:lvlText w:val=""/>
      <w:lvlJc w:val="left"/>
      <w:pPr>
        <w:ind w:left="333" w:hanging="284"/>
      </w:pPr>
      <w:rPr>
        <w:rFonts w:ascii="Symbol" w:eastAsia="Symbol" w:hAnsi="Symbol" w:cs="Symbol" w:hint="default"/>
        <w:w w:val="100"/>
        <w:sz w:val="22"/>
        <w:szCs w:val="22"/>
        <w:lang w:val="ca-ES" w:eastAsia="en-US" w:bidi="ar-SA"/>
      </w:rPr>
    </w:lvl>
    <w:lvl w:ilvl="1" w:tplc="10527AA8">
      <w:numFmt w:val="bullet"/>
      <w:lvlText w:val="•"/>
      <w:lvlJc w:val="left"/>
      <w:pPr>
        <w:ind w:left="642" w:hanging="284"/>
      </w:pPr>
      <w:rPr>
        <w:rFonts w:hint="default"/>
        <w:lang w:val="ca-ES" w:eastAsia="en-US" w:bidi="ar-SA"/>
      </w:rPr>
    </w:lvl>
    <w:lvl w:ilvl="2" w:tplc="0C7EB130">
      <w:numFmt w:val="bullet"/>
      <w:lvlText w:val="•"/>
      <w:lvlJc w:val="left"/>
      <w:pPr>
        <w:ind w:left="944" w:hanging="284"/>
      </w:pPr>
      <w:rPr>
        <w:rFonts w:hint="default"/>
        <w:lang w:val="ca-ES" w:eastAsia="en-US" w:bidi="ar-SA"/>
      </w:rPr>
    </w:lvl>
    <w:lvl w:ilvl="3" w:tplc="037AA6BE">
      <w:numFmt w:val="bullet"/>
      <w:lvlText w:val="•"/>
      <w:lvlJc w:val="left"/>
      <w:pPr>
        <w:ind w:left="1246" w:hanging="284"/>
      </w:pPr>
      <w:rPr>
        <w:rFonts w:hint="default"/>
        <w:lang w:val="ca-ES" w:eastAsia="en-US" w:bidi="ar-SA"/>
      </w:rPr>
    </w:lvl>
    <w:lvl w:ilvl="4" w:tplc="67E05374">
      <w:numFmt w:val="bullet"/>
      <w:lvlText w:val="•"/>
      <w:lvlJc w:val="left"/>
      <w:pPr>
        <w:ind w:left="1548" w:hanging="284"/>
      </w:pPr>
      <w:rPr>
        <w:rFonts w:hint="default"/>
        <w:lang w:val="ca-ES" w:eastAsia="en-US" w:bidi="ar-SA"/>
      </w:rPr>
    </w:lvl>
    <w:lvl w:ilvl="5" w:tplc="D9008FFA">
      <w:numFmt w:val="bullet"/>
      <w:lvlText w:val="•"/>
      <w:lvlJc w:val="left"/>
      <w:pPr>
        <w:ind w:left="1850" w:hanging="284"/>
      </w:pPr>
      <w:rPr>
        <w:rFonts w:hint="default"/>
        <w:lang w:val="ca-ES" w:eastAsia="en-US" w:bidi="ar-SA"/>
      </w:rPr>
    </w:lvl>
    <w:lvl w:ilvl="6" w:tplc="0122D762">
      <w:numFmt w:val="bullet"/>
      <w:lvlText w:val="•"/>
      <w:lvlJc w:val="left"/>
      <w:pPr>
        <w:ind w:left="2152" w:hanging="284"/>
      </w:pPr>
      <w:rPr>
        <w:rFonts w:hint="default"/>
        <w:lang w:val="ca-ES" w:eastAsia="en-US" w:bidi="ar-SA"/>
      </w:rPr>
    </w:lvl>
    <w:lvl w:ilvl="7" w:tplc="52645302">
      <w:numFmt w:val="bullet"/>
      <w:lvlText w:val="•"/>
      <w:lvlJc w:val="left"/>
      <w:pPr>
        <w:ind w:left="2454" w:hanging="284"/>
      </w:pPr>
      <w:rPr>
        <w:rFonts w:hint="default"/>
        <w:lang w:val="ca-ES" w:eastAsia="en-US" w:bidi="ar-SA"/>
      </w:rPr>
    </w:lvl>
    <w:lvl w:ilvl="8" w:tplc="CC9E6712">
      <w:numFmt w:val="bullet"/>
      <w:lvlText w:val="•"/>
      <w:lvlJc w:val="left"/>
      <w:pPr>
        <w:ind w:left="2756" w:hanging="284"/>
      </w:pPr>
      <w:rPr>
        <w:rFonts w:hint="default"/>
        <w:lang w:val="ca-ES" w:eastAsia="en-US" w:bidi="ar-SA"/>
      </w:rPr>
    </w:lvl>
  </w:abstractNum>
  <w:abstractNum w:abstractNumId="31" w15:restartNumberingAfterBreak="0">
    <w:nsid w:val="34D052D7"/>
    <w:multiLevelType w:val="hybridMultilevel"/>
    <w:tmpl w:val="B62EAD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38484E49"/>
    <w:multiLevelType w:val="hybridMultilevel"/>
    <w:tmpl w:val="A46C5CB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399B3727"/>
    <w:multiLevelType w:val="hybridMultilevel"/>
    <w:tmpl w:val="03AE6944"/>
    <w:lvl w:ilvl="0" w:tplc="EAB013C2">
      <w:start w:val="1"/>
      <w:numFmt w:val="decimal"/>
      <w:lvlText w:val="%1)"/>
      <w:lvlJc w:val="left"/>
      <w:pPr>
        <w:ind w:left="1362" w:hanging="360"/>
      </w:pPr>
      <w:rPr>
        <w:rFonts w:hint="default"/>
        <w:b/>
        <w:bCs/>
        <w:spacing w:val="-1"/>
        <w:w w:val="100"/>
        <w:lang w:val="ca-ES" w:eastAsia="en-US" w:bidi="ar-SA"/>
      </w:rPr>
    </w:lvl>
    <w:lvl w:ilvl="1" w:tplc="78F48CD2">
      <w:start w:val="1"/>
      <w:numFmt w:val="lowerLetter"/>
      <w:lvlText w:val="%2)"/>
      <w:lvlJc w:val="left"/>
      <w:pPr>
        <w:ind w:left="2082" w:hanging="360"/>
      </w:pPr>
      <w:rPr>
        <w:rFonts w:ascii="Arial" w:eastAsia="Arial" w:hAnsi="Arial" w:cs="Arial" w:hint="default"/>
        <w:b/>
        <w:bCs/>
        <w:i/>
        <w:iCs/>
        <w:spacing w:val="-1"/>
        <w:w w:val="99"/>
        <w:sz w:val="20"/>
        <w:szCs w:val="20"/>
        <w:lang w:val="ca-ES" w:eastAsia="en-US" w:bidi="ar-SA"/>
      </w:rPr>
    </w:lvl>
    <w:lvl w:ilvl="2" w:tplc="D944B22E">
      <w:numFmt w:val="bullet"/>
      <w:lvlText w:val="•"/>
      <w:lvlJc w:val="left"/>
      <w:pPr>
        <w:ind w:left="2974" w:hanging="360"/>
      </w:pPr>
      <w:rPr>
        <w:rFonts w:hint="default"/>
        <w:lang w:val="ca-ES" w:eastAsia="en-US" w:bidi="ar-SA"/>
      </w:rPr>
    </w:lvl>
    <w:lvl w:ilvl="3" w:tplc="15747DBA">
      <w:numFmt w:val="bullet"/>
      <w:lvlText w:val="•"/>
      <w:lvlJc w:val="left"/>
      <w:pPr>
        <w:ind w:left="3868" w:hanging="360"/>
      </w:pPr>
      <w:rPr>
        <w:rFonts w:hint="default"/>
        <w:lang w:val="ca-ES" w:eastAsia="en-US" w:bidi="ar-SA"/>
      </w:rPr>
    </w:lvl>
    <w:lvl w:ilvl="4" w:tplc="BFC45440">
      <w:numFmt w:val="bullet"/>
      <w:lvlText w:val="•"/>
      <w:lvlJc w:val="left"/>
      <w:pPr>
        <w:ind w:left="4762" w:hanging="360"/>
      </w:pPr>
      <w:rPr>
        <w:rFonts w:hint="default"/>
        <w:lang w:val="ca-ES" w:eastAsia="en-US" w:bidi="ar-SA"/>
      </w:rPr>
    </w:lvl>
    <w:lvl w:ilvl="5" w:tplc="8ED62044">
      <w:numFmt w:val="bullet"/>
      <w:lvlText w:val="•"/>
      <w:lvlJc w:val="left"/>
      <w:pPr>
        <w:ind w:left="5656" w:hanging="360"/>
      </w:pPr>
      <w:rPr>
        <w:rFonts w:hint="default"/>
        <w:lang w:val="ca-ES" w:eastAsia="en-US" w:bidi="ar-SA"/>
      </w:rPr>
    </w:lvl>
    <w:lvl w:ilvl="6" w:tplc="2FE26C5E">
      <w:numFmt w:val="bullet"/>
      <w:lvlText w:val="•"/>
      <w:lvlJc w:val="left"/>
      <w:pPr>
        <w:ind w:left="6550" w:hanging="360"/>
      </w:pPr>
      <w:rPr>
        <w:rFonts w:hint="default"/>
        <w:lang w:val="ca-ES" w:eastAsia="en-US" w:bidi="ar-SA"/>
      </w:rPr>
    </w:lvl>
    <w:lvl w:ilvl="7" w:tplc="B06A49A6">
      <w:numFmt w:val="bullet"/>
      <w:lvlText w:val="•"/>
      <w:lvlJc w:val="left"/>
      <w:pPr>
        <w:ind w:left="7444" w:hanging="360"/>
      </w:pPr>
      <w:rPr>
        <w:rFonts w:hint="default"/>
        <w:lang w:val="ca-ES" w:eastAsia="en-US" w:bidi="ar-SA"/>
      </w:rPr>
    </w:lvl>
    <w:lvl w:ilvl="8" w:tplc="B30439F4">
      <w:numFmt w:val="bullet"/>
      <w:lvlText w:val="•"/>
      <w:lvlJc w:val="left"/>
      <w:pPr>
        <w:ind w:left="8338" w:hanging="360"/>
      </w:pPr>
      <w:rPr>
        <w:rFonts w:hint="default"/>
        <w:lang w:val="ca-ES" w:eastAsia="en-US" w:bidi="ar-SA"/>
      </w:rPr>
    </w:lvl>
  </w:abstractNum>
  <w:abstractNum w:abstractNumId="34" w15:restartNumberingAfterBreak="0">
    <w:nsid w:val="418E31A3"/>
    <w:multiLevelType w:val="hybridMultilevel"/>
    <w:tmpl w:val="F836C3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2F45ED8"/>
    <w:multiLevelType w:val="hybridMultilevel"/>
    <w:tmpl w:val="D67875F8"/>
    <w:lvl w:ilvl="0" w:tplc="040A0001">
      <w:start w:val="1"/>
      <w:numFmt w:val="bullet"/>
      <w:lvlText w:val=""/>
      <w:lvlJc w:val="left"/>
      <w:pPr>
        <w:tabs>
          <w:tab w:val="num" w:pos="1080"/>
        </w:tabs>
        <w:ind w:left="1080" w:hanging="360"/>
      </w:pPr>
      <w:rPr>
        <w:rFonts w:ascii="Symbol" w:hAnsi="Symbol" w:hint="default"/>
      </w:rPr>
    </w:lvl>
    <w:lvl w:ilvl="1" w:tplc="0C0A0017">
      <w:start w:val="1"/>
      <w:numFmt w:val="lowerLetter"/>
      <w:lvlText w:val="%2)"/>
      <w:lvlJc w:val="left"/>
      <w:pPr>
        <w:tabs>
          <w:tab w:val="num" w:pos="1800"/>
        </w:tabs>
        <w:ind w:left="1800" w:hanging="360"/>
      </w:pPr>
      <w:rPr>
        <w:rFonts w:hint="default"/>
      </w:rPr>
    </w:lvl>
    <w:lvl w:ilvl="2" w:tplc="040A0005" w:tentative="1">
      <w:start w:val="1"/>
      <w:numFmt w:val="bullet"/>
      <w:lvlText w:val=""/>
      <w:lvlJc w:val="left"/>
      <w:pPr>
        <w:tabs>
          <w:tab w:val="num" w:pos="2520"/>
        </w:tabs>
        <w:ind w:left="2520" w:hanging="360"/>
      </w:pPr>
      <w:rPr>
        <w:rFonts w:ascii="Wingdings" w:hAnsi="Wingdings" w:hint="default"/>
      </w:rPr>
    </w:lvl>
    <w:lvl w:ilvl="3" w:tplc="040A0001" w:tentative="1">
      <w:start w:val="1"/>
      <w:numFmt w:val="bullet"/>
      <w:lvlText w:val=""/>
      <w:lvlJc w:val="left"/>
      <w:pPr>
        <w:tabs>
          <w:tab w:val="num" w:pos="3240"/>
        </w:tabs>
        <w:ind w:left="3240" w:hanging="360"/>
      </w:pPr>
      <w:rPr>
        <w:rFonts w:ascii="Symbol" w:hAnsi="Symbol" w:hint="default"/>
      </w:rPr>
    </w:lvl>
    <w:lvl w:ilvl="4" w:tplc="040A0003" w:tentative="1">
      <w:start w:val="1"/>
      <w:numFmt w:val="bullet"/>
      <w:lvlText w:val="o"/>
      <w:lvlJc w:val="left"/>
      <w:pPr>
        <w:tabs>
          <w:tab w:val="num" w:pos="3960"/>
        </w:tabs>
        <w:ind w:left="3960" w:hanging="360"/>
      </w:pPr>
      <w:rPr>
        <w:rFonts w:ascii="Courier New" w:hAnsi="Courier New" w:cs="Courier New" w:hint="default"/>
      </w:rPr>
    </w:lvl>
    <w:lvl w:ilvl="5" w:tplc="040A0005" w:tentative="1">
      <w:start w:val="1"/>
      <w:numFmt w:val="bullet"/>
      <w:lvlText w:val=""/>
      <w:lvlJc w:val="left"/>
      <w:pPr>
        <w:tabs>
          <w:tab w:val="num" w:pos="4680"/>
        </w:tabs>
        <w:ind w:left="4680" w:hanging="360"/>
      </w:pPr>
      <w:rPr>
        <w:rFonts w:ascii="Wingdings" w:hAnsi="Wingdings" w:hint="default"/>
      </w:rPr>
    </w:lvl>
    <w:lvl w:ilvl="6" w:tplc="040A0001" w:tentative="1">
      <w:start w:val="1"/>
      <w:numFmt w:val="bullet"/>
      <w:lvlText w:val=""/>
      <w:lvlJc w:val="left"/>
      <w:pPr>
        <w:tabs>
          <w:tab w:val="num" w:pos="5400"/>
        </w:tabs>
        <w:ind w:left="5400" w:hanging="360"/>
      </w:pPr>
      <w:rPr>
        <w:rFonts w:ascii="Symbol" w:hAnsi="Symbol" w:hint="default"/>
      </w:rPr>
    </w:lvl>
    <w:lvl w:ilvl="7" w:tplc="040A0003" w:tentative="1">
      <w:start w:val="1"/>
      <w:numFmt w:val="bullet"/>
      <w:lvlText w:val="o"/>
      <w:lvlJc w:val="left"/>
      <w:pPr>
        <w:tabs>
          <w:tab w:val="num" w:pos="6120"/>
        </w:tabs>
        <w:ind w:left="6120" w:hanging="360"/>
      </w:pPr>
      <w:rPr>
        <w:rFonts w:ascii="Courier New" w:hAnsi="Courier New" w:cs="Courier New" w:hint="default"/>
      </w:rPr>
    </w:lvl>
    <w:lvl w:ilvl="8" w:tplc="040A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446D3CCF"/>
    <w:multiLevelType w:val="hybridMultilevel"/>
    <w:tmpl w:val="B80083FC"/>
    <w:lvl w:ilvl="0" w:tplc="CC5EE062">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7" w15:restartNumberingAfterBreak="0">
    <w:nsid w:val="475253A3"/>
    <w:multiLevelType w:val="hybridMultilevel"/>
    <w:tmpl w:val="F836C3EC"/>
    <w:lvl w:ilvl="0" w:tplc="04030011">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8" w15:restartNumberingAfterBreak="0">
    <w:nsid w:val="4ABE3049"/>
    <w:multiLevelType w:val="hybridMultilevel"/>
    <w:tmpl w:val="53CC237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9" w15:restartNumberingAfterBreak="0">
    <w:nsid w:val="4AC246B1"/>
    <w:multiLevelType w:val="hybridMultilevel"/>
    <w:tmpl w:val="8DC6628E"/>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0" w15:restartNumberingAfterBreak="0">
    <w:nsid w:val="4BB52634"/>
    <w:multiLevelType w:val="hybridMultilevel"/>
    <w:tmpl w:val="B366E62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4BDB605F"/>
    <w:multiLevelType w:val="hybridMultilevel"/>
    <w:tmpl w:val="DDB04722"/>
    <w:lvl w:ilvl="0" w:tplc="04030001">
      <w:start w:val="1"/>
      <w:numFmt w:val="bullet"/>
      <w:lvlText w:val=""/>
      <w:lvlJc w:val="left"/>
      <w:pPr>
        <w:ind w:left="1490" w:hanging="360"/>
      </w:pPr>
      <w:rPr>
        <w:rFonts w:ascii="Symbol" w:hAnsi="Symbol" w:hint="default"/>
      </w:rPr>
    </w:lvl>
    <w:lvl w:ilvl="1" w:tplc="04030003" w:tentative="1">
      <w:start w:val="1"/>
      <w:numFmt w:val="bullet"/>
      <w:lvlText w:val="o"/>
      <w:lvlJc w:val="left"/>
      <w:pPr>
        <w:ind w:left="2210" w:hanging="360"/>
      </w:pPr>
      <w:rPr>
        <w:rFonts w:ascii="Courier New" w:hAnsi="Courier New" w:cs="Courier New" w:hint="default"/>
      </w:rPr>
    </w:lvl>
    <w:lvl w:ilvl="2" w:tplc="04030005" w:tentative="1">
      <w:start w:val="1"/>
      <w:numFmt w:val="bullet"/>
      <w:lvlText w:val=""/>
      <w:lvlJc w:val="left"/>
      <w:pPr>
        <w:ind w:left="2930" w:hanging="360"/>
      </w:pPr>
      <w:rPr>
        <w:rFonts w:ascii="Wingdings" w:hAnsi="Wingdings" w:hint="default"/>
      </w:rPr>
    </w:lvl>
    <w:lvl w:ilvl="3" w:tplc="04030001" w:tentative="1">
      <w:start w:val="1"/>
      <w:numFmt w:val="bullet"/>
      <w:lvlText w:val=""/>
      <w:lvlJc w:val="left"/>
      <w:pPr>
        <w:ind w:left="3650" w:hanging="360"/>
      </w:pPr>
      <w:rPr>
        <w:rFonts w:ascii="Symbol" w:hAnsi="Symbol" w:hint="default"/>
      </w:rPr>
    </w:lvl>
    <w:lvl w:ilvl="4" w:tplc="04030003" w:tentative="1">
      <w:start w:val="1"/>
      <w:numFmt w:val="bullet"/>
      <w:lvlText w:val="o"/>
      <w:lvlJc w:val="left"/>
      <w:pPr>
        <w:ind w:left="4370" w:hanging="360"/>
      </w:pPr>
      <w:rPr>
        <w:rFonts w:ascii="Courier New" w:hAnsi="Courier New" w:cs="Courier New" w:hint="default"/>
      </w:rPr>
    </w:lvl>
    <w:lvl w:ilvl="5" w:tplc="04030005" w:tentative="1">
      <w:start w:val="1"/>
      <w:numFmt w:val="bullet"/>
      <w:lvlText w:val=""/>
      <w:lvlJc w:val="left"/>
      <w:pPr>
        <w:ind w:left="5090" w:hanging="360"/>
      </w:pPr>
      <w:rPr>
        <w:rFonts w:ascii="Wingdings" w:hAnsi="Wingdings" w:hint="default"/>
      </w:rPr>
    </w:lvl>
    <w:lvl w:ilvl="6" w:tplc="04030001" w:tentative="1">
      <w:start w:val="1"/>
      <w:numFmt w:val="bullet"/>
      <w:lvlText w:val=""/>
      <w:lvlJc w:val="left"/>
      <w:pPr>
        <w:ind w:left="5810" w:hanging="360"/>
      </w:pPr>
      <w:rPr>
        <w:rFonts w:ascii="Symbol" w:hAnsi="Symbol" w:hint="default"/>
      </w:rPr>
    </w:lvl>
    <w:lvl w:ilvl="7" w:tplc="04030003" w:tentative="1">
      <w:start w:val="1"/>
      <w:numFmt w:val="bullet"/>
      <w:lvlText w:val="o"/>
      <w:lvlJc w:val="left"/>
      <w:pPr>
        <w:ind w:left="6530" w:hanging="360"/>
      </w:pPr>
      <w:rPr>
        <w:rFonts w:ascii="Courier New" w:hAnsi="Courier New" w:cs="Courier New" w:hint="default"/>
      </w:rPr>
    </w:lvl>
    <w:lvl w:ilvl="8" w:tplc="04030005" w:tentative="1">
      <w:start w:val="1"/>
      <w:numFmt w:val="bullet"/>
      <w:lvlText w:val=""/>
      <w:lvlJc w:val="left"/>
      <w:pPr>
        <w:ind w:left="7250" w:hanging="360"/>
      </w:pPr>
      <w:rPr>
        <w:rFonts w:ascii="Wingdings" w:hAnsi="Wingdings" w:hint="default"/>
      </w:rPr>
    </w:lvl>
  </w:abstractNum>
  <w:abstractNum w:abstractNumId="42" w15:restartNumberingAfterBreak="0">
    <w:nsid w:val="511263E0"/>
    <w:multiLevelType w:val="hybridMultilevel"/>
    <w:tmpl w:val="2466D796"/>
    <w:lvl w:ilvl="0" w:tplc="311ED774">
      <w:start w:val="1"/>
      <w:numFmt w:val="upperLetter"/>
      <w:lvlText w:val="%1)"/>
      <w:lvlJc w:val="left"/>
      <w:pPr>
        <w:ind w:left="360" w:hanging="360"/>
      </w:pPr>
      <w:rPr>
        <w:rFonts w:hint="default"/>
        <w:sz w:val="22"/>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3" w15:restartNumberingAfterBreak="0">
    <w:nsid w:val="5220582A"/>
    <w:multiLevelType w:val="hybridMultilevel"/>
    <w:tmpl w:val="275EA72E"/>
    <w:lvl w:ilvl="0" w:tplc="F86869A0">
      <w:numFmt w:val="bullet"/>
      <w:lvlText w:val=""/>
      <w:lvlJc w:val="left"/>
      <w:pPr>
        <w:ind w:left="333" w:hanging="284"/>
      </w:pPr>
      <w:rPr>
        <w:rFonts w:ascii="Symbol" w:eastAsia="Symbol" w:hAnsi="Symbol" w:cs="Symbol" w:hint="default"/>
        <w:w w:val="100"/>
        <w:sz w:val="22"/>
        <w:szCs w:val="22"/>
        <w:lang w:val="ca-ES" w:eastAsia="en-US" w:bidi="ar-SA"/>
      </w:rPr>
    </w:lvl>
    <w:lvl w:ilvl="1" w:tplc="9CD8755E">
      <w:numFmt w:val="bullet"/>
      <w:lvlText w:val="•"/>
      <w:lvlJc w:val="left"/>
      <w:pPr>
        <w:ind w:left="642" w:hanging="284"/>
      </w:pPr>
      <w:rPr>
        <w:rFonts w:hint="default"/>
        <w:lang w:val="ca-ES" w:eastAsia="en-US" w:bidi="ar-SA"/>
      </w:rPr>
    </w:lvl>
    <w:lvl w:ilvl="2" w:tplc="04F44ABA">
      <w:numFmt w:val="bullet"/>
      <w:lvlText w:val="•"/>
      <w:lvlJc w:val="left"/>
      <w:pPr>
        <w:ind w:left="944" w:hanging="284"/>
      </w:pPr>
      <w:rPr>
        <w:rFonts w:hint="default"/>
        <w:lang w:val="ca-ES" w:eastAsia="en-US" w:bidi="ar-SA"/>
      </w:rPr>
    </w:lvl>
    <w:lvl w:ilvl="3" w:tplc="5066E3F4">
      <w:numFmt w:val="bullet"/>
      <w:lvlText w:val="•"/>
      <w:lvlJc w:val="left"/>
      <w:pPr>
        <w:ind w:left="1246" w:hanging="284"/>
      </w:pPr>
      <w:rPr>
        <w:rFonts w:hint="default"/>
        <w:lang w:val="ca-ES" w:eastAsia="en-US" w:bidi="ar-SA"/>
      </w:rPr>
    </w:lvl>
    <w:lvl w:ilvl="4" w:tplc="BD920F78">
      <w:numFmt w:val="bullet"/>
      <w:lvlText w:val="•"/>
      <w:lvlJc w:val="left"/>
      <w:pPr>
        <w:ind w:left="1548" w:hanging="284"/>
      </w:pPr>
      <w:rPr>
        <w:rFonts w:hint="default"/>
        <w:lang w:val="ca-ES" w:eastAsia="en-US" w:bidi="ar-SA"/>
      </w:rPr>
    </w:lvl>
    <w:lvl w:ilvl="5" w:tplc="EEF24B02">
      <w:numFmt w:val="bullet"/>
      <w:lvlText w:val="•"/>
      <w:lvlJc w:val="left"/>
      <w:pPr>
        <w:ind w:left="1850" w:hanging="284"/>
      </w:pPr>
      <w:rPr>
        <w:rFonts w:hint="default"/>
        <w:lang w:val="ca-ES" w:eastAsia="en-US" w:bidi="ar-SA"/>
      </w:rPr>
    </w:lvl>
    <w:lvl w:ilvl="6" w:tplc="DB40B28E">
      <w:numFmt w:val="bullet"/>
      <w:lvlText w:val="•"/>
      <w:lvlJc w:val="left"/>
      <w:pPr>
        <w:ind w:left="2152" w:hanging="284"/>
      </w:pPr>
      <w:rPr>
        <w:rFonts w:hint="default"/>
        <w:lang w:val="ca-ES" w:eastAsia="en-US" w:bidi="ar-SA"/>
      </w:rPr>
    </w:lvl>
    <w:lvl w:ilvl="7" w:tplc="9D6E17A4">
      <w:numFmt w:val="bullet"/>
      <w:lvlText w:val="•"/>
      <w:lvlJc w:val="left"/>
      <w:pPr>
        <w:ind w:left="2454" w:hanging="284"/>
      </w:pPr>
      <w:rPr>
        <w:rFonts w:hint="default"/>
        <w:lang w:val="ca-ES" w:eastAsia="en-US" w:bidi="ar-SA"/>
      </w:rPr>
    </w:lvl>
    <w:lvl w:ilvl="8" w:tplc="7598E7A6">
      <w:numFmt w:val="bullet"/>
      <w:lvlText w:val="•"/>
      <w:lvlJc w:val="left"/>
      <w:pPr>
        <w:ind w:left="2756" w:hanging="284"/>
      </w:pPr>
      <w:rPr>
        <w:rFonts w:hint="default"/>
        <w:lang w:val="ca-ES" w:eastAsia="en-US" w:bidi="ar-SA"/>
      </w:rPr>
    </w:lvl>
  </w:abstractNum>
  <w:abstractNum w:abstractNumId="44" w15:restartNumberingAfterBreak="0">
    <w:nsid w:val="566A72DE"/>
    <w:multiLevelType w:val="hybridMultilevel"/>
    <w:tmpl w:val="F8D471E8"/>
    <w:lvl w:ilvl="0" w:tplc="FFFFFFFF">
      <w:start w:val="1"/>
      <w:numFmt w:val="upperLetter"/>
      <w:lvlText w:val="%1)"/>
      <w:lvlJc w:val="left"/>
      <w:pPr>
        <w:ind w:left="360" w:hanging="360"/>
      </w:pPr>
      <w:rPr>
        <w:rFonts w:hint="default"/>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57872A71"/>
    <w:multiLevelType w:val="hybridMultilevel"/>
    <w:tmpl w:val="CD8C2C6C"/>
    <w:lvl w:ilvl="0" w:tplc="7ACEB51C">
      <w:start w:val="3"/>
      <w:numFmt w:val="decimal"/>
      <w:lvlText w:val="%1)"/>
      <w:lvlJc w:val="left"/>
      <w:pPr>
        <w:ind w:left="342" w:hanging="233"/>
      </w:pPr>
      <w:rPr>
        <w:rFonts w:ascii="Arial" w:eastAsia="Arial" w:hAnsi="Arial" w:cs="Arial" w:hint="default"/>
        <w:b/>
        <w:bCs/>
        <w:w w:val="99"/>
        <w:sz w:val="20"/>
        <w:szCs w:val="20"/>
        <w:u w:val="thick" w:color="000000"/>
        <w:lang w:val="ca-ES" w:eastAsia="en-US" w:bidi="ar-SA"/>
      </w:rPr>
    </w:lvl>
    <w:lvl w:ilvl="1" w:tplc="A4C0C1CA">
      <w:numFmt w:val="bullet"/>
      <w:lvlText w:val="-"/>
      <w:lvlJc w:val="left"/>
      <w:pPr>
        <w:ind w:left="638" w:hanging="360"/>
      </w:pPr>
      <w:rPr>
        <w:rFonts w:hint="default"/>
        <w:w w:val="99"/>
        <w:lang w:val="ca-ES" w:eastAsia="en-US" w:bidi="ar-SA"/>
      </w:rPr>
    </w:lvl>
    <w:lvl w:ilvl="2" w:tplc="029EC6CA">
      <w:numFmt w:val="bullet"/>
      <w:lvlText w:val="•"/>
      <w:lvlJc w:val="left"/>
      <w:pPr>
        <w:ind w:left="1371" w:hanging="360"/>
      </w:pPr>
      <w:rPr>
        <w:rFonts w:hint="default"/>
        <w:lang w:val="ca-ES" w:eastAsia="en-US" w:bidi="ar-SA"/>
      </w:rPr>
    </w:lvl>
    <w:lvl w:ilvl="3" w:tplc="B914E232">
      <w:numFmt w:val="bullet"/>
      <w:lvlText w:val="•"/>
      <w:lvlJc w:val="left"/>
      <w:pPr>
        <w:ind w:left="2102" w:hanging="360"/>
      </w:pPr>
      <w:rPr>
        <w:rFonts w:hint="default"/>
        <w:lang w:val="ca-ES" w:eastAsia="en-US" w:bidi="ar-SA"/>
      </w:rPr>
    </w:lvl>
    <w:lvl w:ilvl="4" w:tplc="2FD4291E">
      <w:numFmt w:val="bullet"/>
      <w:lvlText w:val="•"/>
      <w:lvlJc w:val="left"/>
      <w:pPr>
        <w:ind w:left="2834" w:hanging="360"/>
      </w:pPr>
      <w:rPr>
        <w:rFonts w:hint="default"/>
        <w:lang w:val="ca-ES" w:eastAsia="en-US" w:bidi="ar-SA"/>
      </w:rPr>
    </w:lvl>
    <w:lvl w:ilvl="5" w:tplc="CBEE0EC8">
      <w:numFmt w:val="bullet"/>
      <w:lvlText w:val="•"/>
      <w:lvlJc w:val="left"/>
      <w:pPr>
        <w:ind w:left="3565" w:hanging="360"/>
      </w:pPr>
      <w:rPr>
        <w:rFonts w:hint="default"/>
        <w:lang w:val="ca-ES" w:eastAsia="en-US" w:bidi="ar-SA"/>
      </w:rPr>
    </w:lvl>
    <w:lvl w:ilvl="6" w:tplc="89CA69F4">
      <w:numFmt w:val="bullet"/>
      <w:lvlText w:val="•"/>
      <w:lvlJc w:val="left"/>
      <w:pPr>
        <w:ind w:left="4296" w:hanging="360"/>
      </w:pPr>
      <w:rPr>
        <w:rFonts w:hint="default"/>
        <w:lang w:val="ca-ES" w:eastAsia="en-US" w:bidi="ar-SA"/>
      </w:rPr>
    </w:lvl>
    <w:lvl w:ilvl="7" w:tplc="44C22506">
      <w:numFmt w:val="bullet"/>
      <w:lvlText w:val="•"/>
      <w:lvlJc w:val="left"/>
      <w:pPr>
        <w:ind w:left="5028" w:hanging="360"/>
      </w:pPr>
      <w:rPr>
        <w:rFonts w:hint="default"/>
        <w:lang w:val="ca-ES" w:eastAsia="en-US" w:bidi="ar-SA"/>
      </w:rPr>
    </w:lvl>
    <w:lvl w:ilvl="8" w:tplc="CD84BF2A">
      <w:numFmt w:val="bullet"/>
      <w:lvlText w:val="•"/>
      <w:lvlJc w:val="left"/>
      <w:pPr>
        <w:ind w:left="5759" w:hanging="360"/>
      </w:pPr>
      <w:rPr>
        <w:rFonts w:hint="default"/>
        <w:lang w:val="ca-ES" w:eastAsia="en-US" w:bidi="ar-SA"/>
      </w:rPr>
    </w:lvl>
  </w:abstractNum>
  <w:abstractNum w:abstractNumId="46" w15:restartNumberingAfterBreak="0">
    <w:nsid w:val="5864400B"/>
    <w:multiLevelType w:val="multilevel"/>
    <w:tmpl w:val="B2A6F850"/>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7" w15:restartNumberingAfterBreak="0">
    <w:nsid w:val="58DA58E6"/>
    <w:multiLevelType w:val="hybridMultilevel"/>
    <w:tmpl w:val="86108228"/>
    <w:lvl w:ilvl="0" w:tplc="94866FF0">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8" w15:restartNumberingAfterBreak="0">
    <w:nsid w:val="5D1A7765"/>
    <w:multiLevelType w:val="hybridMultilevel"/>
    <w:tmpl w:val="2AB0F1F6"/>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9" w15:restartNumberingAfterBreak="0">
    <w:nsid w:val="60BD7B83"/>
    <w:multiLevelType w:val="hybridMultilevel"/>
    <w:tmpl w:val="85A21214"/>
    <w:lvl w:ilvl="0" w:tplc="04030001">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14E38AF"/>
    <w:multiLevelType w:val="hybridMultilevel"/>
    <w:tmpl w:val="F8D471E8"/>
    <w:lvl w:ilvl="0" w:tplc="311ED774">
      <w:start w:val="1"/>
      <w:numFmt w:val="upperLetter"/>
      <w:lvlText w:val="%1)"/>
      <w:lvlJc w:val="left"/>
      <w:pPr>
        <w:ind w:left="360" w:hanging="360"/>
      </w:pPr>
      <w:rPr>
        <w:rFonts w:hint="default"/>
        <w:sz w:val="22"/>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51" w15:restartNumberingAfterBreak="0">
    <w:nsid w:val="647B2056"/>
    <w:multiLevelType w:val="hybridMultilevel"/>
    <w:tmpl w:val="ACD26D1E"/>
    <w:lvl w:ilvl="0" w:tplc="04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2" w15:restartNumberingAfterBreak="0">
    <w:nsid w:val="64D46A93"/>
    <w:multiLevelType w:val="hybridMultilevel"/>
    <w:tmpl w:val="A2E49EA6"/>
    <w:lvl w:ilvl="0" w:tplc="DACE8AD4">
      <w:start w:val="3"/>
      <w:numFmt w:val="decimal"/>
      <w:lvlText w:val="%1)"/>
      <w:lvlJc w:val="left"/>
      <w:pPr>
        <w:ind w:left="342" w:hanging="233"/>
      </w:pPr>
      <w:rPr>
        <w:rFonts w:ascii="Arial" w:eastAsia="Arial" w:hAnsi="Arial" w:cs="Arial" w:hint="default"/>
        <w:b/>
        <w:bCs/>
        <w:w w:val="99"/>
        <w:sz w:val="20"/>
        <w:szCs w:val="20"/>
        <w:u w:val="thick" w:color="000000"/>
        <w:lang w:val="ca-ES" w:eastAsia="en-US" w:bidi="ar-SA"/>
      </w:rPr>
    </w:lvl>
    <w:lvl w:ilvl="1" w:tplc="90E4F2DA">
      <w:numFmt w:val="bullet"/>
      <w:lvlText w:val="-"/>
      <w:lvlJc w:val="left"/>
      <w:pPr>
        <w:ind w:left="638" w:hanging="360"/>
      </w:pPr>
      <w:rPr>
        <w:rFonts w:hint="default"/>
        <w:w w:val="99"/>
        <w:lang w:val="ca-ES" w:eastAsia="en-US" w:bidi="ar-SA"/>
      </w:rPr>
    </w:lvl>
    <w:lvl w:ilvl="2" w:tplc="599E9F20">
      <w:numFmt w:val="bullet"/>
      <w:lvlText w:val="•"/>
      <w:lvlJc w:val="left"/>
      <w:pPr>
        <w:ind w:left="1371" w:hanging="360"/>
      </w:pPr>
      <w:rPr>
        <w:rFonts w:hint="default"/>
        <w:lang w:val="ca-ES" w:eastAsia="en-US" w:bidi="ar-SA"/>
      </w:rPr>
    </w:lvl>
    <w:lvl w:ilvl="3" w:tplc="05C4B11E">
      <w:numFmt w:val="bullet"/>
      <w:lvlText w:val="•"/>
      <w:lvlJc w:val="left"/>
      <w:pPr>
        <w:ind w:left="2102" w:hanging="360"/>
      </w:pPr>
      <w:rPr>
        <w:rFonts w:hint="default"/>
        <w:lang w:val="ca-ES" w:eastAsia="en-US" w:bidi="ar-SA"/>
      </w:rPr>
    </w:lvl>
    <w:lvl w:ilvl="4" w:tplc="59C08AFA">
      <w:numFmt w:val="bullet"/>
      <w:lvlText w:val="•"/>
      <w:lvlJc w:val="left"/>
      <w:pPr>
        <w:ind w:left="2834" w:hanging="360"/>
      </w:pPr>
      <w:rPr>
        <w:rFonts w:hint="default"/>
        <w:lang w:val="ca-ES" w:eastAsia="en-US" w:bidi="ar-SA"/>
      </w:rPr>
    </w:lvl>
    <w:lvl w:ilvl="5" w:tplc="134217BE">
      <w:numFmt w:val="bullet"/>
      <w:lvlText w:val="•"/>
      <w:lvlJc w:val="left"/>
      <w:pPr>
        <w:ind w:left="3565" w:hanging="360"/>
      </w:pPr>
      <w:rPr>
        <w:rFonts w:hint="default"/>
        <w:lang w:val="ca-ES" w:eastAsia="en-US" w:bidi="ar-SA"/>
      </w:rPr>
    </w:lvl>
    <w:lvl w:ilvl="6" w:tplc="36001842">
      <w:numFmt w:val="bullet"/>
      <w:lvlText w:val="•"/>
      <w:lvlJc w:val="left"/>
      <w:pPr>
        <w:ind w:left="4296" w:hanging="360"/>
      </w:pPr>
      <w:rPr>
        <w:rFonts w:hint="default"/>
        <w:lang w:val="ca-ES" w:eastAsia="en-US" w:bidi="ar-SA"/>
      </w:rPr>
    </w:lvl>
    <w:lvl w:ilvl="7" w:tplc="EFFC3E54">
      <w:numFmt w:val="bullet"/>
      <w:lvlText w:val="•"/>
      <w:lvlJc w:val="left"/>
      <w:pPr>
        <w:ind w:left="5028" w:hanging="360"/>
      </w:pPr>
      <w:rPr>
        <w:rFonts w:hint="default"/>
        <w:lang w:val="ca-ES" w:eastAsia="en-US" w:bidi="ar-SA"/>
      </w:rPr>
    </w:lvl>
    <w:lvl w:ilvl="8" w:tplc="AE522670">
      <w:numFmt w:val="bullet"/>
      <w:lvlText w:val="•"/>
      <w:lvlJc w:val="left"/>
      <w:pPr>
        <w:ind w:left="5759" w:hanging="360"/>
      </w:pPr>
      <w:rPr>
        <w:rFonts w:hint="default"/>
        <w:lang w:val="ca-ES" w:eastAsia="en-US" w:bidi="ar-SA"/>
      </w:rPr>
    </w:lvl>
  </w:abstractNum>
  <w:abstractNum w:abstractNumId="53" w15:restartNumberingAfterBreak="0">
    <w:nsid w:val="6640017F"/>
    <w:multiLevelType w:val="hybridMultilevel"/>
    <w:tmpl w:val="44E8DB34"/>
    <w:lvl w:ilvl="0" w:tplc="882A5128">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54" w15:restartNumberingAfterBreak="0">
    <w:nsid w:val="6D662D77"/>
    <w:multiLevelType w:val="hybridMultilevel"/>
    <w:tmpl w:val="8540809A"/>
    <w:lvl w:ilvl="0" w:tplc="0403000B">
      <w:start w:val="1"/>
      <w:numFmt w:val="bullet"/>
      <w:lvlText w:val=""/>
      <w:lvlJc w:val="left"/>
      <w:pPr>
        <w:ind w:left="360" w:hanging="360"/>
      </w:pPr>
      <w:rPr>
        <w:rFonts w:ascii="Wingdings" w:hAnsi="Wingdings"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5" w15:restartNumberingAfterBreak="0">
    <w:nsid w:val="70D85587"/>
    <w:multiLevelType w:val="hybridMultilevel"/>
    <w:tmpl w:val="6E3A3B46"/>
    <w:lvl w:ilvl="0" w:tplc="04030003">
      <w:start w:val="1"/>
      <w:numFmt w:val="decimal"/>
      <w:lvlText w:val="%1)"/>
      <w:lvlJc w:val="left"/>
      <w:pPr>
        <w:tabs>
          <w:tab w:val="num" w:pos="360"/>
        </w:tabs>
        <w:ind w:left="360" w:hanging="360"/>
      </w:pPr>
      <w:rPr>
        <w:rFonts w:hint="default"/>
      </w:rPr>
    </w:lvl>
    <w:lvl w:ilvl="1" w:tplc="04030003">
      <w:start w:val="1"/>
      <w:numFmt w:val="decimal"/>
      <w:lvlText w:val="%2)"/>
      <w:lvlJc w:val="left"/>
      <w:pPr>
        <w:tabs>
          <w:tab w:val="num" w:pos="1080"/>
        </w:tabs>
        <w:ind w:left="1080" w:hanging="360"/>
      </w:pPr>
      <w:rPr>
        <w:rFonts w:hint="default"/>
      </w:rPr>
    </w:lvl>
    <w:lvl w:ilvl="2" w:tplc="04030005" w:tentative="1">
      <w:start w:val="1"/>
      <w:numFmt w:val="lowerRoman"/>
      <w:lvlText w:val="%3."/>
      <w:lvlJc w:val="right"/>
      <w:pPr>
        <w:tabs>
          <w:tab w:val="num" w:pos="1800"/>
        </w:tabs>
        <w:ind w:left="1800" w:hanging="180"/>
      </w:pPr>
    </w:lvl>
    <w:lvl w:ilvl="3" w:tplc="04030001" w:tentative="1">
      <w:start w:val="1"/>
      <w:numFmt w:val="decimal"/>
      <w:lvlText w:val="%4."/>
      <w:lvlJc w:val="left"/>
      <w:pPr>
        <w:tabs>
          <w:tab w:val="num" w:pos="2520"/>
        </w:tabs>
        <w:ind w:left="2520" w:hanging="360"/>
      </w:pPr>
    </w:lvl>
    <w:lvl w:ilvl="4" w:tplc="04030003" w:tentative="1">
      <w:start w:val="1"/>
      <w:numFmt w:val="lowerLetter"/>
      <w:lvlText w:val="%5."/>
      <w:lvlJc w:val="left"/>
      <w:pPr>
        <w:tabs>
          <w:tab w:val="num" w:pos="3240"/>
        </w:tabs>
        <w:ind w:left="3240" w:hanging="360"/>
      </w:pPr>
    </w:lvl>
    <w:lvl w:ilvl="5" w:tplc="04030005" w:tentative="1">
      <w:start w:val="1"/>
      <w:numFmt w:val="lowerRoman"/>
      <w:lvlText w:val="%6."/>
      <w:lvlJc w:val="right"/>
      <w:pPr>
        <w:tabs>
          <w:tab w:val="num" w:pos="3960"/>
        </w:tabs>
        <w:ind w:left="3960" w:hanging="180"/>
      </w:pPr>
    </w:lvl>
    <w:lvl w:ilvl="6" w:tplc="04030001" w:tentative="1">
      <w:start w:val="1"/>
      <w:numFmt w:val="decimal"/>
      <w:lvlText w:val="%7."/>
      <w:lvlJc w:val="left"/>
      <w:pPr>
        <w:tabs>
          <w:tab w:val="num" w:pos="4680"/>
        </w:tabs>
        <w:ind w:left="4680" w:hanging="360"/>
      </w:pPr>
    </w:lvl>
    <w:lvl w:ilvl="7" w:tplc="04030003" w:tentative="1">
      <w:start w:val="1"/>
      <w:numFmt w:val="lowerLetter"/>
      <w:lvlText w:val="%8."/>
      <w:lvlJc w:val="left"/>
      <w:pPr>
        <w:tabs>
          <w:tab w:val="num" w:pos="5400"/>
        </w:tabs>
        <w:ind w:left="5400" w:hanging="360"/>
      </w:pPr>
    </w:lvl>
    <w:lvl w:ilvl="8" w:tplc="04030005" w:tentative="1">
      <w:start w:val="1"/>
      <w:numFmt w:val="lowerRoman"/>
      <w:lvlText w:val="%9."/>
      <w:lvlJc w:val="right"/>
      <w:pPr>
        <w:tabs>
          <w:tab w:val="num" w:pos="6120"/>
        </w:tabs>
        <w:ind w:left="6120" w:hanging="180"/>
      </w:pPr>
    </w:lvl>
  </w:abstractNum>
  <w:abstractNum w:abstractNumId="56" w15:restartNumberingAfterBreak="0">
    <w:nsid w:val="728A6C0B"/>
    <w:multiLevelType w:val="hybridMultilevel"/>
    <w:tmpl w:val="5BEA9A5C"/>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57" w15:restartNumberingAfterBreak="0">
    <w:nsid w:val="74512189"/>
    <w:multiLevelType w:val="hybridMultilevel"/>
    <w:tmpl w:val="5AB408C4"/>
    <w:lvl w:ilvl="0" w:tplc="040A0001">
      <w:start w:val="1"/>
      <w:numFmt w:val="bullet"/>
      <w:lvlText w:val=""/>
      <w:lvlJc w:val="left"/>
      <w:pPr>
        <w:tabs>
          <w:tab w:val="num" w:pos="720"/>
        </w:tabs>
        <w:ind w:left="720" w:hanging="360"/>
      </w:pPr>
      <w:rPr>
        <w:rFonts w:ascii="Symbol" w:hAnsi="Symbol" w:hint="default"/>
      </w:rPr>
    </w:lvl>
    <w:lvl w:ilvl="1" w:tplc="040A0019">
      <w:start w:val="1"/>
      <w:numFmt w:val="lowerLetter"/>
      <w:lvlText w:val="%2."/>
      <w:lvlJc w:val="left"/>
      <w:pPr>
        <w:tabs>
          <w:tab w:val="num" w:pos="1440"/>
        </w:tabs>
        <w:ind w:left="1440" w:hanging="360"/>
      </w:pPr>
    </w:lvl>
    <w:lvl w:ilvl="2" w:tplc="040A0001">
      <w:start w:val="1"/>
      <w:numFmt w:val="bullet"/>
      <w:lvlText w:val=""/>
      <w:lvlJc w:val="left"/>
      <w:pPr>
        <w:tabs>
          <w:tab w:val="num" w:pos="2340"/>
        </w:tabs>
        <w:ind w:left="2340" w:hanging="360"/>
      </w:pPr>
      <w:rPr>
        <w:rFonts w:ascii="Symbol" w:hAnsi="Symbol" w:hint="default"/>
      </w:r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58" w15:restartNumberingAfterBreak="0">
    <w:nsid w:val="75EE0119"/>
    <w:multiLevelType w:val="hybridMultilevel"/>
    <w:tmpl w:val="A5B22B1A"/>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9" w15:restartNumberingAfterBreak="0">
    <w:nsid w:val="787610DB"/>
    <w:multiLevelType w:val="hybridMultilevel"/>
    <w:tmpl w:val="E52EAC08"/>
    <w:lvl w:ilvl="0" w:tplc="6E9E0D34">
      <w:start w:val="4"/>
      <w:numFmt w:val="bullet"/>
      <w:lvlText w:val="-"/>
      <w:lvlJc w:val="left"/>
      <w:pPr>
        <w:ind w:left="1776" w:hanging="360"/>
      </w:pPr>
      <w:rPr>
        <w:rFonts w:ascii="Book Antiqua" w:eastAsia="Times New Roman" w:hAnsi="Book Antiqua" w:cs="Times New Roman" w:hint="default"/>
        <w:b/>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60" w15:restartNumberingAfterBreak="0">
    <w:nsid w:val="78954A27"/>
    <w:multiLevelType w:val="hybridMultilevel"/>
    <w:tmpl w:val="53B6E150"/>
    <w:lvl w:ilvl="0" w:tplc="F050EF9E">
      <w:start w:val="1"/>
      <w:numFmt w:val="bullet"/>
      <w:lvlText w:val="­"/>
      <w:lvlJc w:val="left"/>
      <w:pPr>
        <w:tabs>
          <w:tab w:val="num" w:pos="360"/>
        </w:tabs>
        <w:ind w:left="360" w:hanging="360"/>
      </w:pPr>
      <w:rPr>
        <w:rFonts w:ascii="Courier New" w:hAnsi="Courier New" w:hint="default"/>
      </w:rPr>
    </w:lvl>
    <w:lvl w:ilvl="1" w:tplc="04030003" w:tentative="1">
      <w:start w:val="1"/>
      <w:numFmt w:val="bullet"/>
      <w:lvlText w:val="o"/>
      <w:lvlJc w:val="left"/>
      <w:pPr>
        <w:tabs>
          <w:tab w:val="num" w:pos="1080"/>
        </w:tabs>
        <w:ind w:left="1080" w:hanging="360"/>
      </w:pPr>
      <w:rPr>
        <w:rFonts w:ascii="Courier New" w:hAnsi="Courier New" w:cs="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79D41438"/>
    <w:multiLevelType w:val="hybridMultilevel"/>
    <w:tmpl w:val="1F16DF9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2" w15:restartNumberingAfterBreak="0">
    <w:nsid w:val="7A46151A"/>
    <w:multiLevelType w:val="hybridMultilevel"/>
    <w:tmpl w:val="7E1A0AD4"/>
    <w:lvl w:ilvl="0" w:tplc="94866FF0">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tabs>
          <w:tab w:val="num" w:pos="1080"/>
        </w:tabs>
        <w:ind w:left="1080" w:hanging="360"/>
      </w:pPr>
      <w:rPr>
        <w:rFonts w:ascii="Courier New" w:hAnsi="Courier New" w:cs="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B8F6535"/>
    <w:multiLevelType w:val="hybridMultilevel"/>
    <w:tmpl w:val="DDA8F45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4" w15:restartNumberingAfterBreak="0">
    <w:nsid w:val="7BA66BB7"/>
    <w:multiLevelType w:val="hybridMultilevel"/>
    <w:tmpl w:val="1C3C849A"/>
    <w:lvl w:ilvl="0" w:tplc="8EAA9832">
      <w:numFmt w:val="bullet"/>
      <w:lvlText w:val=""/>
      <w:lvlJc w:val="left"/>
      <w:pPr>
        <w:ind w:left="333" w:hanging="284"/>
      </w:pPr>
      <w:rPr>
        <w:rFonts w:ascii="Symbol" w:eastAsia="Symbol" w:hAnsi="Symbol" w:cs="Symbol" w:hint="default"/>
        <w:w w:val="100"/>
        <w:sz w:val="22"/>
        <w:szCs w:val="22"/>
        <w:lang w:val="ca-ES" w:eastAsia="en-US" w:bidi="ar-SA"/>
      </w:rPr>
    </w:lvl>
    <w:lvl w:ilvl="1" w:tplc="2CB45D40">
      <w:numFmt w:val="bullet"/>
      <w:lvlText w:val="•"/>
      <w:lvlJc w:val="left"/>
      <w:pPr>
        <w:ind w:left="642" w:hanging="284"/>
      </w:pPr>
      <w:rPr>
        <w:rFonts w:hint="default"/>
        <w:lang w:val="ca-ES" w:eastAsia="en-US" w:bidi="ar-SA"/>
      </w:rPr>
    </w:lvl>
    <w:lvl w:ilvl="2" w:tplc="D840CCD8">
      <w:numFmt w:val="bullet"/>
      <w:lvlText w:val="•"/>
      <w:lvlJc w:val="left"/>
      <w:pPr>
        <w:ind w:left="944" w:hanging="284"/>
      </w:pPr>
      <w:rPr>
        <w:rFonts w:hint="default"/>
        <w:lang w:val="ca-ES" w:eastAsia="en-US" w:bidi="ar-SA"/>
      </w:rPr>
    </w:lvl>
    <w:lvl w:ilvl="3" w:tplc="F718F09A">
      <w:numFmt w:val="bullet"/>
      <w:lvlText w:val="•"/>
      <w:lvlJc w:val="left"/>
      <w:pPr>
        <w:ind w:left="1246" w:hanging="284"/>
      </w:pPr>
      <w:rPr>
        <w:rFonts w:hint="default"/>
        <w:lang w:val="ca-ES" w:eastAsia="en-US" w:bidi="ar-SA"/>
      </w:rPr>
    </w:lvl>
    <w:lvl w:ilvl="4" w:tplc="EC6C7EF6">
      <w:numFmt w:val="bullet"/>
      <w:lvlText w:val="•"/>
      <w:lvlJc w:val="left"/>
      <w:pPr>
        <w:ind w:left="1548" w:hanging="284"/>
      </w:pPr>
      <w:rPr>
        <w:rFonts w:hint="default"/>
        <w:lang w:val="ca-ES" w:eastAsia="en-US" w:bidi="ar-SA"/>
      </w:rPr>
    </w:lvl>
    <w:lvl w:ilvl="5" w:tplc="4798064E">
      <w:numFmt w:val="bullet"/>
      <w:lvlText w:val="•"/>
      <w:lvlJc w:val="left"/>
      <w:pPr>
        <w:ind w:left="1850" w:hanging="284"/>
      </w:pPr>
      <w:rPr>
        <w:rFonts w:hint="default"/>
        <w:lang w:val="ca-ES" w:eastAsia="en-US" w:bidi="ar-SA"/>
      </w:rPr>
    </w:lvl>
    <w:lvl w:ilvl="6" w:tplc="1B3ADF76">
      <w:numFmt w:val="bullet"/>
      <w:lvlText w:val="•"/>
      <w:lvlJc w:val="left"/>
      <w:pPr>
        <w:ind w:left="2152" w:hanging="284"/>
      </w:pPr>
      <w:rPr>
        <w:rFonts w:hint="default"/>
        <w:lang w:val="ca-ES" w:eastAsia="en-US" w:bidi="ar-SA"/>
      </w:rPr>
    </w:lvl>
    <w:lvl w:ilvl="7" w:tplc="3810383E">
      <w:numFmt w:val="bullet"/>
      <w:lvlText w:val="•"/>
      <w:lvlJc w:val="left"/>
      <w:pPr>
        <w:ind w:left="2454" w:hanging="284"/>
      </w:pPr>
      <w:rPr>
        <w:rFonts w:hint="default"/>
        <w:lang w:val="ca-ES" w:eastAsia="en-US" w:bidi="ar-SA"/>
      </w:rPr>
    </w:lvl>
    <w:lvl w:ilvl="8" w:tplc="15CC7726">
      <w:numFmt w:val="bullet"/>
      <w:lvlText w:val="•"/>
      <w:lvlJc w:val="left"/>
      <w:pPr>
        <w:ind w:left="2756" w:hanging="284"/>
      </w:pPr>
      <w:rPr>
        <w:rFonts w:hint="default"/>
        <w:lang w:val="ca-ES" w:eastAsia="en-US" w:bidi="ar-SA"/>
      </w:rPr>
    </w:lvl>
  </w:abstractNum>
  <w:abstractNum w:abstractNumId="65" w15:restartNumberingAfterBreak="0">
    <w:nsid w:val="7BB51FD5"/>
    <w:multiLevelType w:val="hybridMultilevel"/>
    <w:tmpl w:val="CD889ABE"/>
    <w:lvl w:ilvl="0" w:tplc="B8760820">
      <w:start w:val="3"/>
      <w:numFmt w:val="bullet"/>
      <w:lvlText w:val="-"/>
      <w:lvlJc w:val="left"/>
      <w:pPr>
        <w:tabs>
          <w:tab w:val="num" w:pos="1440"/>
        </w:tabs>
        <w:ind w:left="1440" w:hanging="360"/>
      </w:pPr>
      <w:rPr>
        <w:rFonts w:ascii="Arial" w:eastAsia="SimSun" w:hAnsi="Arial" w:cs="Arial" w:hint="default"/>
      </w:rPr>
    </w:lvl>
    <w:lvl w:ilvl="1" w:tplc="040A0003" w:tentative="1">
      <w:start w:val="1"/>
      <w:numFmt w:val="bullet"/>
      <w:lvlText w:val="o"/>
      <w:lvlJc w:val="left"/>
      <w:pPr>
        <w:tabs>
          <w:tab w:val="num" w:pos="2160"/>
        </w:tabs>
        <w:ind w:left="2160" w:hanging="360"/>
      </w:pPr>
      <w:rPr>
        <w:rFonts w:ascii="Courier New" w:hAnsi="Courier New" w:cs="Courier New" w:hint="default"/>
      </w:rPr>
    </w:lvl>
    <w:lvl w:ilvl="2" w:tplc="040A0005" w:tentative="1">
      <w:start w:val="1"/>
      <w:numFmt w:val="bullet"/>
      <w:lvlText w:val=""/>
      <w:lvlJc w:val="left"/>
      <w:pPr>
        <w:tabs>
          <w:tab w:val="num" w:pos="2880"/>
        </w:tabs>
        <w:ind w:left="2880" w:hanging="360"/>
      </w:pPr>
      <w:rPr>
        <w:rFonts w:ascii="Wingdings" w:hAnsi="Wingdings" w:hint="default"/>
      </w:rPr>
    </w:lvl>
    <w:lvl w:ilvl="3" w:tplc="040A0001" w:tentative="1">
      <w:start w:val="1"/>
      <w:numFmt w:val="bullet"/>
      <w:lvlText w:val=""/>
      <w:lvlJc w:val="left"/>
      <w:pPr>
        <w:tabs>
          <w:tab w:val="num" w:pos="3600"/>
        </w:tabs>
        <w:ind w:left="3600" w:hanging="360"/>
      </w:pPr>
      <w:rPr>
        <w:rFonts w:ascii="Symbol" w:hAnsi="Symbol" w:hint="default"/>
      </w:rPr>
    </w:lvl>
    <w:lvl w:ilvl="4" w:tplc="040A0003" w:tentative="1">
      <w:start w:val="1"/>
      <w:numFmt w:val="bullet"/>
      <w:lvlText w:val="o"/>
      <w:lvlJc w:val="left"/>
      <w:pPr>
        <w:tabs>
          <w:tab w:val="num" w:pos="4320"/>
        </w:tabs>
        <w:ind w:left="4320" w:hanging="360"/>
      </w:pPr>
      <w:rPr>
        <w:rFonts w:ascii="Courier New" w:hAnsi="Courier New" w:cs="Courier New" w:hint="default"/>
      </w:rPr>
    </w:lvl>
    <w:lvl w:ilvl="5" w:tplc="040A0005" w:tentative="1">
      <w:start w:val="1"/>
      <w:numFmt w:val="bullet"/>
      <w:lvlText w:val=""/>
      <w:lvlJc w:val="left"/>
      <w:pPr>
        <w:tabs>
          <w:tab w:val="num" w:pos="5040"/>
        </w:tabs>
        <w:ind w:left="5040" w:hanging="360"/>
      </w:pPr>
      <w:rPr>
        <w:rFonts w:ascii="Wingdings" w:hAnsi="Wingdings" w:hint="default"/>
      </w:rPr>
    </w:lvl>
    <w:lvl w:ilvl="6" w:tplc="040A0001" w:tentative="1">
      <w:start w:val="1"/>
      <w:numFmt w:val="bullet"/>
      <w:lvlText w:val=""/>
      <w:lvlJc w:val="left"/>
      <w:pPr>
        <w:tabs>
          <w:tab w:val="num" w:pos="5760"/>
        </w:tabs>
        <w:ind w:left="5760" w:hanging="360"/>
      </w:pPr>
      <w:rPr>
        <w:rFonts w:ascii="Symbol" w:hAnsi="Symbol" w:hint="default"/>
      </w:rPr>
    </w:lvl>
    <w:lvl w:ilvl="7" w:tplc="040A0003" w:tentative="1">
      <w:start w:val="1"/>
      <w:numFmt w:val="bullet"/>
      <w:lvlText w:val="o"/>
      <w:lvlJc w:val="left"/>
      <w:pPr>
        <w:tabs>
          <w:tab w:val="num" w:pos="6480"/>
        </w:tabs>
        <w:ind w:left="6480" w:hanging="360"/>
      </w:pPr>
      <w:rPr>
        <w:rFonts w:ascii="Courier New" w:hAnsi="Courier New" w:cs="Courier New" w:hint="default"/>
      </w:rPr>
    </w:lvl>
    <w:lvl w:ilvl="8" w:tplc="040A0005"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F4B3B06"/>
    <w:multiLevelType w:val="hybridMultilevel"/>
    <w:tmpl w:val="5CDCE904"/>
    <w:lvl w:ilvl="0" w:tplc="B1B28B00">
      <w:start w:val="1"/>
      <w:numFmt w:val="bullet"/>
      <w:lvlText w:val=""/>
      <w:lvlJc w:val="left"/>
      <w:pPr>
        <w:ind w:left="36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014578961">
    <w:abstractNumId w:val="46"/>
  </w:num>
  <w:num w:numId="2" w16cid:durableId="434181092">
    <w:abstractNumId w:val="55"/>
  </w:num>
  <w:num w:numId="3" w16cid:durableId="805316879">
    <w:abstractNumId w:val="1"/>
  </w:num>
  <w:num w:numId="4" w16cid:durableId="328942610">
    <w:abstractNumId w:val="17"/>
  </w:num>
  <w:num w:numId="5" w16cid:durableId="616566779">
    <w:abstractNumId w:val="35"/>
  </w:num>
  <w:num w:numId="6" w16cid:durableId="257445198">
    <w:abstractNumId w:val="24"/>
  </w:num>
  <w:num w:numId="7" w16cid:durableId="1627079915">
    <w:abstractNumId w:val="57"/>
  </w:num>
  <w:num w:numId="8" w16cid:durableId="1161002390">
    <w:abstractNumId w:val="65"/>
  </w:num>
  <w:num w:numId="9" w16cid:durableId="924725085">
    <w:abstractNumId w:val="2"/>
  </w:num>
  <w:num w:numId="10" w16cid:durableId="859777665">
    <w:abstractNumId w:val="0"/>
  </w:num>
  <w:num w:numId="11" w16cid:durableId="2099983593">
    <w:abstractNumId w:val="22"/>
  </w:num>
  <w:num w:numId="12" w16cid:durableId="1498153390">
    <w:abstractNumId w:val="28"/>
  </w:num>
  <w:num w:numId="13" w16cid:durableId="2022782699">
    <w:abstractNumId w:val="21"/>
  </w:num>
  <w:num w:numId="14" w16cid:durableId="1309868288">
    <w:abstractNumId w:val="20"/>
  </w:num>
  <w:num w:numId="15" w16cid:durableId="275791011">
    <w:abstractNumId w:val="59"/>
  </w:num>
  <w:num w:numId="16" w16cid:durableId="1135028450">
    <w:abstractNumId w:val="15"/>
  </w:num>
  <w:num w:numId="17" w16cid:durableId="87581646">
    <w:abstractNumId w:val="25"/>
  </w:num>
  <w:num w:numId="18" w16cid:durableId="890926990">
    <w:abstractNumId w:val="3"/>
  </w:num>
  <w:num w:numId="19" w16cid:durableId="20514619">
    <w:abstractNumId w:val="40"/>
  </w:num>
  <w:num w:numId="20" w16cid:durableId="445925323">
    <w:abstractNumId w:val="4"/>
  </w:num>
  <w:num w:numId="21" w16cid:durableId="1574003645">
    <w:abstractNumId w:val="5"/>
  </w:num>
  <w:num w:numId="22" w16cid:durableId="1084566905">
    <w:abstractNumId w:val="31"/>
  </w:num>
  <w:num w:numId="23" w16cid:durableId="242108291">
    <w:abstractNumId w:val="61"/>
  </w:num>
  <w:num w:numId="24" w16cid:durableId="1227036638">
    <w:abstractNumId w:val="36"/>
  </w:num>
  <w:num w:numId="25" w16cid:durableId="1558282048">
    <w:abstractNumId w:val="23"/>
  </w:num>
  <w:num w:numId="26" w16cid:durableId="996107737">
    <w:abstractNumId w:val="66"/>
  </w:num>
  <w:num w:numId="27" w16cid:durableId="475417599">
    <w:abstractNumId w:val="13"/>
  </w:num>
  <w:num w:numId="28" w16cid:durableId="1697537209">
    <w:abstractNumId w:val="19"/>
  </w:num>
  <w:num w:numId="29" w16cid:durableId="462693926">
    <w:abstractNumId w:val="60"/>
  </w:num>
  <w:num w:numId="30" w16cid:durableId="484053695">
    <w:abstractNumId w:val="8"/>
  </w:num>
  <w:num w:numId="31" w16cid:durableId="1769883229">
    <w:abstractNumId w:val="58"/>
  </w:num>
  <w:num w:numId="32" w16cid:durableId="1544056458">
    <w:abstractNumId w:val="26"/>
  </w:num>
  <w:num w:numId="33" w16cid:durableId="158934144">
    <w:abstractNumId w:val="6"/>
  </w:num>
  <w:num w:numId="34" w16cid:durableId="966469271">
    <w:abstractNumId w:val="51"/>
  </w:num>
  <w:num w:numId="35" w16cid:durableId="614144288">
    <w:abstractNumId w:val="11"/>
  </w:num>
  <w:num w:numId="36" w16cid:durableId="1738284343">
    <w:abstractNumId w:val="38"/>
  </w:num>
  <w:num w:numId="37" w16cid:durableId="1850244824">
    <w:abstractNumId w:val="10"/>
  </w:num>
  <w:num w:numId="38" w16cid:durableId="838235336">
    <w:abstractNumId w:val="48"/>
  </w:num>
  <w:num w:numId="39" w16cid:durableId="1206797330">
    <w:abstractNumId w:val="9"/>
  </w:num>
  <w:num w:numId="40" w16cid:durableId="403455420">
    <w:abstractNumId w:val="7"/>
  </w:num>
  <w:num w:numId="41" w16cid:durableId="881668404">
    <w:abstractNumId w:val="63"/>
  </w:num>
  <w:num w:numId="42" w16cid:durableId="861741929">
    <w:abstractNumId w:val="50"/>
  </w:num>
  <w:num w:numId="43" w16cid:durableId="36320782">
    <w:abstractNumId w:val="42"/>
  </w:num>
  <w:num w:numId="44" w16cid:durableId="346099450">
    <w:abstractNumId w:val="41"/>
  </w:num>
  <w:num w:numId="45" w16cid:durableId="998312606">
    <w:abstractNumId w:val="54"/>
  </w:num>
  <w:num w:numId="46" w16cid:durableId="1407610027">
    <w:abstractNumId w:val="56"/>
  </w:num>
  <w:num w:numId="47" w16cid:durableId="194122017">
    <w:abstractNumId w:val="39"/>
  </w:num>
  <w:num w:numId="48" w16cid:durableId="374433003">
    <w:abstractNumId w:val="27"/>
  </w:num>
  <w:num w:numId="49" w16cid:durableId="1286932009">
    <w:abstractNumId w:val="64"/>
  </w:num>
  <w:num w:numId="50" w16cid:durableId="1264222042">
    <w:abstractNumId w:val="30"/>
  </w:num>
  <w:num w:numId="51" w16cid:durableId="1291549336">
    <w:abstractNumId w:val="43"/>
  </w:num>
  <w:num w:numId="52" w16cid:durableId="507982374">
    <w:abstractNumId w:val="16"/>
  </w:num>
  <w:num w:numId="53" w16cid:durableId="1694645860">
    <w:abstractNumId w:val="12"/>
  </w:num>
  <w:num w:numId="54" w16cid:durableId="1386682830">
    <w:abstractNumId w:val="47"/>
  </w:num>
  <w:num w:numId="55" w16cid:durableId="2034108314">
    <w:abstractNumId w:val="62"/>
  </w:num>
  <w:num w:numId="56" w16cid:durableId="1139107266">
    <w:abstractNumId w:val="18"/>
  </w:num>
  <w:num w:numId="57" w16cid:durableId="1807776432">
    <w:abstractNumId w:val="14"/>
  </w:num>
  <w:num w:numId="58" w16cid:durableId="1312444963">
    <w:abstractNumId w:val="52"/>
  </w:num>
  <w:num w:numId="59" w16cid:durableId="2078938279">
    <w:abstractNumId w:val="45"/>
  </w:num>
  <w:num w:numId="60" w16cid:durableId="2121947698">
    <w:abstractNumId w:val="33"/>
  </w:num>
  <w:num w:numId="61" w16cid:durableId="81530007">
    <w:abstractNumId w:val="37"/>
  </w:num>
  <w:num w:numId="62" w16cid:durableId="1980842029">
    <w:abstractNumId w:val="53"/>
  </w:num>
  <w:num w:numId="63" w16cid:durableId="1526676282">
    <w:abstractNumId w:val="49"/>
  </w:num>
  <w:num w:numId="64" w16cid:durableId="1220358792">
    <w:abstractNumId w:val="29"/>
  </w:num>
  <w:num w:numId="65" w16cid:durableId="1605576816">
    <w:abstractNumId w:val="32"/>
  </w:num>
  <w:num w:numId="66" w16cid:durableId="1702511323">
    <w:abstractNumId w:val="44"/>
  </w:num>
  <w:num w:numId="67" w16cid:durableId="1325470512">
    <w:abstractNumId w:val="3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78A5"/>
    <w:rsid w:val="00000857"/>
    <w:rsid w:val="00000FA3"/>
    <w:rsid w:val="000017E0"/>
    <w:rsid w:val="00001BB3"/>
    <w:rsid w:val="0000204B"/>
    <w:rsid w:val="0000254E"/>
    <w:rsid w:val="000030FB"/>
    <w:rsid w:val="0000367F"/>
    <w:rsid w:val="0000391C"/>
    <w:rsid w:val="00004C07"/>
    <w:rsid w:val="00004FE8"/>
    <w:rsid w:val="000052A9"/>
    <w:rsid w:val="000061E6"/>
    <w:rsid w:val="0000631C"/>
    <w:rsid w:val="000076B2"/>
    <w:rsid w:val="0001046F"/>
    <w:rsid w:val="00010539"/>
    <w:rsid w:val="00010C09"/>
    <w:rsid w:val="0001120B"/>
    <w:rsid w:val="00011D38"/>
    <w:rsid w:val="00012372"/>
    <w:rsid w:val="000130CF"/>
    <w:rsid w:val="000133E1"/>
    <w:rsid w:val="000135D2"/>
    <w:rsid w:val="0001382B"/>
    <w:rsid w:val="00014A6E"/>
    <w:rsid w:val="00014D67"/>
    <w:rsid w:val="0001579C"/>
    <w:rsid w:val="00015842"/>
    <w:rsid w:val="00015FA4"/>
    <w:rsid w:val="00016714"/>
    <w:rsid w:val="00020672"/>
    <w:rsid w:val="000210D0"/>
    <w:rsid w:val="0002117B"/>
    <w:rsid w:val="00021701"/>
    <w:rsid w:val="0002229D"/>
    <w:rsid w:val="00022647"/>
    <w:rsid w:val="000230AA"/>
    <w:rsid w:val="00023D87"/>
    <w:rsid w:val="00023DAF"/>
    <w:rsid w:val="00024182"/>
    <w:rsid w:val="0002439F"/>
    <w:rsid w:val="000254D6"/>
    <w:rsid w:val="00026506"/>
    <w:rsid w:val="000267E6"/>
    <w:rsid w:val="00026929"/>
    <w:rsid w:val="00026A70"/>
    <w:rsid w:val="00026AC6"/>
    <w:rsid w:val="00026F4B"/>
    <w:rsid w:val="00026F50"/>
    <w:rsid w:val="00026FD6"/>
    <w:rsid w:val="00027131"/>
    <w:rsid w:val="00027444"/>
    <w:rsid w:val="000274AE"/>
    <w:rsid w:val="000277F2"/>
    <w:rsid w:val="00030319"/>
    <w:rsid w:val="00030AEC"/>
    <w:rsid w:val="0003184A"/>
    <w:rsid w:val="0003275F"/>
    <w:rsid w:val="000328D8"/>
    <w:rsid w:val="00032C2C"/>
    <w:rsid w:val="00032EBB"/>
    <w:rsid w:val="00032F70"/>
    <w:rsid w:val="00032FAB"/>
    <w:rsid w:val="00033064"/>
    <w:rsid w:val="00033406"/>
    <w:rsid w:val="00033A2F"/>
    <w:rsid w:val="000348A1"/>
    <w:rsid w:val="00034A1E"/>
    <w:rsid w:val="00035DD1"/>
    <w:rsid w:val="0003606D"/>
    <w:rsid w:val="00040032"/>
    <w:rsid w:val="000401D7"/>
    <w:rsid w:val="000403AA"/>
    <w:rsid w:val="000406BA"/>
    <w:rsid w:val="00040E0F"/>
    <w:rsid w:val="000412B9"/>
    <w:rsid w:val="000412CC"/>
    <w:rsid w:val="00041815"/>
    <w:rsid w:val="00041F5C"/>
    <w:rsid w:val="000428CE"/>
    <w:rsid w:val="00043141"/>
    <w:rsid w:val="00043535"/>
    <w:rsid w:val="00044863"/>
    <w:rsid w:val="00045C97"/>
    <w:rsid w:val="0004600E"/>
    <w:rsid w:val="00046250"/>
    <w:rsid w:val="00046DEF"/>
    <w:rsid w:val="000472B5"/>
    <w:rsid w:val="000475A6"/>
    <w:rsid w:val="00050884"/>
    <w:rsid w:val="000511B2"/>
    <w:rsid w:val="000520AC"/>
    <w:rsid w:val="000523C6"/>
    <w:rsid w:val="00052457"/>
    <w:rsid w:val="00052654"/>
    <w:rsid w:val="000526E2"/>
    <w:rsid w:val="00053251"/>
    <w:rsid w:val="0005326F"/>
    <w:rsid w:val="00053E07"/>
    <w:rsid w:val="000543F0"/>
    <w:rsid w:val="00055224"/>
    <w:rsid w:val="00055CA6"/>
    <w:rsid w:val="00055CC1"/>
    <w:rsid w:val="000602F8"/>
    <w:rsid w:val="00060886"/>
    <w:rsid w:val="00060D7C"/>
    <w:rsid w:val="00060E64"/>
    <w:rsid w:val="00061AAE"/>
    <w:rsid w:val="00063C78"/>
    <w:rsid w:val="00063F06"/>
    <w:rsid w:val="000645D2"/>
    <w:rsid w:val="00066461"/>
    <w:rsid w:val="00066A7E"/>
    <w:rsid w:val="00067077"/>
    <w:rsid w:val="000672D9"/>
    <w:rsid w:val="000673C9"/>
    <w:rsid w:val="00067C1A"/>
    <w:rsid w:val="0007005E"/>
    <w:rsid w:val="000709A2"/>
    <w:rsid w:val="00070E34"/>
    <w:rsid w:val="00071298"/>
    <w:rsid w:val="000737B1"/>
    <w:rsid w:val="000751C9"/>
    <w:rsid w:val="000752BA"/>
    <w:rsid w:val="00075833"/>
    <w:rsid w:val="00076244"/>
    <w:rsid w:val="000768B0"/>
    <w:rsid w:val="00076A6B"/>
    <w:rsid w:val="00076B2E"/>
    <w:rsid w:val="00076BA3"/>
    <w:rsid w:val="00076C87"/>
    <w:rsid w:val="00076FA1"/>
    <w:rsid w:val="00077E7E"/>
    <w:rsid w:val="000801FE"/>
    <w:rsid w:val="000809E2"/>
    <w:rsid w:val="00081224"/>
    <w:rsid w:val="0008172D"/>
    <w:rsid w:val="0008187C"/>
    <w:rsid w:val="00081CD9"/>
    <w:rsid w:val="00082076"/>
    <w:rsid w:val="0008208B"/>
    <w:rsid w:val="00084071"/>
    <w:rsid w:val="000846BF"/>
    <w:rsid w:val="000850F2"/>
    <w:rsid w:val="00085950"/>
    <w:rsid w:val="00087377"/>
    <w:rsid w:val="000874F4"/>
    <w:rsid w:val="00087EDF"/>
    <w:rsid w:val="000908CC"/>
    <w:rsid w:val="00091254"/>
    <w:rsid w:val="00091902"/>
    <w:rsid w:val="00091FA6"/>
    <w:rsid w:val="00091FD2"/>
    <w:rsid w:val="00092710"/>
    <w:rsid w:val="00092C36"/>
    <w:rsid w:val="00093431"/>
    <w:rsid w:val="00093C18"/>
    <w:rsid w:val="00094295"/>
    <w:rsid w:val="000945C6"/>
    <w:rsid w:val="00094AF2"/>
    <w:rsid w:val="00094F9D"/>
    <w:rsid w:val="00095A46"/>
    <w:rsid w:val="00095AF7"/>
    <w:rsid w:val="00095B1A"/>
    <w:rsid w:val="00096844"/>
    <w:rsid w:val="00096951"/>
    <w:rsid w:val="000970EF"/>
    <w:rsid w:val="000972AE"/>
    <w:rsid w:val="00097BAB"/>
    <w:rsid w:val="000A0304"/>
    <w:rsid w:val="000A0DBA"/>
    <w:rsid w:val="000A11B5"/>
    <w:rsid w:val="000A1A25"/>
    <w:rsid w:val="000A2A65"/>
    <w:rsid w:val="000A3005"/>
    <w:rsid w:val="000A36F5"/>
    <w:rsid w:val="000A383F"/>
    <w:rsid w:val="000A4593"/>
    <w:rsid w:val="000A4C54"/>
    <w:rsid w:val="000A5208"/>
    <w:rsid w:val="000A5BCB"/>
    <w:rsid w:val="000A6550"/>
    <w:rsid w:val="000A65BC"/>
    <w:rsid w:val="000A694F"/>
    <w:rsid w:val="000A6AAC"/>
    <w:rsid w:val="000A736C"/>
    <w:rsid w:val="000A7923"/>
    <w:rsid w:val="000A7B19"/>
    <w:rsid w:val="000B0393"/>
    <w:rsid w:val="000B0EB9"/>
    <w:rsid w:val="000B1924"/>
    <w:rsid w:val="000B1A5E"/>
    <w:rsid w:val="000B1FC0"/>
    <w:rsid w:val="000B355B"/>
    <w:rsid w:val="000B3AEB"/>
    <w:rsid w:val="000B3ECD"/>
    <w:rsid w:val="000B61CF"/>
    <w:rsid w:val="000B6CDB"/>
    <w:rsid w:val="000B6EAB"/>
    <w:rsid w:val="000B71AD"/>
    <w:rsid w:val="000C04FF"/>
    <w:rsid w:val="000C09AD"/>
    <w:rsid w:val="000C0EDE"/>
    <w:rsid w:val="000C10B4"/>
    <w:rsid w:val="000C1A80"/>
    <w:rsid w:val="000C1E5F"/>
    <w:rsid w:val="000C24C2"/>
    <w:rsid w:val="000C348B"/>
    <w:rsid w:val="000C34BD"/>
    <w:rsid w:val="000C396E"/>
    <w:rsid w:val="000C4022"/>
    <w:rsid w:val="000C4108"/>
    <w:rsid w:val="000C4538"/>
    <w:rsid w:val="000C4A9C"/>
    <w:rsid w:val="000C4AE0"/>
    <w:rsid w:val="000C634B"/>
    <w:rsid w:val="000C71E6"/>
    <w:rsid w:val="000C7253"/>
    <w:rsid w:val="000D21D8"/>
    <w:rsid w:val="000D25F6"/>
    <w:rsid w:val="000D2DA4"/>
    <w:rsid w:val="000D302C"/>
    <w:rsid w:val="000D4220"/>
    <w:rsid w:val="000D4877"/>
    <w:rsid w:val="000D4C6B"/>
    <w:rsid w:val="000D5AD3"/>
    <w:rsid w:val="000D7224"/>
    <w:rsid w:val="000D7535"/>
    <w:rsid w:val="000E18C3"/>
    <w:rsid w:val="000E2CF5"/>
    <w:rsid w:val="000E374B"/>
    <w:rsid w:val="000E5495"/>
    <w:rsid w:val="000E5588"/>
    <w:rsid w:val="000E69FB"/>
    <w:rsid w:val="000E6A50"/>
    <w:rsid w:val="000E6C0B"/>
    <w:rsid w:val="000E6EF0"/>
    <w:rsid w:val="000E7092"/>
    <w:rsid w:val="000E79D6"/>
    <w:rsid w:val="000F02EA"/>
    <w:rsid w:val="000F138F"/>
    <w:rsid w:val="000F139A"/>
    <w:rsid w:val="000F1D25"/>
    <w:rsid w:val="000F1DA6"/>
    <w:rsid w:val="000F2671"/>
    <w:rsid w:val="000F2BD8"/>
    <w:rsid w:val="000F2F08"/>
    <w:rsid w:val="000F35E1"/>
    <w:rsid w:val="000F3902"/>
    <w:rsid w:val="000F403A"/>
    <w:rsid w:val="000F5579"/>
    <w:rsid w:val="000F5DB6"/>
    <w:rsid w:val="000F5EA5"/>
    <w:rsid w:val="000F5EC0"/>
    <w:rsid w:val="000F6E59"/>
    <w:rsid w:val="000F701D"/>
    <w:rsid w:val="000F7797"/>
    <w:rsid w:val="001003BC"/>
    <w:rsid w:val="00100D6D"/>
    <w:rsid w:val="00101166"/>
    <w:rsid w:val="00101836"/>
    <w:rsid w:val="00101ECA"/>
    <w:rsid w:val="001021B7"/>
    <w:rsid w:val="0010228D"/>
    <w:rsid w:val="001027F8"/>
    <w:rsid w:val="001028AF"/>
    <w:rsid w:val="00102932"/>
    <w:rsid w:val="00102CE0"/>
    <w:rsid w:val="00103A8C"/>
    <w:rsid w:val="001045B9"/>
    <w:rsid w:val="00106181"/>
    <w:rsid w:val="001062DE"/>
    <w:rsid w:val="0010763D"/>
    <w:rsid w:val="001105BC"/>
    <w:rsid w:val="00111243"/>
    <w:rsid w:val="001114E6"/>
    <w:rsid w:val="00113226"/>
    <w:rsid w:val="001134C0"/>
    <w:rsid w:val="0011351F"/>
    <w:rsid w:val="001136FD"/>
    <w:rsid w:val="00113AF6"/>
    <w:rsid w:val="00114EB8"/>
    <w:rsid w:val="001150A0"/>
    <w:rsid w:val="001152B3"/>
    <w:rsid w:val="00115783"/>
    <w:rsid w:val="00115D8D"/>
    <w:rsid w:val="00115E8C"/>
    <w:rsid w:val="00116294"/>
    <w:rsid w:val="001167F9"/>
    <w:rsid w:val="00116C4E"/>
    <w:rsid w:val="0011714D"/>
    <w:rsid w:val="001173F3"/>
    <w:rsid w:val="0011798B"/>
    <w:rsid w:val="001179C6"/>
    <w:rsid w:val="001201A4"/>
    <w:rsid w:val="00120DD7"/>
    <w:rsid w:val="00120F0E"/>
    <w:rsid w:val="00121D5F"/>
    <w:rsid w:val="001231FB"/>
    <w:rsid w:val="0012348D"/>
    <w:rsid w:val="00123B4A"/>
    <w:rsid w:val="00123B57"/>
    <w:rsid w:val="001240E4"/>
    <w:rsid w:val="00124C25"/>
    <w:rsid w:val="001266E4"/>
    <w:rsid w:val="00130D46"/>
    <w:rsid w:val="00130E61"/>
    <w:rsid w:val="00130FB8"/>
    <w:rsid w:val="001312E7"/>
    <w:rsid w:val="00131799"/>
    <w:rsid w:val="00131A8D"/>
    <w:rsid w:val="00131F60"/>
    <w:rsid w:val="0013248A"/>
    <w:rsid w:val="001327E8"/>
    <w:rsid w:val="00132881"/>
    <w:rsid w:val="00132C43"/>
    <w:rsid w:val="00133017"/>
    <w:rsid w:val="00133168"/>
    <w:rsid w:val="0013342F"/>
    <w:rsid w:val="00133A7F"/>
    <w:rsid w:val="00133FE4"/>
    <w:rsid w:val="00133FE8"/>
    <w:rsid w:val="00134095"/>
    <w:rsid w:val="0013483A"/>
    <w:rsid w:val="001349C7"/>
    <w:rsid w:val="00134EEC"/>
    <w:rsid w:val="00135784"/>
    <w:rsid w:val="001361B9"/>
    <w:rsid w:val="0013671B"/>
    <w:rsid w:val="00136BA2"/>
    <w:rsid w:val="001370C3"/>
    <w:rsid w:val="001378A3"/>
    <w:rsid w:val="001405BC"/>
    <w:rsid w:val="001408E9"/>
    <w:rsid w:val="00140A6B"/>
    <w:rsid w:val="00141DF2"/>
    <w:rsid w:val="00142610"/>
    <w:rsid w:val="00142A02"/>
    <w:rsid w:val="00142ED3"/>
    <w:rsid w:val="001444AE"/>
    <w:rsid w:val="00144AAF"/>
    <w:rsid w:val="001457B1"/>
    <w:rsid w:val="00145B19"/>
    <w:rsid w:val="00145D9D"/>
    <w:rsid w:val="00146DF8"/>
    <w:rsid w:val="00147321"/>
    <w:rsid w:val="001502FD"/>
    <w:rsid w:val="00150568"/>
    <w:rsid w:val="00150789"/>
    <w:rsid w:val="001510B9"/>
    <w:rsid w:val="001511FA"/>
    <w:rsid w:val="001517B1"/>
    <w:rsid w:val="001518AE"/>
    <w:rsid w:val="00151C81"/>
    <w:rsid w:val="0015365D"/>
    <w:rsid w:val="001538C7"/>
    <w:rsid w:val="00153EA4"/>
    <w:rsid w:val="00153F1F"/>
    <w:rsid w:val="001542D0"/>
    <w:rsid w:val="00154B41"/>
    <w:rsid w:val="00154C6F"/>
    <w:rsid w:val="001550EC"/>
    <w:rsid w:val="001553ED"/>
    <w:rsid w:val="00155B97"/>
    <w:rsid w:val="001560A5"/>
    <w:rsid w:val="00156466"/>
    <w:rsid w:val="00156BB6"/>
    <w:rsid w:val="00156C20"/>
    <w:rsid w:val="00156E1E"/>
    <w:rsid w:val="00157613"/>
    <w:rsid w:val="00157788"/>
    <w:rsid w:val="00157DA6"/>
    <w:rsid w:val="00160386"/>
    <w:rsid w:val="0016047D"/>
    <w:rsid w:val="001609B4"/>
    <w:rsid w:val="00161068"/>
    <w:rsid w:val="001620F9"/>
    <w:rsid w:val="00162BB1"/>
    <w:rsid w:val="0016346F"/>
    <w:rsid w:val="00163999"/>
    <w:rsid w:val="001644AE"/>
    <w:rsid w:val="001646AA"/>
    <w:rsid w:val="00164841"/>
    <w:rsid w:val="0016544E"/>
    <w:rsid w:val="00165529"/>
    <w:rsid w:val="0016557B"/>
    <w:rsid w:val="00165D0D"/>
    <w:rsid w:val="00165FD7"/>
    <w:rsid w:val="00166742"/>
    <w:rsid w:val="0016687D"/>
    <w:rsid w:val="00166FFE"/>
    <w:rsid w:val="001670A2"/>
    <w:rsid w:val="001679AF"/>
    <w:rsid w:val="00167DAD"/>
    <w:rsid w:val="00170357"/>
    <w:rsid w:val="001705C7"/>
    <w:rsid w:val="0017120F"/>
    <w:rsid w:val="0017173C"/>
    <w:rsid w:val="00171A4D"/>
    <w:rsid w:val="001728C6"/>
    <w:rsid w:val="00172B11"/>
    <w:rsid w:val="00172E52"/>
    <w:rsid w:val="00174E9C"/>
    <w:rsid w:val="0017511F"/>
    <w:rsid w:val="0017546B"/>
    <w:rsid w:val="0017574E"/>
    <w:rsid w:val="00175B7E"/>
    <w:rsid w:val="0018071C"/>
    <w:rsid w:val="0018288A"/>
    <w:rsid w:val="0018308E"/>
    <w:rsid w:val="001830D7"/>
    <w:rsid w:val="00183413"/>
    <w:rsid w:val="0018341C"/>
    <w:rsid w:val="00183A21"/>
    <w:rsid w:val="00183BCF"/>
    <w:rsid w:val="00183C28"/>
    <w:rsid w:val="00184D39"/>
    <w:rsid w:val="00184E0B"/>
    <w:rsid w:val="00185006"/>
    <w:rsid w:val="00185491"/>
    <w:rsid w:val="00185942"/>
    <w:rsid w:val="00185A01"/>
    <w:rsid w:val="00185B59"/>
    <w:rsid w:val="00187371"/>
    <w:rsid w:val="001873B5"/>
    <w:rsid w:val="00187DF7"/>
    <w:rsid w:val="0019031E"/>
    <w:rsid w:val="00190345"/>
    <w:rsid w:val="0019059B"/>
    <w:rsid w:val="001905C4"/>
    <w:rsid w:val="00190738"/>
    <w:rsid w:val="001908AF"/>
    <w:rsid w:val="001908E4"/>
    <w:rsid w:val="00190A9F"/>
    <w:rsid w:val="001912D7"/>
    <w:rsid w:val="00191F49"/>
    <w:rsid w:val="00192A34"/>
    <w:rsid w:val="00192D7A"/>
    <w:rsid w:val="00192F45"/>
    <w:rsid w:val="00193449"/>
    <w:rsid w:val="00193F61"/>
    <w:rsid w:val="001955FA"/>
    <w:rsid w:val="001958CF"/>
    <w:rsid w:val="001959D9"/>
    <w:rsid w:val="00195C12"/>
    <w:rsid w:val="00195CCF"/>
    <w:rsid w:val="00195F59"/>
    <w:rsid w:val="0019636C"/>
    <w:rsid w:val="00196629"/>
    <w:rsid w:val="00196BA3"/>
    <w:rsid w:val="0019781C"/>
    <w:rsid w:val="001A006C"/>
    <w:rsid w:val="001A01E4"/>
    <w:rsid w:val="001A0F2D"/>
    <w:rsid w:val="001A177E"/>
    <w:rsid w:val="001A2777"/>
    <w:rsid w:val="001A2B24"/>
    <w:rsid w:val="001A391C"/>
    <w:rsid w:val="001A3E3D"/>
    <w:rsid w:val="001A469B"/>
    <w:rsid w:val="001A5185"/>
    <w:rsid w:val="001A5193"/>
    <w:rsid w:val="001A5252"/>
    <w:rsid w:val="001A5B9E"/>
    <w:rsid w:val="001A5BEC"/>
    <w:rsid w:val="001A63B3"/>
    <w:rsid w:val="001A6484"/>
    <w:rsid w:val="001A660B"/>
    <w:rsid w:val="001A68A2"/>
    <w:rsid w:val="001A68AC"/>
    <w:rsid w:val="001B00FC"/>
    <w:rsid w:val="001B0883"/>
    <w:rsid w:val="001B0886"/>
    <w:rsid w:val="001B1C37"/>
    <w:rsid w:val="001B253A"/>
    <w:rsid w:val="001B259A"/>
    <w:rsid w:val="001B3267"/>
    <w:rsid w:val="001B363A"/>
    <w:rsid w:val="001B3BE2"/>
    <w:rsid w:val="001B451D"/>
    <w:rsid w:val="001B4F09"/>
    <w:rsid w:val="001B5D6C"/>
    <w:rsid w:val="001B6728"/>
    <w:rsid w:val="001B672F"/>
    <w:rsid w:val="001B6A07"/>
    <w:rsid w:val="001B7640"/>
    <w:rsid w:val="001C0262"/>
    <w:rsid w:val="001C08C0"/>
    <w:rsid w:val="001C08DA"/>
    <w:rsid w:val="001C0BCA"/>
    <w:rsid w:val="001C1520"/>
    <w:rsid w:val="001C213C"/>
    <w:rsid w:val="001C2FE8"/>
    <w:rsid w:val="001C33F2"/>
    <w:rsid w:val="001C3864"/>
    <w:rsid w:val="001C40F2"/>
    <w:rsid w:val="001C419E"/>
    <w:rsid w:val="001C54B8"/>
    <w:rsid w:val="001C5E5D"/>
    <w:rsid w:val="001C5EBB"/>
    <w:rsid w:val="001C63D8"/>
    <w:rsid w:val="001C646B"/>
    <w:rsid w:val="001C65A3"/>
    <w:rsid w:val="001C6645"/>
    <w:rsid w:val="001C68FA"/>
    <w:rsid w:val="001C69F1"/>
    <w:rsid w:val="001C707B"/>
    <w:rsid w:val="001C70C0"/>
    <w:rsid w:val="001C7663"/>
    <w:rsid w:val="001C767B"/>
    <w:rsid w:val="001C7952"/>
    <w:rsid w:val="001D0C11"/>
    <w:rsid w:val="001D1380"/>
    <w:rsid w:val="001D18F4"/>
    <w:rsid w:val="001D29C9"/>
    <w:rsid w:val="001D38FD"/>
    <w:rsid w:val="001D457A"/>
    <w:rsid w:val="001D4BDB"/>
    <w:rsid w:val="001D4C68"/>
    <w:rsid w:val="001D5CF0"/>
    <w:rsid w:val="001D5D15"/>
    <w:rsid w:val="001D63D8"/>
    <w:rsid w:val="001D64A0"/>
    <w:rsid w:val="001D6746"/>
    <w:rsid w:val="001D6A69"/>
    <w:rsid w:val="001D7146"/>
    <w:rsid w:val="001D7934"/>
    <w:rsid w:val="001E0739"/>
    <w:rsid w:val="001E0E18"/>
    <w:rsid w:val="001E1055"/>
    <w:rsid w:val="001E1272"/>
    <w:rsid w:val="001E1FD0"/>
    <w:rsid w:val="001E20B2"/>
    <w:rsid w:val="001E274F"/>
    <w:rsid w:val="001E28DA"/>
    <w:rsid w:val="001E2A64"/>
    <w:rsid w:val="001E2EC1"/>
    <w:rsid w:val="001E31C8"/>
    <w:rsid w:val="001E35E1"/>
    <w:rsid w:val="001E3ACA"/>
    <w:rsid w:val="001E3BDC"/>
    <w:rsid w:val="001E43EE"/>
    <w:rsid w:val="001E48BA"/>
    <w:rsid w:val="001E4DC1"/>
    <w:rsid w:val="001E6534"/>
    <w:rsid w:val="001E6CBE"/>
    <w:rsid w:val="001E7288"/>
    <w:rsid w:val="001E7306"/>
    <w:rsid w:val="001E7985"/>
    <w:rsid w:val="001F15B9"/>
    <w:rsid w:val="001F20AC"/>
    <w:rsid w:val="001F32D5"/>
    <w:rsid w:val="001F3681"/>
    <w:rsid w:val="001F3A76"/>
    <w:rsid w:val="001F3BC0"/>
    <w:rsid w:val="001F4A72"/>
    <w:rsid w:val="001F5F56"/>
    <w:rsid w:val="001F64DF"/>
    <w:rsid w:val="001F664E"/>
    <w:rsid w:val="001F6DAE"/>
    <w:rsid w:val="001F75B1"/>
    <w:rsid w:val="00200AD1"/>
    <w:rsid w:val="002010A2"/>
    <w:rsid w:val="0020156A"/>
    <w:rsid w:val="00201599"/>
    <w:rsid w:val="00201612"/>
    <w:rsid w:val="00201B28"/>
    <w:rsid w:val="002025C4"/>
    <w:rsid w:val="00202897"/>
    <w:rsid w:val="002029AB"/>
    <w:rsid w:val="00202EE4"/>
    <w:rsid w:val="0020395B"/>
    <w:rsid w:val="00203A7F"/>
    <w:rsid w:val="00203F13"/>
    <w:rsid w:val="00205F21"/>
    <w:rsid w:val="00205F54"/>
    <w:rsid w:val="0020786E"/>
    <w:rsid w:val="002078E6"/>
    <w:rsid w:val="0021039B"/>
    <w:rsid w:val="002105E9"/>
    <w:rsid w:val="00210ECB"/>
    <w:rsid w:val="00210EDA"/>
    <w:rsid w:val="0021143C"/>
    <w:rsid w:val="00211897"/>
    <w:rsid w:val="0021223B"/>
    <w:rsid w:val="00212AB3"/>
    <w:rsid w:val="00212BDE"/>
    <w:rsid w:val="00213419"/>
    <w:rsid w:val="00214442"/>
    <w:rsid w:val="002145E6"/>
    <w:rsid w:val="0021487A"/>
    <w:rsid w:val="0021518E"/>
    <w:rsid w:val="002155F8"/>
    <w:rsid w:val="00215890"/>
    <w:rsid w:val="00215983"/>
    <w:rsid w:val="002167BE"/>
    <w:rsid w:val="00217C6F"/>
    <w:rsid w:val="00220A1D"/>
    <w:rsid w:val="0022190A"/>
    <w:rsid w:val="00221E87"/>
    <w:rsid w:val="002227A0"/>
    <w:rsid w:val="00222A36"/>
    <w:rsid w:val="00222EDE"/>
    <w:rsid w:val="00222F11"/>
    <w:rsid w:val="0022454B"/>
    <w:rsid w:val="002255B2"/>
    <w:rsid w:val="00225E16"/>
    <w:rsid w:val="0022603C"/>
    <w:rsid w:val="00226B0F"/>
    <w:rsid w:val="00226C16"/>
    <w:rsid w:val="00227E50"/>
    <w:rsid w:val="00230228"/>
    <w:rsid w:val="002302FA"/>
    <w:rsid w:val="002303CC"/>
    <w:rsid w:val="002308B1"/>
    <w:rsid w:val="00230B31"/>
    <w:rsid w:val="00230DF7"/>
    <w:rsid w:val="00230EC4"/>
    <w:rsid w:val="00231003"/>
    <w:rsid w:val="00231588"/>
    <w:rsid w:val="002315B5"/>
    <w:rsid w:val="0023219E"/>
    <w:rsid w:val="0023244B"/>
    <w:rsid w:val="002334B2"/>
    <w:rsid w:val="0023373A"/>
    <w:rsid w:val="00234B8C"/>
    <w:rsid w:val="00235121"/>
    <w:rsid w:val="00235FA6"/>
    <w:rsid w:val="002360D3"/>
    <w:rsid w:val="00236F9F"/>
    <w:rsid w:val="00237AD0"/>
    <w:rsid w:val="00237C85"/>
    <w:rsid w:val="0024078C"/>
    <w:rsid w:val="00240859"/>
    <w:rsid w:val="002409E9"/>
    <w:rsid w:val="00240F00"/>
    <w:rsid w:val="0024197A"/>
    <w:rsid w:val="00241B08"/>
    <w:rsid w:val="00241C05"/>
    <w:rsid w:val="00241FBD"/>
    <w:rsid w:val="002420D8"/>
    <w:rsid w:val="00242BBD"/>
    <w:rsid w:val="002433A0"/>
    <w:rsid w:val="002435C7"/>
    <w:rsid w:val="00243683"/>
    <w:rsid w:val="00243694"/>
    <w:rsid w:val="002437BE"/>
    <w:rsid w:val="00243995"/>
    <w:rsid w:val="00243999"/>
    <w:rsid w:val="00243CDB"/>
    <w:rsid w:val="002449B9"/>
    <w:rsid w:val="00245555"/>
    <w:rsid w:val="002459E0"/>
    <w:rsid w:val="00245EB4"/>
    <w:rsid w:val="0024609F"/>
    <w:rsid w:val="002462B8"/>
    <w:rsid w:val="00246968"/>
    <w:rsid w:val="002469F8"/>
    <w:rsid w:val="00246A8A"/>
    <w:rsid w:val="0025023C"/>
    <w:rsid w:val="0025093D"/>
    <w:rsid w:val="00250F35"/>
    <w:rsid w:val="00250F76"/>
    <w:rsid w:val="00251769"/>
    <w:rsid w:val="00251EF1"/>
    <w:rsid w:val="002520B4"/>
    <w:rsid w:val="0025216B"/>
    <w:rsid w:val="00252C37"/>
    <w:rsid w:val="00253204"/>
    <w:rsid w:val="00253D57"/>
    <w:rsid w:val="00254708"/>
    <w:rsid w:val="0025476A"/>
    <w:rsid w:val="00254BF7"/>
    <w:rsid w:val="00256A13"/>
    <w:rsid w:val="00257D5E"/>
    <w:rsid w:val="00261027"/>
    <w:rsid w:val="00261CDE"/>
    <w:rsid w:val="00262806"/>
    <w:rsid w:val="00263558"/>
    <w:rsid w:val="00263F7C"/>
    <w:rsid w:val="00264877"/>
    <w:rsid w:val="00265BAA"/>
    <w:rsid w:val="0026662A"/>
    <w:rsid w:val="002667DB"/>
    <w:rsid w:val="002673D7"/>
    <w:rsid w:val="00270614"/>
    <w:rsid w:val="00270F69"/>
    <w:rsid w:val="00273212"/>
    <w:rsid w:val="002735EF"/>
    <w:rsid w:val="00273819"/>
    <w:rsid w:val="002738D6"/>
    <w:rsid w:val="00273B75"/>
    <w:rsid w:val="0027416A"/>
    <w:rsid w:val="002748FE"/>
    <w:rsid w:val="00275C13"/>
    <w:rsid w:val="00276AB2"/>
    <w:rsid w:val="00276BE4"/>
    <w:rsid w:val="00276E11"/>
    <w:rsid w:val="00276FA7"/>
    <w:rsid w:val="00280EEE"/>
    <w:rsid w:val="00280FA7"/>
    <w:rsid w:val="00281A07"/>
    <w:rsid w:val="002826B0"/>
    <w:rsid w:val="00282729"/>
    <w:rsid w:val="00282F5F"/>
    <w:rsid w:val="00284733"/>
    <w:rsid w:val="00284A47"/>
    <w:rsid w:val="002858EE"/>
    <w:rsid w:val="0028605F"/>
    <w:rsid w:val="00286E31"/>
    <w:rsid w:val="00287EB5"/>
    <w:rsid w:val="00290963"/>
    <w:rsid w:val="00290AC8"/>
    <w:rsid w:val="00290B51"/>
    <w:rsid w:val="00290C74"/>
    <w:rsid w:val="00290EAC"/>
    <w:rsid w:val="00291357"/>
    <w:rsid w:val="002916AB"/>
    <w:rsid w:val="0029187B"/>
    <w:rsid w:val="00291B05"/>
    <w:rsid w:val="0029200C"/>
    <w:rsid w:val="002929D3"/>
    <w:rsid w:val="00292CC4"/>
    <w:rsid w:val="00293E8D"/>
    <w:rsid w:val="00295F64"/>
    <w:rsid w:val="002961A0"/>
    <w:rsid w:val="002961D0"/>
    <w:rsid w:val="00296926"/>
    <w:rsid w:val="00296958"/>
    <w:rsid w:val="0029717C"/>
    <w:rsid w:val="0029776B"/>
    <w:rsid w:val="00297ABB"/>
    <w:rsid w:val="002A0648"/>
    <w:rsid w:val="002A0B6B"/>
    <w:rsid w:val="002A11D1"/>
    <w:rsid w:val="002A1618"/>
    <w:rsid w:val="002A1FF3"/>
    <w:rsid w:val="002A20C0"/>
    <w:rsid w:val="002A23BB"/>
    <w:rsid w:val="002A2B68"/>
    <w:rsid w:val="002A2CA8"/>
    <w:rsid w:val="002A4E57"/>
    <w:rsid w:val="002A5522"/>
    <w:rsid w:val="002A5A42"/>
    <w:rsid w:val="002A5B16"/>
    <w:rsid w:val="002A6069"/>
    <w:rsid w:val="002A6AE9"/>
    <w:rsid w:val="002A6C2C"/>
    <w:rsid w:val="002A6CD0"/>
    <w:rsid w:val="002A7AC4"/>
    <w:rsid w:val="002B0EE2"/>
    <w:rsid w:val="002B0F94"/>
    <w:rsid w:val="002B2BDA"/>
    <w:rsid w:val="002B2D8A"/>
    <w:rsid w:val="002B36B0"/>
    <w:rsid w:val="002B397C"/>
    <w:rsid w:val="002B3CA2"/>
    <w:rsid w:val="002B3E74"/>
    <w:rsid w:val="002B4147"/>
    <w:rsid w:val="002B46BD"/>
    <w:rsid w:val="002B5F1F"/>
    <w:rsid w:val="002B6B4C"/>
    <w:rsid w:val="002B73CD"/>
    <w:rsid w:val="002B7807"/>
    <w:rsid w:val="002C069B"/>
    <w:rsid w:val="002C0A4B"/>
    <w:rsid w:val="002C0FF4"/>
    <w:rsid w:val="002C159C"/>
    <w:rsid w:val="002C1F60"/>
    <w:rsid w:val="002C24E6"/>
    <w:rsid w:val="002C2671"/>
    <w:rsid w:val="002C2683"/>
    <w:rsid w:val="002C29A9"/>
    <w:rsid w:val="002C2C3E"/>
    <w:rsid w:val="002C3748"/>
    <w:rsid w:val="002C3ED4"/>
    <w:rsid w:val="002C3EDB"/>
    <w:rsid w:val="002C401E"/>
    <w:rsid w:val="002C4776"/>
    <w:rsid w:val="002C5391"/>
    <w:rsid w:val="002C5B3D"/>
    <w:rsid w:val="002C614D"/>
    <w:rsid w:val="002C6D65"/>
    <w:rsid w:val="002C7E5D"/>
    <w:rsid w:val="002D07BB"/>
    <w:rsid w:val="002D14C0"/>
    <w:rsid w:val="002D218F"/>
    <w:rsid w:val="002D22CB"/>
    <w:rsid w:val="002D281D"/>
    <w:rsid w:val="002D297E"/>
    <w:rsid w:val="002D2B99"/>
    <w:rsid w:val="002D4352"/>
    <w:rsid w:val="002D4897"/>
    <w:rsid w:val="002D4EEB"/>
    <w:rsid w:val="002D57DC"/>
    <w:rsid w:val="002D58FC"/>
    <w:rsid w:val="002D72EF"/>
    <w:rsid w:val="002D74DB"/>
    <w:rsid w:val="002D7552"/>
    <w:rsid w:val="002D75F5"/>
    <w:rsid w:val="002E0D5D"/>
    <w:rsid w:val="002E0F14"/>
    <w:rsid w:val="002E12BB"/>
    <w:rsid w:val="002E1316"/>
    <w:rsid w:val="002E14F9"/>
    <w:rsid w:val="002E1634"/>
    <w:rsid w:val="002E1C31"/>
    <w:rsid w:val="002E2841"/>
    <w:rsid w:val="002E392E"/>
    <w:rsid w:val="002E5110"/>
    <w:rsid w:val="002E6BCD"/>
    <w:rsid w:val="002E7F19"/>
    <w:rsid w:val="002F0399"/>
    <w:rsid w:val="002F1A2B"/>
    <w:rsid w:val="002F1B5F"/>
    <w:rsid w:val="002F22F7"/>
    <w:rsid w:val="002F2495"/>
    <w:rsid w:val="002F2B1E"/>
    <w:rsid w:val="002F2FC4"/>
    <w:rsid w:val="002F3471"/>
    <w:rsid w:val="002F3791"/>
    <w:rsid w:val="002F392D"/>
    <w:rsid w:val="002F3CB0"/>
    <w:rsid w:val="002F412B"/>
    <w:rsid w:val="002F45C4"/>
    <w:rsid w:val="002F5E7F"/>
    <w:rsid w:val="002F7087"/>
    <w:rsid w:val="002F74FD"/>
    <w:rsid w:val="002F7816"/>
    <w:rsid w:val="0030015F"/>
    <w:rsid w:val="003004D8"/>
    <w:rsid w:val="003006AE"/>
    <w:rsid w:val="003015B2"/>
    <w:rsid w:val="00301A25"/>
    <w:rsid w:val="00301DE3"/>
    <w:rsid w:val="00302037"/>
    <w:rsid w:val="0030276A"/>
    <w:rsid w:val="00302A16"/>
    <w:rsid w:val="00302AC9"/>
    <w:rsid w:val="00302B8C"/>
    <w:rsid w:val="003030D8"/>
    <w:rsid w:val="003032FA"/>
    <w:rsid w:val="00304620"/>
    <w:rsid w:val="00304F10"/>
    <w:rsid w:val="00305A08"/>
    <w:rsid w:val="003061C6"/>
    <w:rsid w:val="003062D5"/>
    <w:rsid w:val="00306631"/>
    <w:rsid w:val="00306CB5"/>
    <w:rsid w:val="0030734F"/>
    <w:rsid w:val="00307CC4"/>
    <w:rsid w:val="00310B28"/>
    <w:rsid w:val="00311A55"/>
    <w:rsid w:val="00312A76"/>
    <w:rsid w:val="00312BAE"/>
    <w:rsid w:val="00312E18"/>
    <w:rsid w:val="00313464"/>
    <w:rsid w:val="00313571"/>
    <w:rsid w:val="00313D11"/>
    <w:rsid w:val="0031442F"/>
    <w:rsid w:val="00314726"/>
    <w:rsid w:val="00314A3A"/>
    <w:rsid w:val="00314FAE"/>
    <w:rsid w:val="003156A8"/>
    <w:rsid w:val="00315985"/>
    <w:rsid w:val="00315A62"/>
    <w:rsid w:val="00315A72"/>
    <w:rsid w:val="00315AB7"/>
    <w:rsid w:val="00315E14"/>
    <w:rsid w:val="00315F5B"/>
    <w:rsid w:val="00316263"/>
    <w:rsid w:val="00316B6C"/>
    <w:rsid w:val="003173F6"/>
    <w:rsid w:val="00317594"/>
    <w:rsid w:val="003176CA"/>
    <w:rsid w:val="00320BDE"/>
    <w:rsid w:val="003211F6"/>
    <w:rsid w:val="00321814"/>
    <w:rsid w:val="00321AE4"/>
    <w:rsid w:val="003227FE"/>
    <w:rsid w:val="00323491"/>
    <w:rsid w:val="0032368E"/>
    <w:rsid w:val="003236F8"/>
    <w:rsid w:val="0032415D"/>
    <w:rsid w:val="0032427D"/>
    <w:rsid w:val="0032435C"/>
    <w:rsid w:val="00324CF3"/>
    <w:rsid w:val="003250A1"/>
    <w:rsid w:val="003250DD"/>
    <w:rsid w:val="00325E1D"/>
    <w:rsid w:val="00325F4B"/>
    <w:rsid w:val="00326DF0"/>
    <w:rsid w:val="003273D1"/>
    <w:rsid w:val="0032748B"/>
    <w:rsid w:val="0032799A"/>
    <w:rsid w:val="00330B20"/>
    <w:rsid w:val="00330FC2"/>
    <w:rsid w:val="00333188"/>
    <w:rsid w:val="0033342A"/>
    <w:rsid w:val="00333D88"/>
    <w:rsid w:val="00334248"/>
    <w:rsid w:val="00335BE7"/>
    <w:rsid w:val="00336582"/>
    <w:rsid w:val="00336EDE"/>
    <w:rsid w:val="003374EB"/>
    <w:rsid w:val="00337564"/>
    <w:rsid w:val="0033765F"/>
    <w:rsid w:val="003402C2"/>
    <w:rsid w:val="00340EF9"/>
    <w:rsid w:val="00341F45"/>
    <w:rsid w:val="00342653"/>
    <w:rsid w:val="003435EF"/>
    <w:rsid w:val="0034375A"/>
    <w:rsid w:val="00343BE9"/>
    <w:rsid w:val="003444AA"/>
    <w:rsid w:val="0034535C"/>
    <w:rsid w:val="00345EE0"/>
    <w:rsid w:val="00346EDB"/>
    <w:rsid w:val="00347902"/>
    <w:rsid w:val="0035041C"/>
    <w:rsid w:val="00350579"/>
    <w:rsid w:val="00351DDD"/>
    <w:rsid w:val="00351FC7"/>
    <w:rsid w:val="003525C4"/>
    <w:rsid w:val="00352F26"/>
    <w:rsid w:val="003530E2"/>
    <w:rsid w:val="00353121"/>
    <w:rsid w:val="00353238"/>
    <w:rsid w:val="00353585"/>
    <w:rsid w:val="00354168"/>
    <w:rsid w:val="00354BC8"/>
    <w:rsid w:val="00354E0C"/>
    <w:rsid w:val="00354EA6"/>
    <w:rsid w:val="0035508E"/>
    <w:rsid w:val="00355100"/>
    <w:rsid w:val="003554A9"/>
    <w:rsid w:val="00355616"/>
    <w:rsid w:val="0035616B"/>
    <w:rsid w:val="00356776"/>
    <w:rsid w:val="00357040"/>
    <w:rsid w:val="00357BFA"/>
    <w:rsid w:val="003610D7"/>
    <w:rsid w:val="003611E7"/>
    <w:rsid w:val="00361325"/>
    <w:rsid w:val="00362CD7"/>
    <w:rsid w:val="00362FB9"/>
    <w:rsid w:val="00363394"/>
    <w:rsid w:val="00363697"/>
    <w:rsid w:val="00365B8D"/>
    <w:rsid w:val="00365EA7"/>
    <w:rsid w:val="00366548"/>
    <w:rsid w:val="00366F3D"/>
    <w:rsid w:val="003670FF"/>
    <w:rsid w:val="00367459"/>
    <w:rsid w:val="0036795F"/>
    <w:rsid w:val="00367DEA"/>
    <w:rsid w:val="00367EC8"/>
    <w:rsid w:val="0037006A"/>
    <w:rsid w:val="00370B27"/>
    <w:rsid w:val="00370C2C"/>
    <w:rsid w:val="00371266"/>
    <w:rsid w:val="00372B92"/>
    <w:rsid w:val="00373018"/>
    <w:rsid w:val="003732CA"/>
    <w:rsid w:val="00373385"/>
    <w:rsid w:val="003736DA"/>
    <w:rsid w:val="00374939"/>
    <w:rsid w:val="00374FD8"/>
    <w:rsid w:val="003758E0"/>
    <w:rsid w:val="00375EA0"/>
    <w:rsid w:val="00375EB6"/>
    <w:rsid w:val="00376230"/>
    <w:rsid w:val="003765A0"/>
    <w:rsid w:val="00376778"/>
    <w:rsid w:val="00377272"/>
    <w:rsid w:val="00377400"/>
    <w:rsid w:val="00377AEC"/>
    <w:rsid w:val="00377D1F"/>
    <w:rsid w:val="003802FF"/>
    <w:rsid w:val="003816B1"/>
    <w:rsid w:val="003821F9"/>
    <w:rsid w:val="0038222D"/>
    <w:rsid w:val="00382A77"/>
    <w:rsid w:val="00382D8F"/>
    <w:rsid w:val="003845BB"/>
    <w:rsid w:val="003848CC"/>
    <w:rsid w:val="00384EF7"/>
    <w:rsid w:val="0038504F"/>
    <w:rsid w:val="0038566E"/>
    <w:rsid w:val="00385AB0"/>
    <w:rsid w:val="003860C1"/>
    <w:rsid w:val="00386399"/>
    <w:rsid w:val="00386CAD"/>
    <w:rsid w:val="00387426"/>
    <w:rsid w:val="0038760D"/>
    <w:rsid w:val="00391096"/>
    <w:rsid w:val="00391790"/>
    <w:rsid w:val="00392588"/>
    <w:rsid w:val="00393C0C"/>
    <w:rsid w:val="00393C2D"/>
    <w:rsid w:val="003944FE"/>
    <w:rsid w:val="00394ABA"/>
    <w:rsid w:val="00394EEE"/>
    <w:rsid w:val="003951A0"/>
    <w:rsid w:val="00395599"/>
    <w:rsid w:val="00395C10"/>
    <w:rsid w:val="00396C8C"/>
    <w:rsid w:val="00396E25"/>
    <w:rsid w:val="003A06DC"/>
    <w:rsid w:val="003A19A5"/>
    <w:rsid w:val="003A1C4B"/>
    <w:rsid w:val="003A2024"/>
    <w:rsid w:val="003A27EC"/>
    <w:rsid w:val="003A28AB"/>
    <w:rsid w:val="003A2B19"/>
    <w:rsid w:val="003A2C1A"/>
    <w:rsid w:val="003A377C"/>
    <w:rsid w:val="003A39A3"/>
    <w:rsid w:val="003A585A"/>
    <w:rsid w:val="003A5A54"/>
    <w:rsid w:val="003A5F85"/>
    <w:rsid w:val="003A6E39"/>
    <w:rsid w:val="003A70E7"/>
    <w:rsid w:val="003A7241"/>
    <w:rsid w:val="003A7F60"/>
    <w:rsid w:val="003B041F"/>
    <w:rsid w:val="003B11E7"/>
    <w:rsid w:val="003B1ACC"/>
    <w:rsid w:val="003B1DED"/>
    <w:rsid w:val="003B293F"/>
    <w:rsid w:val="003B2CF8"/>
    <w:rsid w:val="003B40C9"/>
    <w:rsid w:val="003B41A7"/>
    <w:rsid w:val="003B427F"/>
    <w:rsid w:val="003B4A31"/>
    <w:rsid w:val="003B4F7C"/>
    <w:rsid w:val="003B5489"/>
    <w:rsid w:val="003B57D4"/>
    <w:rsid w:val="003B5EE2"/>
    <w:rsid w:val="003B600C"/>
    <w:rsid w:val="003B63F0"/>
    <w:rsid w:val="003B6CC6"/>
    <w:rsid w:val="003B762F"/>
    <w:rsid w:val="003B7A20"/>
    <w:rsid w:val="003B7B31"/>
    <w:rsid w:val="003C00FE"/>
    <w:rsid w:val="003C0202"/>
    <w:rsid w:val="003C0A30"/>
    <w:rsid w:val="003C0C36"/>
    <w:rsid w:val="003C0D6B"/>
    <w:rsid w:val="003C105E"/>
    <w:rsid w:val="003C17B6"/>
    <w:rsid w:val="003C185B"/>
    <w:rsid w:val="003C292C"/>
    <w:rsid w:val="003C29D6"/>
    <w:rsid w:val="003C2C22"/>
    <w:rsid w:val="003C399A"/>
    <w:rsid w:val="003C3A5A"/>
    <w:rsid w:val="003C4CBE"/>
    <w:rsid w:val="003C50F1"/>
    <w:rsid w:val="003C5DAC"/>
    <w:rsid w:val="003C5FF1"/>
    <w:rsid w:val="003C6D7E"/>
    <w:rsid w:val="003C6F7B"/>
    <w:rsid w:val="003C7990"/>
    <w:rsid w:val="003C7BB9"/>
    <w:rsid w:val="003D07CE"/>
    <w:rsid w:val="003D1583"/>
    <w:rsid w:val="003D1E91"/>
    <w:rsid w:val="003D22E2"/>
    <w:rsid w:val="003D253A"/>
    <w:rsid w:val="003D2A47"/>
    <w:rsid w:val="003D2F1A"/>
    <w:rsid w:val="003D32A2"/>
    <w:rsid w:val="003D386A"/>
    <w:rsid w:val="003D3BF4"/>
    <w:rsid w:val="003D401D"/>
    <w:rsid w:val="003D4154"/>
    <w:rsid w:val="003D4F86"/>
    <w:rsid w:val="003D5114"/>
    <w:rsid w:val="003D526D"/>
    <w:rsid w:val="003D56A0"/>
    <w:rsid w:val="003D5916"/>
    <w:rsid w:val="003D5AA1"/>
    <w:rsid w:val="003D5E31"/>
    <w:rsid w:val="003D65D3"/>
    <w:rsid w:val="003D6728"/>
    <w:rsid w:val="003D6CB5"/>
    <w:rsid w:val="003D77CC"/>
    <w:rsid w:val="003E07A3"/>
    <w:rsid w:val="003E09A8"/>
    <w:rsid w:val="003E0C58"/>
    <w:rsid w:val="003E0ED0"/>
    <w:rsid w:val="003E1250"/>
    <w:rsid w:val="003E13C0"/>
    <w:rsid w:val="003E1ACC"/>
    <w:rsid w:val="003E1BB7"/>
    <w:rsid w:val="003E1F8E"/>
    <w:rsid w:val="003E2588"/>
    <w:rsid w:val="003E2789"/>
    <w:rsid w:val="003E2FD8"/>
    <w:rsid w:val="003E3346"/>
    <w:rsid w:val="003E34C6"/>
    <w:rsid w:val="003E3E43"/>
    <w:rsid w:val="003E43EB"/>
    <w:rsid w:val="003E4CC6"/>
    <w:rsid w:val="003E5B18"/>
    <w:rsid w:val="003E6D52"/>
    <w:rsid w:val="003E7B9C"/>
    <w:rsid w:val="003E7BE7"/>
    <w:rsid w:val="003F018B"/>
    <w:rsid w:val="003F0D67"/>
    <w:rsid w:val="003F0F90"/>
    <w:rsid w:val="003F377F"/>
    <w:rsid w:val="003F3A56"/>
    <w:rsid w:val="003F4072"/>
    <w:rsid w:val="003F578C"/>
    <w:rsid w:val="003F5A3A"/>
    <w:rsid w:val="003F6396"/>
    <w:rsid w:val="003F64BA"/>
    <w:rsid w:val="003F68B7"/>
    <w:rsid w:val="003F74BD"/>
    <w:rsid w:val="00400921"/>
    <w:rsid w:val="00400A12"/>
    <w:rsid w:val="00400D57"/>
    <w:rsid w:val="00400E8B"/>
    <w:rsid w:val="00401B21"/>
    <w:rsid w:val="00401B73"/>
    <w:rsid w:val="00401EB8"/>
    <w:rsid w:val="0040245F"/>
    <w:rsid w:val="00402598"/>
    <w:rsid w:val="00402661"/>
    <w:rsid w:val="00402C23"/>
    <w:rsid w:val="004042EC"/>
    <w:rsid w:val="00404FA3"/>
    <w:rsid w:val="004059A5"/>
    <w:rsid w:val="0040605E"/>
    <w:rsid w:val="004062C1"/>
    <w:rsid w:val="004064BC"/>
    <w:rsid w:val="004068DB"/>
    <w:rsid w:val="00406B79"/>
    <w:rsid w:val="00406DF4"/>
    <w:rsid w:val="00407487"/>
    <w:rsid w:val="0041189F"/>
    <w:rsid w:val="00412E60"/>
    <w:rsid w:val="004132F4"/>
    <w:rsid w:val="00414059"/>
    <w:rsid w:val="00414B5F"/>
    <w:rsid w:val="00414E14"/>
    <w:rsid w:val="00415B2B"/>
    <w:rsid w:val="00415B4C"/>
    <w:rsid w:val="0041655D"/>
    <w:rsid w:val="00417937"/>
    <w:rsid w:val="004202B6"/>
    <w:rsid w:val="00420CE2"/>
    <w:rsid w:val="004210DA"/>
    <w:rsid w:val="00421F3F"/>
    <w:rsid w:val="00422F82"/>
    <w:rsid w:val="00423775"/>
    <w:rsid w:val="0042415E"/>
    <w:rsid w:val="00424197"/>
    <w:rsid w:val="004244E6"/>
    <w:rsid w:val="00425D64"/>
    <w:rsid w:val="00426685"/>
    <w:rsid w:val="00426917"/>
    <w:rsid w:val="00426D60"/>
    <w:rsid w:val="00427B08"/>
    <w:rsid w:val="00427E29"/>
    <w:rsid w:val="00430796"/>
    <w:rsid w:val="004308EE"/>
    <w:rsid w:val="00431064"/>
    <w:rsid w:val="004316A1"/>
    <w:rsid w:val="00431724"/>
    <w:rsid w:val="0043373E"/>
    <w:rsid w:val="004337F9"/>
    <w:rsid w:val="00433B2A"/>
    <w:rsid w:val="004350E0"/>
    <w:rsid w:val="004356FB"/>
    <w:rsid w:val="00435F90"/>
    <w:rsid w:val="004367B1"/>
    <w:rsid w:val="00436867"/>
    <w:rsid w:val="004372B3"/>
    <w:rsid w:val="00437FA0"/>
    <w:rsid w:val="00440A44"/>
    <w:rsid w:val="00440F2B"/>
    <w:rsid w:val="00441585"/>
    <w:rsid w:val="00442E89"/>
    <w:rsid w:val="00442F33"/>
    <w:rsid w:val="00443DE9"/>
    <w:rsid w:val="0044407E"/>
    <w:rsid w:val="004441D9"/>
    <w:rsid w:val="004442DE"/>
    <w:rsid w:val="00444D6D"/>
    <w:rsid w:val="0044611E"/>
    <w:rsid w:val="004464C9"/>
    <w:rsid w:val="00446511"/>
    <w:rsid w:val="00446C19"/>
    <w:rsid w:val="00447C80"/>
    <w:rsid w:val="00451049"/>
    <w:rsid w:val="004512A9"/>
    <w:rsid w:val="004519FE"/>
    <w:rsid w:val="00451A9E"/>
    <w:rsid w:val="00451ADE"/>
    <w:rsid w:val="004522E8"/>
    <w:rsid w:val="0045261A"/>
    <w:rsid w:val="004527F0"/>
    <w:rsid w:val="004527F5"/>
    <w:rsid w:val="00452EF0"/>
    <w:rsid w:val="00453FAB"/>
    <w:rsid w:val="00454012"/>
    <w:rsid w:val="00454693"/>
    <w:rsid w:val="004551EC"/>
    <w:rsid w:val="0045557C"/>
    <w:rsid w:val="00456BFE"/>
    <w:rsid w:val="00456C31"/>
    <w:rsid w:val="00456CF1"/>
    <w:rsid w:val="00457AC1"/>
    <w:rsid w:val="00457C3B"/>
    <w:rsid w:val="00460437"/>
    <w:rsid w:val="00460B10"/>
    <w:rsid w:val="00460BA3"/>
    <w:rsid w:val="00460C29"/>
    <w:rsid w:val="00460CBC"/>
    <w:rsid w:val="0046122B"/>
    <w:rsid w:val="00461666"/>
    <w:rsid w:val="004619B1"/>
    <w:rsid w:val="00461ADE"/>
    <w:rsid w:val="00462560"/>
    <w:rsid w:val="00462659"/>
    <w:rsid w:val="00463D81"/>
    <w:rsid w:val="00463EB7"/>
    <w:rsid w:val="004645A5"/>
    <w:rsid w:val="00464DCD"/>
    <w:rsid w:val="00465F4A"/>
    <w:rsid w:val="00467B34"/>
    <w:rsid w:val="0047003A"/>
    <w:rsid w:val="00470B49"/>
    <w:rsid w:val="00470D20"/>
    <w:rsid w:val="00470DBC"/>
    <w:rsid w:val="004714EC"/>
    <w:rsid w:val="004715CE"/>
    <w:rsid w:val="0047262C"/>
    <w:rsid w:val="004732D6"/>
    <w:rsid w:val="0047361F"/>
    <w:rsid w:val="004746E1"/>
    <w:rsid w:val="00475147"/>
    <w:rsid w:val="004753B0"/>
    <w:rsid w:val="00475D84"/>
    <w:rsid w:val="00476872"/>
    <w:rsid w:val="00476FC1"/>
    <w:rsid w:val="0047710A"/>
    <w:rsid w:val="004775FD"/>
    <w:rsid w:val="00477720"/>
    <w:rsid w:val="00477927"/>
    <w:rsid w:val="004805F0"/>
    <w:rsid w:val="00480C8C"/>
    <w:rsid w:val="00481C7B"/>
    <w:rsid w:val="0048254F"/>
    <w:rsid w:val="00482950"/>
    <w:rsid w:val="00482BB7"/>
    <w:rsid w:val="00483731"/>
    <w:rsid w:val="00483E74"/>
    <w:rsid w:val="0048443A"/>
    <w:rsid w:val="00484445"/>
    <w:rsid w:val="004849AF"/>
    <w:rsid w:val="00484A4B"/>
    <w:rsid w:val="00484AA2"/>
    <w:rsid w:val="00484DA1"/>
    <w:rsid w:val="0048532C"/>
    <w:rsid w:val="00485862"/>
    <w:rsid w:val="004867CB"/>
    <w:rsid w:val="00486B68"/>
    <w:rsid w:val="0048747E"/>
    <w:rsid w:val="00487557"/>
    <w:rsid w:val="004875B5"/>
    <w:rsid w:val="00487845"/>
    <w:rsid w:val="004878D2"/>
    <w:rsid w:val="00487911"/>
    <w:rsid w:val="00487A77"/>
    <w:rsid w:val="004903F0"/>
    <w:rsid w:val="00490D87"/>
    <w:rsid w:val="00491800"/>
    <w:rsid w:val="00491814"/>
    <w:rsid w:val="004919A4"/>
    <w:rsid w:val="00491D73"/>
    <w:rsid w:val="00492388"/>
    <w:rsid w:val="00492F0B"/>
    <w:rsid w:val="004935E7"/>
    <w:rsid w:val="00493C0E"/>
    <w:rsid w:val="00493FEE"/>
    <w:rsid w:val="004941BE"/>
    <w:rsid w:val="0049423A"/>
    <w:rsid w:val="00494AFA"/>
    <w:rsid w:val="00494B75"/>
    <w:rsid w:val="00495C53"/>
    <w:rsid w:val="00495EF5"/>
    <w:rsid w:val="004963D5"/>
    <w:rsid w:val="0049644C"/>
    <w:rsid w:val="00496BB3"/>
    <w:rsid w:val="0049716A"/>
    <w:rsid w:val="0049768D"/>
    <w:rsid w:val="0049773C"/>
    <w:rsid w:val="00497EB0"/>
    <w:rsid w:val="004A0E1C"/>
    <w:rsid w:val="004A1013"/>
    <w:rsid w:val="004A16D2"/>
    <w:rsid w:val="004A1CA0"/>
    <w:rsid w:val="004A2196"/>
    <w:rsid w:val="004A223A"/>
    <w:rsid w:val="004A2563"/>
    <w:rsid w:val="004A297F"/>
    <w:rsid w:val="004A29E4"/>
    <w:rsid w:val="004A3459"/>
    <w:rsid w:val="004A3A45"/>
    <w:rsid w:val="004A4720"/>
    <w:rsid w:val="004A51CC"/>
    <w:rsid w:val="004A5209"/>
    <w:rsid w:val="004A551F"/>
    <w:rsid w:val="004A5BDF"/>
    <w:rsid w:val="004A65E9"/>
    <w:rsid w:val="004A6E4E"/>
    <w:rsid w:val="004A72D3"/>
    <w:rsid w:val="004A7BD9"/>
    <w:rsid w:val="004B0B04"/>
    <w:rsid w:val="004B0FA8"/>
    <w:rsid w:val="004B1749"/>
    <w:rsid w:val="004B17FD"/>
    <w:rsid w:val="004B2986"/>
    <w:rsid w:val="004B3575"/>
    <w:rsid w:val="004B3F6C"/>
    <w:rsid w:val="004B4678"/>
    <w:rsid w:val="004B4F54"/>
    <w:rsid w:val="004B57C7"/>
    <w:rsid w:val="004B5AB7"/>
    <w:rsid w:val="004B5B13"/>
    <w:rsid w:val="004B5C69"/>
    <w:rsid w:val="004B5CA2"/>
    <w:rsid w:val="004B6079"/>
    <w:rsid w:val="004B67B3"/>
    <w:rsid w:val="004B7919"/>
    <w:rsid w:val="004B7947"/>
    <w:rsid w:val="004B7B8F"/>
    <w:rsid w:val="004B7D5F"/>
    <w:rsid w:val="004C0123"/>
    <w:rsid w:val="004C0124"/>
    <w:rsid w:val="004C016D"/>
    <w:rsid w:val="004C0488"/>
    <w:rsid w:val="004C0497"/>
    <w:rsid w:val="004C32C2"/>
    <w:rsid w:val="004C3840"/>
    <w:rsid w:val="004C3ECD"/>
    <w:rsid w:val="004C450D"/>
    <w:rsid w:val="004C47BE"/>
    <w:rsid w:val="004C4A4C"/>
    <w:rsid w:val="004C4AAC"/>
    <w:rsid w:val="004C52A9"/>
    <w:rsid w:val="004C5896"/>
    <w:rsid w:val="004C5E30"/>
    <w:rsid w:val="004C70F6"/>
    <w:rsid w:val="004C7F6A"/>
    <w:rsid w:val="004D0161"/>
    <w:rsid w:val="004D0349"/>
    <w:rsid w:val="004D0464"/>
    <w:rsid w:val="004D0EBF"/>
    <w:rsid w:val="004D2025"/>
    <w:rsid w:val="004D3BDC"/>
    <w:rsid w:val="004D3CCC"/>
    <w:rsid w:val="004D43FD"/>
    <w:rsid w:val="004D55FF"/>
    <w:rsid w:val="004E100D"/>
    <w:rsid w:val="004E1500"/>
    <w:rsid w:val="004E1672"/>
    <w:rsid w:val="004E208F"/>
    <w:rsid w:val="004E233C"/>
    <w:rsid w:val="004E2751"/>
    <w:rsid w:val="004E31E5"/>
    <w:rsid w:val="004E3E32"/>
    <w:rsid w:val="004E3E8A"/>
    <w:rsid w:val="004E41EA"/>
    <w:rsid w:val="004E4382"/>
    <w:rsid w:val="004E654A"/>
    <w:rsid w:val="004E6AC0"/>
    <w:rsid w:val="004E6CCB"/>
    <w:rsid w:val="004E72DD"/>
    <w:rsid w:val="004F00E9"/>
    <w:rsid w:val="004F0248"/>
    <w:rsid w:val="004F0342"/>
    <w:rsid w:val="004F0969"/>
    <w:rsid w:val="004F15C7"/>
    <w:rsid w:val="004F1645"/>
    <w:rsid w:val="004F1CB3"/>
    <w:rsid w:val="004F1FC6"/>
    <w:rsid w:val="004F221F"/>
    <w:rsid w:val="004F24DF"/>
    <w:rsid w:val="004F24FF"/>
    <w:rsid w:val="004F278D"/>
    <w:rsid w:val="004F3191"/>
    <w:rsid w:val="004F322B"/>
    <w:rsid w:val="004F3611"/>
    <w:rsid w:val="004F4710"/>
    <w:rsid w:val="004F4D28"/>
    <w:rsid w:val="004F67FC"/>
    <w:rsid w:val="004F7005"/>
    <w:rsid w:val="004F730D"/>
    <w:rsid w:val="004F7451"/>
    <w:rsid w:val="0050021B"/>
    <w:rsid w:val="0050094A"/>
    <w:rsid w:val="00500EEA"/>
    <w:rsid w:val="00501032"/>
    <w:rsid w:val="005013CB"/>
    <w:rsid w:val="00501AF4"/>
    <w:rsid w:val="005020D2"/>
    <w:rsid w:val="00502485"/>
    <w:rsid w:val="005026E0"/>
    <w:rsid w:val="00503150"/>
    <w:rsid w:val="00503285"/>
    <w:rsid w:val="00503466"/>
    <w:rsid w:val="005034CE"/>
    <w:rsid w:val="00503783"/>
    <w:rsid w:val="005037C7"/>
    <w:rsid w:val="005038E3"/>
    <w:rsid w:val="00503AC7"/>
    <w:rsid w:val="00504171"/>
    <w:rsid w:val="005041D2"/>
    <w:rsid w:val="00505311"/>
    <w:rsid w:val="005053DF"/>
    <w:rsid w:val="00505822"/>
    <w:rsid w:val="0050636D"/>
    <w:rsid w:val="005063A5"/>
    <w:rsid w:val="00506C92"/>
    <w:rsid w:val="00506DB9"/>
    <w:rsid w:val="00507300"/>
    <w:rsid w:val="00507556"/>
    <w:rsid w:val="00507685"/>
    <w:rsid w:val="00507821"/>
    <w:rsid w:val="00507B03"/>
    <w:rsid w:val="00510C75"/>
    <w:rsid w:val="00510D5A"/>
    <w:rsid w:val="0051172F"/>
    <w:rsid w:val="005123BE"/>
    <w:rsid w:val="005133F0"/>
    <w:rsid w:val="00513EC8"/>
    <w:rsid w:val="005144BA"/>
    <w:rsid w:val="00514743"/>
    <w:rsid w:val="00514830"/>
    <w:rsid w:val="00514BB9"/>
    <w:rsid w:val="00515362"/>
    <w:rsid w:val="0051551C"/>
    <w:rsid w:val="005155A3"/>
    <w:rsid w:val="005161F6"/>
    <w:rsid w:val="00516574"/>
    <w:rsid w:val="00517034"/>
    <w:rsid w:val="00517396"/>
    <w:rsid w:val="005175C3"/>
    <w:rsid w:val="00517AB0"/>
    <w:rsid w:val="0052009D"/>
    <w:rsid w:val="00520328"/>
    <w:rsid w:val="00520352"/>
    <w:rsid w:val="00520DAC"/>
    <w:rsid w:val="00521028"/>
    <w:rsid w:val="00521392"/>
    <w:rsid w:val="005213C6"/>
    <w:rsid w:val="005214BC"/>
    <w:rsid w:val="005215D9"/>
    <w:rsid w:val="0052180C"/>
    <w:rsid w:val="005218C5"/>
    <w:rsid w:val="005218F4"/>
    <w:rsid w:val="005219E7"/>
    <w:rsid w:val="005222D6"/>
    <w:rsid w:val="0052334D"/>
    <w:rsid w:val="00523D83"/>
    <w:rsid w:val="00524578"/>
    <w:rsid w:val="00524666"/>
    <w:rsid w:val="0052491E"/>
    <w:rsid w:val="0052675A"/>
    <w:rsid w:val="0052678B"/>
    <w:rsid w:val="005267EC"/>
    <w:rsid w:val="00526C70"/>
    <w:rsid w:val="00526DCD"/>
    <w:rsid w:val="00526EC9"/>
    <w:rsid w:val="00527649"/>
    <w:rsid w:val="00530302"/>
    <w:rsid w:val="0053056D"/>
    <w:rsid w:val="005306B7"/>
    <w:rsid w:val="00530ED6"/>
    <w:rsid w:val="00531185"/>
    <w:rsid w:val="0053128A"/>
    <w:rsid w:val="00531582"/>
    <w:rsid w:val="0053290C"/>
    <w:rsid w:val="005338B0"/>
    <w:rsid w:val="00533C44"/>
    <w:rsid w:val="005349BE"/>
    <w:rsid w:val="00534EDB"/>
    <w:rsid w:val="005357E3"/>
    <w:rsid w:val="00536315"/>
    <w:rsid w:val="005370C6"/>
    <w:rsid w:val="005375D8"/>
    <w:rsid w:val="00537A53"/>
    <w:rsid w:val="00540858"/>
    <w:rsid w:val="005408AA"/>
    <w:rsid w:val="00540CE5"/>
    <w:rsid w:val="005416E5"/>
    <w:rsid w:val="005417EF"/>
    <w:rsid w:val="00542E12"/>
    <w:rsid w:val="00543221"/>
    <w:rsid w:val="0054372F"/>
    <w:rsid w:val="00543AC4"/>
    <w:rsid w:val="005455D0"/>
    <w:rsid w:val="00545CF9"/>
    <w:rsid w:val="00545DCE"/>
    <w:rsid w:val="00545F23"/>
    <w:rsid w:val="00546D29"/>
    <w:rsid w:val="0054717D"/>
    <w:rsid w:val="005475FC"/>
    <w:rsid w:val="00547B30"/>
    <w:rsid w:val="00547D4E"/>
    <w:rsid w:val="00550CDF"/>
    <w:rsid w:val="005523F1"/>
    <w:rsid w:val="005542EB"/>
    <w:rsid w:val="00555518"/>
    <w:rsid w:val="0055576F"/>
    <w:rsid w:val="00555A2B"/>
    <w:rsid w:val="00555DB2"/>
    <w:rsid w:val="00555F1E"/>
    <w:rsid w:val="005564A5"/>
    <w:rsid w:val="00556965"/>
    <w:rsid w:val="005572D7"/>
    <w:rsid w:val="00557969"/>
    <w:rsid w:val="00562271"/>
    <w:rsid w:val="00562A2B"/>
    <w:rsid w:val="0056438C"/>
    <w:rsid w:val="0056456F"/>
    <w:rsid w:val="00564F5A"/>
    <w:rsid w:val="00564F90"/>
    <w:rsid w:val="00565499"/>
    <w:rsid w:val="005655C5"/>
    <w:rsid w:val="00566A64"/>
    <w:rsid w:val="005708D9"/>
    <w:rsid w:val="005715DF"/>
    <w:rsid w:val="0057183C"/>
    <w:rsid w:val="00572861"/>
    <w:rsid w:val="0057287D"/>
    <w:rsid w:val="00573678"/>
    <w:rsid w:val="00573A37"/>
    <w:rsid w:val="00573AB9"/>
    <w:rsid w:val="00573C62"/>
    <w:rsid w:val="0057405D"/>
    <w:rsid w:val="0057537F"/>
    <w:rsid w:val="0057555D"/>
    <w:rsid w:val="005757B1"/>
    <w:rsid w:val="005776D9"/>
    <w:rsid w:val="0057793E"/>
    <w:rsid w:val="00577B0B"/>
    <w:rsid w:val="00577F27"/>
    <w:rsid w:val="00580FB4"/>
    <w:rsid w:val="00581FEA"/>
    <w:rsid w:val="00582C92"/>
    <w:rsid w:val="00582E80"/>
    <w:rsid w:val="005833D3"/>
    <w:rsid w:val="005838AE"/>
    <w:rsid w:val="00583C44"/>
    <w:rsid w:val="005842F8"/>
    <w:rsid w:val="00584390"/>
    <w:rsid w:val="005844DC"/>
    <w:rsid w:val="00584F6E"/>
    <w:rsid w:val="0058528D"/>
    <w:rsid w:val="00585482"/>
    <w:rsid w:val="00585903"/>
    <w:rsid w:val="00585D11"/>
    <w:rsid w:val="00585E06"/>
    <w:rsid w:val="00587383"/>
    <w:rsid w:val="00587E4A"/>
    <w:rsid w:val="00590CC1"/>
    <w:rsid w:val="005913FD"/>
    <w:rsid w:val="00591983"/>
    <w:rsid w:val="005919D1"/>
    <w:rsid w:val="00591BF4"/>
    <w:rsid w:val="00591E93"/>
    <w:rsid w:val="005925FE"/>
    <w:rsid w:val="00592C42"/>
    <w:rsid w:val="0059313F"/>
    <w:rsid w:val="0059362E"/>
    <w:rsid w:val="00593A82"/>
    <w:rsid w:val="00593A95"/>
    <w:rsid w:val="00596237"/>
    <w:rsid w:val="0059649E"/>
    <w:rsid w:val="005965FB"/>
    <w:rsid w:val="005977D9"/>
    <w:rsid w:val="00597A99"/>
    <w:rsid w:val="00597B97"/>
    <w:rsid w:val="005A079A"/>
    <w:rsid w:val="005A0D6B"/>
    <w:rsid w:val="005A114B"/>
    <w:rsid w:val="005A1178"/>
    <w:rsid w:val="005A1424"/>
    <w:rsid w:val="005A24F4"/>
    <w:rsid w:val="005A2DB8"/>
    <w:rsid w:val="005A3015"/>
    <w:rsid w:val="005A3561"/>
    <w:rsid w:val="005A4B43"/>
    <w:rsid w:val="005A5937"/>
    <w:rsid w:val="005A605B"/>
    <w:rsid w:val="005A634F"/>
    <w:rsid w:val="005A73AE"/>
    <w:rsid w:val="005A7E23"/>
    <w:rsid w:val="005B05F5"/>
    <w:rsid w:val="005B0CD4"/>
    <w:rsid w:val="005B1352"/>
    <w:rsid w:val="005B197D"/>
    <w:rsid w:val="005B3C09"/>
    <w:rsid w:val="005B3F6D"/>
    <w:rsid w:val="005B42AB"/>
    <w:rsid w:val="005B5D19"/>
    <w:rsid w:val="005B5DBB"/>
    <w:rsid w:val="005B5DE4"/>
    <w:rsid w:val="005B61F2"/>
    <w:rsid w:val="005B66D2"/>
    <w:rsid w:val="005B6B58"/>
    <w:rsid w:val="005B6E72"/>
    <w:rsid w:val="005B6EA6"/>
    <w:rsid w:val="005B7BD0"/>
    <w:rsid w:val="005C0413"/>
    <w:rsid w:val="005C0620"/>
    <w:rsid w:val="005C078C"/>
    <w:rsid w:val="005C082C"/>
    <w:rsid w:val="005C088A"/>
    <w:rsid w:val="005C0BDD"/>
    <w:rsid w:val="005C18C2"/>
    <w:rsid w:val="005C19F2"/>
    <w:rsid w:val="005C1A33"/>
    <w:rsid w:val="005C1BDE"/>
    <w:rsid w:val="005C23AA"/>
    <w:rsid w:val="005C484A"/>
    <w:rsid w:val="005C505B"/>
    <w:rsid w:val="005C53B1"/>
    <w:rsid w:val="005C567F"/>
    <w:rsid w:val="005C6532"/>
    <w:rsid w:val="005C6E6C"/>
    <w:rsid w:val="005C75D7"/>
    <w:rsid w:val="005D0042"/>
    <w:rsid w:val="005D04EC"/>
    <w:rsid w:val="005D0A63"/>
    <w:rsid w:val="005D0B66"/>
    <w:rsid w:val="005D10E1"/>
    <w:rsid w:val="005D1AB8"/>
    <w:rsid w:val="005D2C11"/>
    <w:rsid w:val="005D2EC0"/>
    <w:rsid w:val="005D3194"/>
    <w:rsid w:val="005D3705"/>
    <w:rsid w:val="005D4D4E"/>
    <w:rsid w:val="005D5D98"/>
    <w:rsid w:val="005D64C0"/>
    <w:rsid w:val="005D7126"/>
    <w:rsid w:val="005D7894"/>
    <w:rsid w:val="005D7B1E"/>
    <w:rsid w:val="005D7B9D"/>
    <w:rsid w:val="005E012F"/>
    <w:rsid w:val="005E091C"/>
    <w:rsid w:val="005E0AAC"/>
    <w:rsid w:val="005E1F6B"/>
    <w:rsid w:val="005E2108"/>
    <w:rsid w:val="005E3350"/>
    <w:rsid w:val="005E455F"/>
    <w:rsid w:val="005E4748"/>
    <w:rsid w:val="005E549D"/>
    <w:rsid w:val="005E58C2"/>
    <w:rsid w:val="005E5AD7"/>
    <w:rsid w:val="005E5E13"/>
    <w:rsid w:val="005E757A"/>
    <w:rsid w:val="005E75F8"/>
    <w:rsid w:val="005E7E59"/>
    <w:rsid w:val="005F2D59"/>
    <w:rsid w:val="005F2EA2"/>
    <w:rsid w:val="005F34EE"/>
    <w:rsid w:val="005F3EF4"/>
    <w:rsid w:val="005F4123"/>
    <w:rsid w:val="005F42B3"/>
    <w:rsid w:val="005F4B0C"/>
    <w:rsid w:val="005F5CCA"/>
    <w:rsid w:val="005F5DEB"/>
    <w:rsid w:val="005F6B48"/>
    <w:rsid w:val="005F6D73"/>
    <w:rsid w:val="005F709D"/>
    <w:rsid w:val="005F7F20"/>
    <w:rsid w:val="00600FEA"/>
    <w:rsid w:val="00601C7C"/>
    <w:rsid w:val="006024DF"/>
    <w:rsid w:val="00602915"/>
    <w:rsid w:val="00603458"/>
    <w:rsid w:val="0060399C"/>
    <w:rsid w:val="00603D49"/>
    <w:rsid w:val="00604070"/>
    <w:rsid w:val="00604D8D"/>
    <w:rsid w:val="0060606B"/>
    <w:rsid w:val="00606A95"/>
    <w:rsid w:val="00606CAE"/>
    <w:rsid w:val="00607500"/>
    <w:rsid w:val="006077B8"/>
    <w:rsid w:val="006102B5"/>
    <w:rsid w:val="00610EA1"/>
    <w:rsid w:val="00611E63"/>
    <w:rsid w:val="00612110"/>
    <w:rsid w:val="006126AC"/>
    <w:rsid w:val="00612879"/>
    <w:rsid w:val="00613B01"/>
    <w:rsid w:val="00613BAA"/>
    <w:rsid w:val="00613BBA"/>
    <w:rsid w:val="00613BF4"/>
    <w:rsid w:val="00613E87"/>
    <w:rsid w:val="00614BA3"/>
    <w:rsid w:val="00614CCF"/>
    <w:rsid w:val="00615012"/>
    <w:rsid w:val="006156A7"/>
    <w:rsid w:val="006168F8"/>
    <w:rsid w:val="00616FBA"/>
    <w:rsid w:val="0061767E"/>
    <w:rsid w:val="00617BFB"/>
    <w:rsid w:val="00620997"/>
    <w:rsid w:val="00620AA5"/>
    <w:rsid w:val="0062144B"/>
    <w:rsid w:val="00621F96"/>
    <w:rsid w:val="00621FF3"/>
    <w:rsid w:val="0062225A"/>
    <w:rsid w:val="00622BEC"/>
    <w:rsid w:val="00622C2F"/>
    <w:rsid w:val="0062302B"/>
    <w:rsid w:val="006238BD"/>
    <w:rsid w:val="00623BA9"/>
    <w:rsid w:val="0062423E"/>
    <w:rsid w:val="00624D28"/>
    <w:rsid w:val="00624E8F"/>
    <w:rsid w:val="0062517B"/>
    <w:rsid w:val="00625F26"/>
    <w:rsid w:val="0062608C"/>
    <w:rsid w:val="006271EC"/>
    <w:rsid w:val="00627DA5"/>
    <w:rsid w:val="00630005"/>
    <w:rsid w:val="00630119"/>
    <w:rsid w:val="00630186"/>
    <w:rsid w:val="006315DA"/>
    <w:rsid w:val="00632E96"/>
    <w:rsid w:val="00632E97"/>
    <w:rsid w:val="0063378F"/>
    <w:rsid w:val="00633DAA"/>
    <w:rsid w:val="00633F81"/>
    <w:rsid w:val="00633FC6"/>
    <w:rsid w:val="006343E2"/>
    <w:rsid w:val="00635392"/>
    <w:rsid w:val="00636678"/>
    <w:rsid w:val="0063682A"/>
    <w:rsid w:val="006371F1"/>
    <w:rsid w:val="00637381"/>
    <w:rsid w:val="00637D7C"/>
    <w:rsid w:val="006406E2"/>
    <w:rsid w:val="006414D6"/>
    <w:rsid w:val="006422FE"/>
    <w:rsid w:val="006425AA"/>
    <w:rsid w:val="00642796"/>
    <w:rsid w:val="0064283F"/>
    <w:rsid w:val="00642DC3"/>
    <w:rsid w:val="00643579"/>
    <w:rsid w:val="00644996"/>
    <w:rsid w:val="00645258"/>
    <w:rsid w:val="006454FB"/>
    <w:rsid w:val="00645BFE"/>
    <w:rsid w:val="00646778"/>
    <w:rsid w:val="00647446"/>
    <w:rsid w:val="006475FE"/>
    <w:rsid w:val="006500F3"/>
    <w:rsid w:val="00650F4A"/>
    <w:rsid w:val="00651F7C"/>
    <w:rsid w:val="0065212E"/>
    <w:rsid w:val="006532F4"/>
    <w:rsid w:val="00653649"/>
    <w:rsid w:val="00653ADC"/>
    <w:rsid w:val="006547D4"/>
    <w:rsid w:val="00654ABA"/>
    <w:rsid w:val="00654D83"/>
    <w:rsid w:val="00656178"/>
    <w:rsid w:val="00657171"/>
    <w:rsid w:val="00657204"/>
    <w:rsid w:val="00657226"/>
    <w:rsid w:val="00660D57"/>
    <w:rsid w:val="0066148C"/>
    <w:rsid w:val="006622D8"/>
    <w:rsid w:val="00662C3E"/>
    <w:rsid w:val="00662EA5"/>
    <w:rsid w:val="00662F8D"/>
    <w:rsid w:val="00662FC4"/>
    <w:rsid w:val="00663225"/>
    <w:rsid w:val="006633D3"/>
    <w:rsid w:val="00663493"/>
    <w:rsid w:val="00663D62"/>
    <w:rsid w:val="0066426A"/>
    <w:rsid w:val="006645F9"/>
    <w:rsid w:val="00665648"/>
    <w:rsid w:val="00666358"/>
    <w:rsid w:val="00666799"/>
    <w:rsid w:val="00667771"/>
    <w:rsid w:val="0067025A"/>
    <w:rsid w:val="006705CF"/>
    <w:rsid w:val="006706DB"/>
    <w:rsid w:val="006709D1"/>
    <w:rsid w:val="00670A9F"/>
    <w:rsid w:val="00671782"/>
    <w:rsid w:val="0067225E"/>
    <w:rsid w:val="0067228A"/>
    <w:rsid w:val="00672B55"/>
    <w:rsid w:val="00673A45"/>
    <w:rsid w:val="00673B9D"/>
    <w:rsid w:val="006758CE"/>
    <w:rsid w:val="00675C2B"/>
    <w:rsid w:val="006763E7"/>
    <w:rsid w:val="00676A9D"/>
    <w:rsid w:val="00676CF9"/>
    <w:rsid w:val="00677397"/>
    <w:rsid w:val="00677AE7"/>
    <w:rsid w:val="00682BD3"/>
    <w:rsid w:val="006835F6"/>
    <w:rsid w:val="00684AE6"/>
    <w:rsid w:val="00684D7F"/>
    <w:rsid w:val="00684FEE"/>
    <w:rsid w:val="00685005"/>
    <w:rsid w:val="0068587E"/>
    <w:rsid w:val="00685CDB"/>
    <w:rsid w:val="00685D00"/>
    <w:rsid w:val="00686A8C"/>
    <w:rsid w:val="00687302"/>
    <w:rsid w:val="006873A3"/>
    <w:rsid w:val="0068752E"/>
    <w:rsid w:val="00687D24"/>
    <w:rsid w:val="00687FD8"/>
    <w:rsid w:val="00690262"/>
    <w:rsid w:val="0069037D"/>
    <w:rsid w:val="00690408"/>
    <w:rsid w:val="00690A50"/>
    <w:rsid w:val="00690AE5"/>
    <w:rsid w:val="00690C54"/>
    <w:rsid w:val="00691078"/>
    <w:rsid w:val="0069151A"/>
    <w:rsid w:val="0069152A"/>
    <w:rsid w:val="00691D09"/>
    <w:rsid w:val="00692133"/>
    <w:rsid w:val="00692B1E"/>
    <w:rsid w:val="0069302A"/>
    <w:rsid w:val="00693856"/>
    <w:rsid w:val="006945EA"/>
    <w:rsid w:val="006946BB"/>
    <w:rsid w:val="00695D04"/>
    <w:rsid w:val="00695F16"/>
    <w:rsid w:val="00695F54"/>
    <w:rsid w:val="00696046"/>
    <w:rsid w:val="006965AD"/>
    <w:rsid w:val="006A0C46"/>
    <w:rsid w:val="006A0F4C"/>
    <w:rsid w:val="006A1729"/>
    <w:rsid w:val="006A2442"/>
    <w:rsid w:val="006A2679"/>
    <w:rsid w:val="006A31F2"/>
    <w:rsid w:val="006A37E6"/>
    <w:rsid w:val="006A3FE6"/>
    <w:rsid w:val="006A47B7"/>
    <w:rsid w:val="006A4938"/>
    <w:rsid w:val="006A4FA3"/>
    <w:rsid w:val="006A6228"/>
    <w:rsid w:val="006A63A0"/>
    <w:rsid w:val="006A6574"/>
    <w:rsid w:val="006A6CBF"/>
    <w:rsid w:val="006A707D"/>
    <w:rsid w:val="006A7F36"/>
    <w:rsid w:val="006B002E"/>
    <w:rsid w:val="006B0994"/>
    <w:rsid w:val="006B0AFC"/>
    <w:rsid w:val="006B10D7"/>
    <w:rsid w:val="006B425F"/>
    <w:rsid w:val="006B43BB"/>
    <w:rsid w:val="006B51D0"/>
    <w:rsid w:val="006B526D"/>
    <w:rsid w:val="006B5C4D"/>
    <w:rsid w:val="006B6275"/>
    <w:rsid w:val="006B67F6"/>
    <w:rsid w:val="006B7E90"/>
    <w:rsid w:val="006B7F27"/>
    <w:rsid w:val="006C10EF"/>
    <w:rsid w:val="006C1DDD"/>
    <w:rsid w:val="006C207F"/>
    <w:rsid w:val="006C2F11"/>
    <w:rsid w:val="006C4440"/>
    <w:rsid w:val="006C4620"/>
    <w:rsid w:val="006C4CE7"/>
    <w:rsid w:val="006C4D47"/>
    <w:rsid w:val="006C5042"/>
    <w:rsid w:val="006C525C"/>
    <w:rsid w:val="006C64EB"/>
    <w:rsid w:val="006C78BA"/>
    <w:rsid w:val="006D04B1"/>
    <w:rsid w:val="006D063A"/>
    <w:rsid w:val="006D09EF"/>
    <w:rsid w:val="006D4056"/>
    <w:rsid w:val="006D4A4D"/>
    <w:rsid w:val="006D4AD1"/>
    <w:rsid w:val="006D4E4A"/>
    <w:rsid w:val="006D5003"/>
    <w:rsid w:val="006D544A"/>
    <w:rsid w:val="006D65D1"/>
    <w:rsid w:val="006D6828"/>
    <w:rsid w:val="006D6CEC"/>
    <w:rsid w:val="006D6EF2"/>
    <w:rsid w:val="006D6F76"/>
    <w:rsid w:val="006D7A1D"/>
    <w:rsid w:val="006D7C0A"/>
    <w:rsid w:val="006D7E5F"/>
    <w:rsid w:val="006D7E87"/>
    <w:rsid w:val="006E0F6A"/>
    <w:rsid w:val="006E13B7"/>
    <w:rsid w:val="006E1614"/>
    <w:rsid w:val="006E2826"/>
    <w:rsid w:val="006E2A80"/>
    <w:rsid w:val="006E2A88"/>
    <w:rsid w:val="006E38E2"/>
    <w:rsid w:val="006E598C"/>
    <w:rsid w:val="006E5F45"/>
    <w:rsid w:val="006E600A"/>
    <w:rsid w:val="006E67FD"/>
    <w:rsid w:val="006E7AD9"/>
    <w:rsid w:val="006E7BC4"/>
    <w:rsid w:val="006F0096"/>
    <w:rsid w:val="006F0ECB"/>
    <w:rsid w:val="006F167E"/>
    <w:rsid w:val="006F1D8B"/>
    <w:rsid w:val="006F2398"/>
    <w:rsid w:val="006F53AF"/>
    <w:rsid w:val="006F5E19"/>
    <w:rsid w:val="006F5F4F"/>
    <w:rsid w:val="006F5F51"/>
    <w:rsid w:val="006F61BE"/>
    <w:rsid w:val="006F703F"/>
    <w:rsid w:val="006F736B"/>
    <w:rsid w:val="00700940"/>
    <w:rsid w:val="00700AB0"/>
    <w:rsid w:val="00700C00"/>
    <w:rsid w:val="00701D08"/>
    <w:rsid w:val="00701F74"/>
    <w:rsid w:val="007024E4"/>
    <w:rsid w:val="00702821"/>
    <w:rsid w:val="00702AF4"/>
    <w:rsid w:val="00704840"/>
    <w:rsid w:val="00706164"/>
    <w:rsid w:val="0070622B"/>
    <w:rsid w:val="00706788"/>
    <w:rsid w:val="0070695F"/>
    <w:rsid w:val="007069EC"/>
    <w:rsid w:val="00706D35"/>
    <w:rsid w:val="00707AB1"/>
    <w:rsid w:val="00707C6C"/>
    <w:rsid w:val="00710539"/>
    <w:rsid w:val="00710840"/>
    <w:rsid w:val="007115ED"/>
    <w:rsid w:val="0071202F"/>
    <w:rsid w:val="0071273E"/>
    <w:rsid w:val="00712BBF"/>
    <w:rsid w:val="007132E8"/>
    <w:rsid w:val="00713C1A"/>
    <w:rsid w:val="007142EA"/>
    <w:rsid w:val="00714410"/>
    <w:rsid w:val="00715621"/>
    <w:rsid w:val="00716153"/>
    <w:rsid w:val="00716286"/>
    <w:rsid w:val="00716632"/>
    <w:rsid w:val="0071683B"/>
    <w:rsid w:val="00716DC5"/>
    <w:rsid w:val="0071735D"/>
    <w:rsid w:val="007174BB"/>
    <w:rsid w:val="00717B34"/>
    <w:rsid w:val="00717E97"/>
    <w:rsid w:val="00720284"/>
    <w:rsid w:val="00720330"/>
    <w:rsid w:val="00720C2D"/>
    <w:rsid w:val="00720CCB"/>
    <w:rsid w:val="00721AA2"/>
    <w:rsid w:val="00722423"/>
    <w:rsid w:val="00722C52"/>
    <w:rsid w:val="00722DA6"/>
    <w:rsid w:val="00723237"/>
    <w:rsid w:val="00723A3B"/>
    <w:rsid w:val="00723BA3"/>
    <w:rsid w:val="00724594"/>
    <w:rsid w:val="00724CD4"/>
    <w:rsid w:val="007255A2"/>
    <w:rsid w:val="00725635"/>
    <w:rsid w:val="00725645"/>
    <w:rsid w:val="007265CA"/>
    <w:rsid w:val="007270D5"/>
    <w:rsid w:val="00727A85"/>
    <w:rsid w:val="00731120"/>
    <w:rsid w:val="00731893"/>
    <w:rsid w:val="00731A90"/>
    <w:rsid w:val="00731ADD"/>
    <w:rsid w:val="00732824"/>
    <w:rsid w:val="0073368D"/>
    <w:rsid w:val="00734182"/>
    <w:rsid w:val="00735554"/>
    <w:rsid w:val="00735E12"/>
    <w:rsid w:val="0073642B"/>
    <w:rsid w:val="007401F5"/>
    <w:rsid w:val="00740B5A"/>
    <w:rsid w:val="00740FE9"/>
    <w:rsid w:val="00741629"/>
    <w:rsid w:val="00741952"/>
    <w:rsid w:val="007421F0"/>
    <w:rsid w:val="00743224"/>
    <w:rsid w:val="007434C9"/>
    <w:rsid w:val="00744C97"/>
    <w:rsid w:val="00745078"/>
    <w:rsid w:val="00745592"/>
    <w:rsid w:val="00745AD8"/>
    <w:rsid w:val="007466FB"/>
    <w:rsid w:val="00746C20"/>
    <w:rsid w:val="0074753D"/>
    <w:rsid w:val="007475CC"/>
    <w:rsid w:val="007478BF"/>
    <w:rsid w:val="00747D1D"/>
    <w:rsid w:val="00747D75"/>
    <w:rsid w:val="00750363"/>
    <w:rsid w:val="0075083D"/>
    <w:rsid w:val="00750A4D"/>
    <w:rsid w:val="00752867"/>
    <w:rsid w:val="00752A14"/>
    <w:rsid w:val="00752C75"/>
    <w:rsid w:val="00753033"/>
    <w:rsid w:val="007538EB"/>
    <w:rsid w:val="00754053"/>
    <w:rsid w:val="007541AC"/>
    <w:rsid w:val="00754CD5"/>
    <w:rsid w:val="00755881"/>
    <w:rsid w:val="00756B64"/>
    <w:rsid w:val="00757005"/>
    <w:rsid w:val="007570B1"/>
    <w:rsid w:val="00757654"/>
    <w:rsid w:val="00757D93"/>
    <w:rsid w:val="00757D9E"/>
    <w:rsid w:val="00760724"/>
    <w:rsid w:val="00761391"/>
    <w:rsid w:val="00761631"/>
    <w:rsid w:val="0076173A"/>
    <w:rsid w:val="00761A2B"/>
    <w:rsid w:val="00761D08"/>
    <w:rsid w:val="0076209F"/>
    <w:rsid w:val="00762867"/>
    <w:rsid w:val="00762D09"/>
    <w:rsid w:val="007631AD"/>
    <w:rsid w:val="007635C5"/>
    <w:rsid w:val="00763712"/>
    <w:rsid w:val="0076375B"/>
    <w:rsid w:val="0076384B"/>
    <w:rsid w:val="00763A3A"/>
    <w:rsid w:val="00763BC9"/>
    <w:rsid w:val="00763ED4"/>
    <w:rsid w:val="0076435B"/>
    <w:rsid w:val="00764422"/>
    <w:rsid w:val="00764BC1"/>
    <w:rsid w:val="00764C67"/>
    <w:rsid w:val="0076542E"/>
    <w:rsid w:val="007656D7"/>
    <w:rsid w:val="00765F09"/>
    <w:rsid w:val="007666D5"/>
    <w:rsid w:val="007667E6"/>
    <w:rsid w:val="0076765E"/>
    <w:rsid w:val="00767EA3"/>
    <w:rsid w:val="007705C9"/>
    <w:rsid w:val="0077106F"/>
    <w:rsid w:val="00771184"/>
    <w:rsid w:val="007713CE"/>
    <w:rsid w:val="0077156F"/>
    <w:rsid w:val="00771D3B"/>
    <w:rsid w:val="007720D9"/>
    <w:rsid w:val="00772881"/>
    <w:rsid w:val="00772CF4"/>
    <w:rsid w:val="00773482"/>
    <w:rsid w:val="00773619"/>
    <w:rsid w:val="0077364F"/>
    <w:rsid w:val="00773A66"/>
    <w:rsid w:val="00773BD4"/>
    <w:rsid w:val="007744E3"/>
    <w:rsid w:val="0077456E"/>
    <w:rsid w:val="00776A2C"/>
    <w:rsid w:val="0077721D"/>
    <w:rsid w:val="00777829"/>
    <w:rsid w:val="00780E33"/>
    <w:rsid w:val="00781274"/>
    <w:rsid w:val="00781523"/>
    <w:rsid w:val="00782576"/>
    <w:rsid w:val="00782844"/>
    <w:rsid w:val="00782FF7"/>
    <w:rsid w:val="007832F0"/>
    <w:rsid w:val="007837C7"/>
    <w:rsid w:val="00783F87"/>
    <w:rsid w:val="00784ACA"/>
    <w:rsid w:val="007852D3"/>
    <w:rsid w:val="0078530C"/>
    <w:rsid w:val="00785886"/>
    <w:rsid w:val="00785AAD"/>
    <w:rsid w:val="00785E2F"/>
    <w:rsid w:val="007871FF"/>
    <w:rsid w:val="00787BC8"/>
    <w:rsid w:val="00787EC5"/>
    <w:rsid w:val="0079142D"/>
    <w:rsid w:val="00791875"/>
    <w:rsid w:val="00791B25"/>
    <w:rsid w:val="007926D7"/>
    <w:rsid w:val="00792F2F"/>
    <w:rsid w:val="00793540"/>
    <w:rsid w:val="007937D6"/>
    <w:rsid w:val="00793E85"/>
    <w:rsid w:val="00794913"/>
    <w:rsid w:val="00795AD3"/>
    <w:rsid w:val="00795AFE"/>
    <w:rsid w:val="00797331"/>
    <w:rsid w:val="00797388"/>
    <w:rsid w:val="007A13AE"/>
    <w:rsid w:val="007A17E4"/>
    <w:rsid w:val="007A1EDC"/>
    <w:rsid w:val="007A208E"/>
    <w:rsid w:val="007A2F06"/>
    <w:rsid w:val="007A3ABA"/>
    <w:rsid w:val="007A3E6B"/>
    <w:rsid w:val="007A4CB1"/>
    <w:rsid w:val="007A5242"/>
    <w:rsid w:val="007A690D"/>
    <w:rsid w:val="007A7806"/>
    <w:rsid w:val="007A7B9D"/>
    <w:rsid w:val="007B13F9"/>
    <w:rsid w:val="007B1500"/>
    <w:rsid w:val="007B1DB5"/>
    <w:rsid w:val="007B234C"/>
    <w:rsid w:val="007B329C"/>
    <w:rsid w:val="007B3424"/>
    <w:rsid w:val="007B3A5D"/>
    <w:rsid w:val="007B3C3F"/>
    <w:rsid w:val="007B4004"/>
    <w:rsid w:val="007B475E"/>
    <w:rsid w:val="007B4A7B"/>
    <w:rsid w:val="007B4A8E"/>
    <w:rsid w:val="007B5361"/>
    <w:rsid w:val="007B5E2F"/>
    <w:rsid w:val="007B6733"/>
    <w:rsid w:val="007B698F"/>
    <w:rsid w:val="007B6BA8"/>
    <w:rsid w:val="007B6E0F"/>
    <w:rsid w:val="007B7425"/>
    <w:rsid w:val="007B7609"/>
    <w:rsid w:val="007B78BF"/>
    <w:rsid w:val="007B7A23"/>
    <w:rsid w:val="007C05FA"/>
    <w:rsid w:val="007C1803"/>
    <w:rsid w:val="007C1DC8"/>
    <w:rsid w:val="007C1E13"/>
    <w:rsid w:val="007C2A70"/>
    <w:rsid w:val="007C3B63"/>
    <w:rsid w:val="007C3E95"/>
    <w:rsid w:val="007C3EFD"/>
    <w:rsid w:val="007C41DF"/>
    <w:rsid w:val="007C4D59"/>
    <w:rsid w:val="007C50F1"/>
    <w:rsid w:val="007C56C5"/>
    <w:rsid w:val="007C58DF"/>
    <w:rsid w:val="007C5A03"/>
    <w:rsid w:val="007C5EE4"/>
    <w:rsid w:val="007C706A"/>
    <w:rsid w:val="007C78A5"/>
    <w:rsid w:val="007C7957"/>
    <w:rsid w:val="007C7A46"/>
    <w:rsid w:val="007C7F96"/>
    <w:rsid w:val="007D097D"/>
    <w:rsid w:val="007D09CB"/>
    <w:rsid w:val="007D0C1F"/>
    <w:rsid w:val="007D0D68"/>
    <w:rsid w:val="007D14E1"/>
    <w:rsid w:val="007D1B43"/>
    <w:rsid w:val="007D1D6A"/>
    <w:rsid w:val="007D2763"/>
    <w:rsid w:val="007D3A29"/>
    <w:rsid w:val="007D414E"/>
    <w:rsid w:val="007D469F"/>
    <w:rsid w:val="007D496B"/>
    <w:rsid w:val="007D4EB0"/>
    <w:rsid w:val="007D50A7"/>
    <w:rsid w:val="007D5B6B"/>
    <w:rsid w:val="007D625F"/>
    <w:rsid w:val="007D633C"/>
    <w:rsid w:val="007D7074"/>
    <w:rsid w:val="007D78E4"/>
    <w:rsid w:val="007D7B4B"/>
    <w:rsid w:val="007D7DA9"/>
    <w:rsid w:val="007E0025"/>
    <w:rsid w:val="007E0A20"/>
    <w:rsid w:val="007E1011"/>
    <w:rsid w:val="007E15F7"/>
    <w:rsid w:val="007E19B5"/>
    <w:rsid w:val="007E1D1F"/>
    <w:rsid w:val="007E2845"/>
    <w:rsid w:val="007E4869"/>
    <w:rsid w:val="007E5885"/>
    <w:rsid w:val="007E5BD6"/>
    <w:rsid w:val="007E5F3E"/>
    <w:rsid w:val="007E63A7"/>
    <w:rsid w:val="007E70C1"/>
    <w:rsid w:val="007E79A4"/>
    <w:rsid w:val="007F068E"/>
    <w:rsid w:val="007F069F"/>
    <w:rsid w:val="007F26E3"/>
    <w:rsid w:val="007F2946"/>
    <w:rsid w:val="007F40DE"/>
    <w:rsid w:val="007F5E7D"/>
    <w:rsid w:val="007F6400"/>
    <w:rsid w:val="007F649D"/>
    <w:rsid w:val="007F6908"/>
    <w:rsid w:val="007F69CA"/>
    <w:rsid w:val="007F6C4B"/>
    <w:rsid w:val="007F7633"/>
    <w:rsid w:val="00800D8F"/>
    <w:rsid w:val="00800F0C"/>
    <w:rsid w:val="00801025"/>
    <w:rsid w:val="008017DD"/>
    <w:rsid w:val="00801832"/>
    <w:rsid w:val="008025D5"/>
    <w:rsid w:val="00802873"/>
    <w:rsid w:val="008029BB"/>
    <w:rsid w:val="00802C4A"/>
    <w:rsid w:val="0080306A"/>
    <w:rsid w:val="008034F7"/>
    <w:rsid w:val="008049A3"/>
    <w:rsid w:val="00804A20"/>
    <w:rsid w:val="00804E42"/>
    <w:rsid w:val="008057F2"/>
    <w:rsid w:val="00806686"/>
    <w:rsid w:val="00810659"/>
    <w:rsid w:val="00810A86"/>
    <w:rsid w:val="0081107C"/>
    <w:rsid w:val="008114DE"/>
    <w:rsid w:val="00811FCF"/>
    <w:rsid w:val="00813484"/>
    <w:rsid w:val="00813D1C"/>
    <w:rsid w:val="00813DC7"/>
    <w:rsid w:val="0081421C"/>
    <w:rsid w:val="00814592"/>
    <w:rsid w:val="008147EF"/>
    <w:rsid w:val="008149FE"/>
    <w:rsid w:val="00814C62"/>
    <w:rsid w:val="00814E6A"/>
    <w:rsid w:val="00814F61"/>
    <w:rsid w:val="00814F6B"/>
    <w:rsid w:val="00815129"/>
    <w:rsid w:val="0081562D"/>
    <w:rsid w:val="008172D3"/>
    <w:rsid w:val="008175BB"/>
    <w:rsid w:val="00817670"/>
    <w:rsid w:val="00817F9A"/>
    <w:rsid w:val="00817FDD"/>
    <w:rsid w:val="008201B3"/>
    <w:rsid w:val="008201E2"/>
    <w:rsid w:val="0082053A"/>
    <w:rsid w:val="008209B7"/>
    <w:rsid w:val="00820D4A"/>
    <w:rsid w:val="00821104"/>
    <w:rsid w:val="008219E2"/>
    <w:rsid w:val="00821C6B"/>
    <w:rsid w:val="00821D0C"/>
    <w:rsid w:val="00822704"/>
    <w:rsid w:val="00822792"/>
    <w:rsid w:val="00822B62"/>
    <w:rsid w:val="00823696"/>
    <w:rsid w:val="00824261"/>
    <w:rsid w:val="00824384"/>
    <w:rsid w:val="0082439F"/>
    <w:rsid w:val="00824B17"/>
    <w:rsid w:val="00825892"/>
    <w:rsid w:val="00825B3D"/>
    <w:rsid w:val="00826311"/>
    <w:rsid w:val="008264BB"/>
    <w:rsid w:val="00826644"/>
    <w:rsid w:val="00826CD2"/>
    <w:rsid w:val="00826CEE"/>
    <w:rsid w:val="00826DB4"/>
    <w:rsid w:val="00830136"/>
    <w:rsid w:val="0083040C"/>
    <w:rsid w:val="0083054D"/>
    <w:rsid w:val="00831447"/>
    <w:rsid w:val="00831D82"/>
    <w:rsid w:val="00831E21"/>
    <w:rsid w:val="00832326"/>
    <w:rsid w:val="00832C6A"/>
    <w:rsid w:val="0083348F"/>
    <w:rsid w:val="00833C81"/>
    <w:rsid w:val="00833D96"/>
    <w:rsid w:val="00834414"/>
    <w:rsid w:val="00834FA2"/>
    <w:rsid w:val="00835E18"/>
    <w:rsid w:val="00836AE3"/>
    <w:rsid w:val="00836CD3"/>
    <w:rsid w:val="0084054C"/>
    <w:rsid w:val="00840603"/>
    <w:rsid w:val="00840D46"/>
    <w:rsid w:val="008411A8"/>
    <w:rsid w:val="00841536"/>
    <w:rsid w:val="00841D74"/>
    <w:rsid w:val="008421B6"/>
    <w:rsid w:val="008425E6"/>
    <w:rsid w:val="00842DBC"/>
    <w:rsid w:val="00843D10"/>
    <w:rsid w:val="00844039"/>
    <w:rsid w:val="008443D9"/>
    <w:rsid w:val="00844944"/>
    <w:rsid w:val="00844ADA"/>
    <w:rsid w:val="00844C2D"/>
    <w:rsid w:val="00844DE7"/>
    <w:rsid w:val="0084593E"/>
    <w:rsid w:val="00845BEC"/>
    <w:rsid w:val="00845DAB"/>
    <w:rsid w:val="00845DF1"/>
    <w:rsid w:val="00847886"/>
    <w:rsid w:val="008478A7"/>
    <w:rsid w:val="00847F04"/>
    <w:rsid w:val="00847F8B"/>
    <w:rsid w:val="00850010"/>
    <w:rsid w:val="008504A7"/>
    <w:rsid w:val="0085139B"/>
    <w:rsid w:val="00851F03"/>
    <w:rsid w:val="00852482"/>
    <w:rsid w:val="0085280C"/>
    <w:rsid w:val="008539B5"/>
    <w:rsid w:val="00854073"/>
    <w:rsid w:val="00854720"/>
    <w:rsid w:val="008550EE"/>
    <w:rsid w:val="00855149"/>
    <w:rsid w:val="00855C23"/>
    <w:rsid w:val="0085691E"/>
    <w:rsid w:val="00856A5D"/>
    <w:rsid w:val="00856AC1"/>
    <w:rsid w:val="00857C1E"/>
    <w:rsid w:val="00857E16"/>
    <w:rsid w:val="00860369"/>
    <w:rsid w:val="008603EA"/>
    <w:rsid w:val="008604EA"/>
    <w:rsid w:val="00861554"/>
    <w:rsid w:val="00861993"/>
    <w:rsid w:val="008619FE"/>
    <w:rsid w:val="00861D2E"/>
    <w:rsid w:val="00862673"/>
    <w:rsid w:val="00862817"/>
    <w:rsid w:val="0086309B"/>
    <w:rsid w:val="008633C4"/>
    <w:rsid w:val="00863684"/>
    <w:rsid w:val="00863AC6"/>
    <w:rsid w:val="00863C9D"/>
    <w:rsid w:val="00864615"/>
    <w:rsid w:val="00864E41"/>
    <w:rsid w:val="00864E48"/>
    <w:rsid w:val="0086510B"/>
    <w:rsid w:val="0086592A"/>
    <w:rsid w:val="00865956"/>
    <w:rsid w:val="008668D3"/>
    <w:rsid w:val="00866BB0"/>
    <w:rsid w:val="00867A6B"/>
    <w:rsid w:val="00867C27"/>
    <w:rsid w:val="00867C9E"/>
    <w:rsid w:val="008700E4"/>
    <w:rsid w:val="00870568"/>
    <w:rsid w:val="0087056A"/>
    <w:rsid w:val="008705DE"/>
    <w:rsid w:val="00870935"/>
    <w:rsid w:val="00871D7C"/>
    <w:rsid w:val="00872550"/>
    <w:rsid w:val="00872936"/>
    <w:rsid w:val="0087354B"/>
    <w:rsid w:val="0087395E"/>
    <w:rsid w:val="00873A40"/>
    <w:rsid w:val="0087420A"/>
    <w:rsid w:val="00874584"/>
    <w:rsid w:val="00874881"/>
    <w:rsid w:val="008750F6"/>
    <w:rsid w:val="008753AD"/>
    <w:rsid w:val="00875FF8"/>
    <w:rsid w:val="0087673A"/>
    <w:rsid w:val="00876B4C"/>
    <w:rsid w:val="0087740E"/>
    <w:rsid w:val="00877E92"/>
    <w:rsid w:val="00877FFB"/>
    <w:rsid w:val="008803FC"/>
    <w:rsid w:val="00881496"/>
    <w:rsid w:val="0088165F"/>
    <w:rsid w:val="00881A8E"/>
    <w:rsid w:val="0088276B"/>
    <w:rsid w:val="00882D38"/>
    <w:rsid w:val="00882D57"/>
    <w:rsid w:val="00883125"/>
    <w:rsid w:val="008836FF"/>
    <w:rsid w:val="00883DA7"/>
    <w:rsid w:val="00883E62"/>
    <w:rsid w:val="00884938"/>
    <w:rsid w:val="00885590"/>
    <w:rsid w:val="00886E46"/>
    <w:rsid w:val="0088756C"/>
    <w:rsid w:val="00887B3E"/>
    <w:rsid w:val="00887D5A"/>
    <w:rsid w:val="0089025B"/>
    <w:rsid w:val="008909FB"/>
    <w:rsid w:val="00890D15"/>
    <w:rsid w:val="008914AD"/>
    <w:rsid w:val="00891B25"/>
    <w:rsid w:val="0089283D"/>
    <w:rsid w:val="0089317B"/>
    <w:rsid w:val="008934A0"/>
    <w:rsid w:val="008937E2"/>
    <w:rsid w:val="00893B61"/>
    <w:rsid w:val="00894275"/>
    <w:rsid w:val="0089448A"/>
    <w:rsid w:val="0089479B"/>
    <w:rsid w:val="00894EA1"/>
    <w:rsid w:val="008958DC"/>
    <w:rsid w:val="00895AD2"/>
    <w:rsid w:val="00895FA2"/>
    <w:rsid w:val="008972B2"/>
    <w:rsid w:val="00897330"/>
    <w:rsid w:val="00897A68"/>
    <w:rsid w:val="00897B3F"/>
    <w:rsid w:val="008A15B6"/>
    <w:rsid w:val="008A28A7"/>
    <w:rsid w:val="008A2ADE"/>
    <w:rsid w:val="008A2B86"/>
    <w:rsid w:val="008A2CB1"/>
    <w:rsid w:val="008A3506"/>
    <w:rsid w:val="008A3A73"/>
    <w:rsid w:val="008A6873"/>
    <w:rsid w:val="008A69F8"/>
    <w:rsid w:val="008A6E0C"/>
    <w:rsid w:val="008B04DB"/>
    <w:rsid w:val="008B2094"/>
    <w:rsid w:val="008B2216"/>
    <w:rsid w:val="008B29B8"/>
    <w:rsid w:val="008B4230"/>
    <w:rsid w:val="008B4EBC"/>
    <w:rsid w:val="008B52FB"/>
    <w:rsid w:val="008B5612"/>
    <w:rsid w:val="008B5633"/>
    <w:rsid w:val="008B5ED4"/>
    <w:rsid w:val="008B6456"/>
    <w:rsid w:val="008B649C"/>
    <w:rsid w:val="008B741B"/>
    <w:rsid w:val="008B7E77"/>
    <w:rsid w:val="008B7FB8"/>
    <w:rsid w:val="008C030F"/>
    <w:rsid w:val="008C0324"/>
    <w:rsid w:val="008C0653"/>
    <w:rsid w:val="008C0AD7"/>
    <w:rsid w:val="008C2151"/>
    <w:rsid w:val="008C21F9"/>
    <w:rsid w:val="008C269E"/>
    <w:rsid w:val="008C3BA9"/>
    <w:rsid w:val="008C3C19"/>
    <w:rsid w:val="008C456A"/>
    <w:rsid w:val="008C458C"/>
    <w:rsid w:val="008C5246"/>
    <w:rsid w:val="008C5283"/>
    <w:rsid w:val="008C5B8A"/>
    <w:rsid w:val="008C6828"/>
    <w:rsid w:val="008C6E34"/>
    <w:rsid w:val="008C7827"/>
    <w:rsid w:val="008C7C1B"/>
    <w:rsid w:val="008D0358"/>
    <w:rsid w:val="008D064A"/>
    <w:rsid w:val="008D081A"/>
    <w:rsid w:val="008D1490"/>
    <w:rsid w:val="008D2E47"/>
    <w:rsid w:val="008D2FA5"/>
    <w:rsid w:val="008D30DE"/>
    <w:rsid w:val="008D3700"/>
    <w:rsid w:val="008D4D84"/>
    <w:rsid w:val="008D5B90"/>
    <w:rsid w:val="008D68CD"/>
    <w:rsid w:val="008D723E"/>
    <w:rsid w:val="008D7270"/>
    <w:rsid w:val="008E00F2"/>
    <w:rsid w:val="008E01AF"/>
    <w:rsid w:val="008E10F9"/>
    <w:rsid w:val="008E12E2"/>
    <w:rsid w:val="008E22E1"/>
    <w:rsid w:val="008E2B48"/>
    <w:rsid w:val="008E2FEB"/>
    <w:rsid w:val="008E31B3"/>
    <w:rsid w:val="008E33C8"/>
    <w:rsid w:val="008E37F7"/>
    <w:rsid w:val="008E48D0"/>
    <w:rsid w:val="008E4F87"/>
    <w:rsid w:val="008E5B67"/>
    <w:rsid w:val="008E5B85"/>
    <w:rsid w:val="008E5ECF"/>
    <w:rsid w:val="008E63D7"/>
    <w:rsid w:val="008E6C36"/>
    <w:rsid w:val="008E6E91"/>
    <w:rsid w:val="008F078B"/>
    <w:rsid w:val="008F105D"/>
    <w:rsid w:val="008F1286"/>
    <w:rsid w:val="008F12E9"/>
    <w:rsid w:val="008F14B9"/>
    <w:rsid w:val="008F202C"/>
    <w:rsid w:val="008F27F1"/>
    <w:rsid w:val="008F2CB2"/>
    <w:rsid w:val="008F2D58"/>
    <w:rsid w:val="008F334E"/>
    <w:rsid w:val="008F3BA3"/>
    <w:rsid w:val="008F4788"/>
    <w:rsid w:val="008F4D7A"/>
    <w:rsid w:val="008F588B"/>
    <w:rsid w:val="008F5A00"/>
    <w:rsid w:val="008F5AEB"/>
    <w:rsid w:val="008F6CEC"/>
    <w:rsid w:val="008F6D51"/>
    <w:rsid w:val="008F7108"/>
    <w:rsid w:val="008F738D"/>
    <w:rsid w:val="008F7796"/>
    <w:rsid w:val="009000BB"/>
    <w:rsid w:val="009003AB"/>
    <w:rsid w:val="00900989"/>
    <w:rsid w:val="00900BF8"/>
    <w:rsid w:val="00901122"/>
    <w:rsid w:val="00901861"/>
    <w:rsid w:val="00901AD1"/>
    <w:rsid w:val="00903014"/>
    <w:rsid w:val="00903EC0"/>
    <w:rsid w:val="0090420D"/>
    <w:rsid w:val="009043DA"/>
    <w:rsid w:val="009054C4"/>
    <w:rsid w:val="009055BE"/>
    <w:rsid w:val="00906C2F"/>
    <w:rsid w:val="009077AC"/>
    <w:rsid w:val="0090793A"/>
    <w:rsid w:val="00910294"/>
    <w:rsid w:val="009103F4"/>
    <w:rsid w:val="009111FA"/>
    <w:rsid w:val="00911D6C"/>
    <w:rsid w:val="00911ED3"/>
    <w:rsid w:val="009124F1"/>
    <w:rsid w:val="00912AD2"/>
    <w:rsid w:val="009135FE"/>
    <w:rsid w:val="00913816"/>
    <w:rsid w:val="00913EAC"/>
    <w:rsid w:val="009141C5"/>
    <w:rsid w:val="009143D9"/>
    <w:rsid w:val="00914644"/>
    <w:rsid w:val="00915078"/>
    <w:rsid w:val="009167C4"/>
    <w:rsid w:val="00916A61"/>
    <w:rsid w:val="00917002"/>
    <w:rsid w:val="00917FB1"/>
    <w:rsid w:val="00920AAC"/>
    <w:rsid w:val="0092151F"/>
    <w:rsid w:val="00921C32"/>
    <w:rsid w:val="00921DEE"/>
    <w:rsid w:val="0092227D"/>
    <w:rsid w:val="009224C5"/>
    <w:rsid w:val="00923E43"/>
    <w:rsid w:val="00924648"/>
    <w:rsid w:val="00924AB7"/>
    <w:rsid w:val="00925303"/>
    <w:rsid w:val="00925395"/>
    <w:rsid w:val="00925668"/>
    <w:rsid w:val="009257E8"/>
    <w:rsid w:val="0092587A"/>
    <w:rsid w:val="00925BE3"/>
    <w:rsid w:val="00926437"/>
    <w:rsid w:val="00926AFA"/>
    <w:rsid w:val="009270D1"/>
    <w:rsid w:val="00927198"/>
    <w:rsid w:val="00927F9F"/>
    <w:rsid w:val="009300D0"/>
    <w:rsid w:val="009310CF"/>
    <w:rsid w:val="00931540"/>
    <w:rsid w:val="00932CB2"/>
    <w:rsid w:val="00934296"/>
    <w:rsid w:val="00934371"/>
    <w:rsid w:val="00934585"/>
    <w:rsid w:val="00935013"/>
    <w:rsid w:val="009354E0"/>
    <w:rsid w:val="00935591"/>
    <w:rsid w:val="00935B2E"/>
    <w:rsid w:val="00935EB8"/>
    <w:rsid w:val="00935F07"/>
    <w:rsid w:val="00936688"/>
    <w:rsid w:val="00936E09"/>
    <w:rsid w:val="009375C3"/>
    <w:rsid w:val="00937786"/>
    <w:rsid w:val="00940E04"/>
    <w:rsid w:val="00940FCD"/>
    <w:rsid w:val="00941513"/>
    <w:rsid w:val="00941A43"/>
    <w:rsid w:val="00941B39"/>
    <w:rsid w:val="0094226C"/>
    <w:rsid w:val="00942537"/>
    <w:rsid w:val="00942A87"/>
    <w:rsid w:val="00943720"/>
    <w:rsid w:val="00943A70"/>
    <w:rsid w:val="00944073"/>
    <w:rsid w:val="00944AA1"/>
    <w:rsid w:val="00944E0C"/>
    <w:rsid w:val="009450D9"/>
    <w:rsid w:val="0094518F"/>
    <w:rsid w:val="00945452"/>
    <w:rsid w:val="00945AFA"/>
    <w:rsid w:val="00946369"/>
    <w:rsid w:val="00947537"/>
    <w:rsid w:val="0095226F"/>
    <w:rsid w:val="00952A2D"/>
    <w:rsid w:val="00953137"/>
    <w:rsid w:val="00953859"/>
    <w:rsid w:val="009538B7"/>
    <w:rsid w:val="00954093"/>
    <w:rsid w:val="009547A1"/>
    <w:rsid w:val="00954C77"/>
    <w:rsid w:val="00956129"/>
    <w:rsid w:val="00956523"/>
    <w:rsid w:val="00956611"/>
    <w:rsid w:val="009570BE"/>
    <w:rsid w:val="009571DA"/>
    <w:rsid w:val="009572D0"/>
    <w:rsid w:val="00957A1D"/>
    <w:rsid w:val="009606FA"/>
    <w:rsid w:val="009615D4"/>
    <w:rsid w:val="00961726"/>
    <w:rsid w:val="00961957"/>
    <w:rsid w:val="00961FAE"/>
    <w:rsid w:val="0096226A"/>
    <w:rsid w:val="0096253E"/>
    <w:rsid w:val="0096264B"/>
    <w:rsid w:val="00962B7F"/>
    <w:rsid w:val="00963BF9"/>
    <w:rsid w:val="009641B2"/>
    <w:rsid w:val="009644F5"/>
    <w:rsid w:val="0096476B"/>
    <w:rsid w:val="0096480C"/>
    <w:rsid w:val="00964EFC"/>
    <w:rsid w:val="00964FAD"/>
    <w:rsid w:val="00964FF6"/>
    <w:rsid w:val="0096535F"/>
    <w:rsid w:val="00965B09"/>
    <w:rsid w:val="00966693"/>
    <w:rsid w:val="0096702C"/>
    <w:rsid w:val="009673C5"/>
    <w:rsid w:val="009677A2"/>
    <w:rsid w:val="00970101"/>
    <w:rsid w:val="00970825"/>
    <w:rsid w:val="00971109"/>
    <w:rsid w:val="009711CE"/>
    <w:rsid w:val="0097173D"/>
    <w:rsid w:val="0097217C"/>
    <w:rsid w:val="009725F6"/>
    <w:rsid w:val="00972666"/>
    <w:rsid w:val="0097269B"/>
    <w:rsid w:val="00972E00"/>
    <w:rsid w:val="009736FB"/>
    <w:rsid w:val="00974666"/>
    <w:rsid w:val="0097579F"/>
    <w:rsid w:val="00975923"/>
    <w:rsid w:val="00976D84"/>
    <w:rsid w:val="009771EC"/>
    <w:rsid w:val="0097793B"/>
    <w:rsid w:val="0098118C"/>
    <w:rsid w:val="00981FEA"/>
    <w:rsid w:val="00982820"/>
    <w:rsid w:val="0098286F"/>
    <w:rsid w:val="009834BC"/>
    <w:rsid w:val="00983865"/>
    <w:rsid w:val="00983935"/>
    <w:rsid w:val="00984E9A"/>
    <w:rsid w:val="00984F65"/>
    <w:rsid w:val="009857DA"/>
    <w:rsid w:val="00985B5C"/>
    <w:rsid w:val="00985DBC"/>
    <w:rsid w:val="00986459"/>
    <w:rsid w:val="009868D8"/>
    <w:rsid w:val="00986BEB"/>
    <w:rsid w:val="009873F7"/>
    <w:rsid w:val="0099024D"/>
    <w:rsid w:val="0099033E"/>
    <w:rsid w:val="0099046D"/>
    <w:rsid w:val="00991C9D"/>
    <w:rsid w:val="00992D96"/>
    <w:rsid w:val="0099393E"/>
    <w:rsid w:val="0099481A"/>
    <w:rsid w:val="00995396"/>
    <w:rsid w:val="009954AE"/>
    <w:rsid w:val="0099553D"/>
    <w:rsid w:val="00995831"/>
    <w:rsid w:val="00995A59"/>
    <w:rsid w:val="00996445"/>
    <w:rsid w:val="0099653B"/>
    <w:rsid w:val="00996567"/>
    <w:rsid w:val="00996C1B"/>
    <w:rsid w:val="00996E36"/>
    <w:rsid w:val="009972CA"/>
    <w:rsid w:val="009A052A"/>
    <w:rsid w:val="009A12EE"/>
    <w:rsid w:val="009A136D"/>
    <w:rsid w:val="009A1B30"/>
    <w:rsid w:val="009A30CB"/>
    <w:rsid w:val="009A38FA"/>
    <w:rsid w:val="009A419E"/>
    <w:rsid w:val="009A4AF5"/>
    <w:rsid w:val="009A4D9B"/>
    <w:rsid w:val="009A5265"/>
    <w:rsid w:val="009A57B4"/>
    <w:rsid w:val="009A6B93"/>
    <w:rsid w:val="009A7875"/>
    <w:rsid w:val="009A7E15"/>
    <w:rsid w:val="009B03AF"/>
    <w:rsid w:val="009B06DF"/>
    <w:rsid w:val="009B096E"/>
    <w:rsid w:val="009B23D7"/>
    <w:rsid w:val="009B2549"/>
    <w:rsid w:val="009B3C40"/>
    <w:rsid w:val="009B48C4"/>
    <w:rsid w:val="009B4B66"/>
    <w:rsid w:val="009B4EDF"/>
    <w:rsid w:val="009B57F5"/>
    <w:rsid w:val="009B58C6"/>
    <w:rsid w:val="009B651D"/>
    <w:rsid w:val="009B6CE5"/>
    <w:rsid w:val="009B6D02"/>
    <w:rsid w:val="009B6D7A"/>
    <w:rsid w:val="009B73F1"/>
    <w:rsid w:val="009B75C0"/>
    <w:rsid w:val="009B78F1"/>
    <w:rsid w:val="009B7D77"/>
    <w:rsid w:val="009C0867"/>
    <w:rsid w:val="009C0C17"/>
    <w:rsid w:val="009C0E1A"/>
    <w:rsid w:val="009C10BA"/>
    <w:rsid w:val="009C1D54"/>
    <w:rsid w:val="009C31B3"/>
    <w:rsid w:val="009C384E"/>
    <w:rsid w:val="009C3C36"/>
    <w:rsid w:val="009C462C"/>
    <w:rsid w:val="009C470A"/>
    <w:rsid w:val="009C47E7"/>
    <w:rsid w:val="009C482B"/>
    <w:rsid w:val="009C4953"/>
    <w:rsid w:val="009C4A2C"/>
    <w:rsid w:val="009C5824"/>
    <w:rsid w:val="009C59DD"/>
    <w:rsid w:val="009C5A7A"/>
    <w:rsid w:val="009C5BDC"/>
    <w:rsid w:val="009C5E3E"/>
    <w:rsid w:val="009C61CA"/>
    <w:rsid w:val="009C6BF5"/>
    <w:rsid w:val="009C73D6"/>
    <w:rsid w:val="009C756B"/>
    <w:rsid w:val="009C7D99"/>
    <w:rsid w:val="009D0A7A"/>
    <w:rsid w:val="009D0E5B"/>
    <w:rsid w:val="009D1190"/>
    <w:rsid w:val="009D2282"/>
    <w:rsid w:val="009D24AB"/>
    <w:rsid w:val="009D291B"/>
    <w:rsid w:val="009D38BC"/>
    <w:rsid w:val="009D398E"/>
    <w:rsid w:val="009D43DF"/>
    <w:rsid w:val="009D4B96"/>
    <w:rsid w:val="009D4C4D"/>
    <w:rsid w:val="009D58B1"/>
    <w:rsid w:val="009D5F11"/>
    <w:rsid w:val="009D632F"/>
    <w:rsid w:val="009D70F0"/>
    <w:rsid w:val="009D723E"/>
    <w:rsid w:val="009D7A4A"/>
    <w:rsid w:val="009E124C"/>
    <w:rsid w:val="009E137A"/>
    <w:rsid w:val="009E1B13"/>
    <w:rsid w:val="009E1B97"/>
    <w:rsid w:val="009E2227"/>
    <w:rsid w:val="009E259B"/>
    <w:rsid w:val="009E3923"/>
    <w:rsid w:val="009E4488"/>
    <w:rsid w:val="009E4DDF"/>
    <w:rsid w:val="009E5768"/>
    <w:rsid w:val="009E62B9"/>
    <w:rsid w:val="009E6565"/>
    <w:rsid w:val="009E6CC4"/>
    <w:rsid w:val="009E73E9"/>
    <w:rsid w:val="009E78C2"/>
    <w:rsid w:val="009E7B2F"/>
    <w:rsid w:val="009F01EE"/>
    <w:rsid w:val="009F0D37"/>
    <w:rsid w:val="009F1C7E"/>
    <w:rsid w:val="009F29F6"/>
    <w:rsid w:val="009F316A"/>
    <w:rsid w:val="009F39F8"/>
    <w:rsid w:val="009F3E54"/>
    <w:rsid w:val="009F6FBE"/>
    <w:rsid w:val="009F7930"/>
    <w:rsid w:val="00A0033F"/>
    <w:rsid w:val="00A00792"/>
    <w:rsid w:val="00A007BE"/>
    <w:rsid w:val="00A00B16"/>
    <w:rsid w:val="00A01919"/>
    <w:rsid w:val="00A02174"/>
    <w:rsid w:val="00A03279"/>
    <w:rsid w:val="00A0406E"/>
    <w:rsid w:val="00A0454D"/>
    <w:rsid w:val="00A04C12"/>
    <w:rsid w:val="00A06440"/>
    <w:rsid w:val="00A10B07"/>
    <w:rsid w:val="00A110D5"/>
    <w:rsid w:val="00A11B76"/>
    <w:rsid w:val="00A124E3"/>
    <w:rsid w:val="00A13486"/>
    <w:rsid w:val="00A13BF5"/>
    <w:rsid w:val="00A13F0E"/>
    <w:rsid w:val="00A14039"/>
    <w:rsid w:val="00A14B8E"/>
    <w:rsid w:val="00A15766"/>
    <w:rsid w:val="00A15962"/>
    <w:rsid w:val="00A15CDC"/>
    <w:rsid w:val="00A15F2A"/>
    <w:rsid w:val="00A16355"/>
    <w:rsid w:val="00A163F4"/>
    <w:rsid w:val="00A16B76"/>
    <w:rsid w:val="00A16BEB"/>
    <w:rsid w:val="00A171ED"/>
    <w:rsid w:val="00A17D03"/>
    <w:rsid w:val="00A21FF1"/>
    <w:rsid w:val="00A22484"/>
    <w:rsid w:val="00A228AD"/>
    <w:rsid w:val="00A233CC"/>
    <w:rsid w:val="00A23DC4"/>
    <w:rsid w:val="00A2533B"/>
    <w:rsid w:val="00A25938"/>
    <w:rsid w:val="00A25AC0"/>
    <w:rsid w:val="00A26725"/>
    <w:rsid w:val="00A27126"/>
    <w:rsid w:val="00A27F25"/>
    <w:rsid w:val="00A3021B"/>
    <w:rsid w:val="00A30CBA"/>
    <w:rsid w:val="00A31033"/>
    <w:rsid w:val="00A31CDB"/>
    <w:rsid w:val="00A31D31"/>
    <w:rsid w:val="00A3204B"/>
    <w:rsid w:val="00A32E01"/>
    <w:rsid w:val="00A33535"/>
    <w:rsid w:val="00A33F35"/>
    <w:rsid w:val="00A340F9"/>
    <w:rsid w:val="00A34D28"/>
    <w:rsid w:val="00A35B83"/>
    <w:rsid w:val="00A35D3A"/>
    <w:rsid w:val="00A35E6F"/>
    <w:rsid w:val="00A35E94"/>
    <w:rsid w:val="00A3633F"/>
    <w:rsid w:val="00A36883"/>
    <w:rsid w:val="00A36DD0"/>
    <w:rsid w:val="00A3733A"/>
    <w:rsid w:val="00A40F48"/>
    <w:rsid w:val="00A42161"/>
    <w:rsid w:val="00A42848"/>
    <w:rsid w:val="00A428AD"/>
    <w:rsid w:val="00A429B9"/>
    <w:rsid w:val="00A44530"/>
    <w:rsid w:val="00A44DD1"/>
    <w:rsid w:val="00A44E6C"/>
    <w:rsid w:val="00A458BA"/>
    <w:rsid w:val="00A46170"/>
    <w:rsid w:val="00A46202"/>
    <w:rsid w:val="00A46455"/>
    <w:rsid w:val="00A467B4"/>
    <w:rsid w:val="00A47186"/>
    <w:rsid w:val="00A47496"/>
    <w:rsid w:val="00A47B75"/>
    <w:rsid w:val="00A50A4B"/>
    <w:rsid w:val="00A50C58"/>
    <w:rsid w:val="00A50E31"/>
    <w:rsid w:val="00A51480"/>
    <w:rsid w:val="00A5277B"/>
    <w:rsid w:val="00A52ADF"/>
    <w:rsid w:val="00A52B21"/>
    <w:rsid w:val="00A5332B"/>
    <w:rsid w:val="00A54C73"/>
    <w:rsid w:val="00A54FEC"/>
    <w:rsid w:val="00A552F7"/>
    <w:rsid w:val="00A55386"/>
    <w:rsid w:val="00A55844"/>
    <w:rsid w:val="00A566F3"/>
    <w:rsid w:val="00A56C57"/>
    <w:rsid w:val="00A57A98"/>
    <w:rsid w:val="00A60635"/>
    <w:rsid w:val="00A60653"/>
    <w:rsid w:val="00A60874"/>
    <w:rsid w:val="00A60E70"/>
    <w:rsid w:val="00A60F00"/>
    <w:rsid w:val="00A615B2"/>
    <w:rsid w:val="00A619EC"/>
    <w:rsid w:val="00A61C17"/>
    <w:rsid w:val="00A623B2"/>
    <w:rsid w:val="00A62D80"/>
    <w:rsid w:val="00A62F9F"/>
    <w:rsid w:val="00A6306C"/>
    <w:rsid w:val="00A63112"/>
    <w:rsid w:val="00A639C4"/>
    <w:rsid w:val="00A63D71"/>
    <w:rsid w:val="00A642D1"/>
    <w:rsid w:val="00A64AD0"/>
    <w:rsid w:val="00A6512A"/>
    <w:rsid w:val="00A65CD9"/>
    <w:rsid w:val="00A661FF"/>
    <w:rsid w:val="00A66FC1"/>
    <w:rsid w:val="00A6791D"/>
    <w:rsid w:val="00A67CAC"/>
    <w:rsid w:val="00A70003"/>
    <w:rsid w:val="00A704E8"/>
    <w:rsid w:val="00A708E0"/>
    <w:rsid w:val="00A70B43"/>
    <w:rsid w:val="00A70B71"/>
    <w:rsid w:val="00A70E1F"/>
    <w:rsid w:val="00A70E65"/>
    <w:rsid w:val="00A71AB3"/>
    <w:rsid w:val="00A71DE3"/>
    <w:rsid w:val="00A72B2F"/>
    <w:rsid w:val="00A72E46"/>
    <w:rsid w:val="00A7315B"/>
    <w:rsid w:val="00A73359"/>
    <w:rsid w:val="00A73B22"/>
    <w:rsid w:val="00A73B5C"/>
    <w:rsid w:val="00A73C0F"/>
    <w:rsid w:val="00A740C0"/>
    <w:rsid w:val="00A743D4"/>
    <w:rsid w:val="00A75292"/>
    <w:rsid w:val="00A75510"/>
    <w:rsid w:val="00A75B66"/>
    <w:rsid w:val="00A75C18"/>
    <w:rsid w:val="00A75C2F"/>
    <w:rsid w:val="00A75FE7"/>
    <w:rsid w:val="00A76215"/>
    <w:rsid w:val="00A76609"/>
    <w:rsid w:val="00A76CB2"/>
    <w:rsid w:val="00A770C1"/>
    <w:rsid w:val="00A77112"/>
    <w:rsid w:val="00A778E4"/>
    <w:rsid w:val="00A77CC1"/>
    <w:rsid w:val="00A80069"/>
    <w:rsid w:val="00A80304"/>
    <w:rsid w:val="00A80AC3"/>
    <w:rsid w:val="00A80CD4"/>
    <w:rsid w:val="00A80E4A"/>
    <w:rsid w:val="00A81BCE"/>
    <w:rsid w:val="00A81C34"/>
    <w:rsid w:val="00A81F6F"/>
    <w:rsid w:val="00A8247A"/>
    <w:rsid w:val="00A8250D"/>
    <w:rsid w:val="00A83000"/>
    <w:rsid w:val="00A83253"/>
    <w:rsid w:val="00A83EE8"/>
    <w:rsid w:val="00A85486"/>
    <w:rsid w:val="00A85594"/>
    <w:rsid w:val="00A85798"/>
    <w:rsid w:val="00A8584A"/>
    <w:rsid w:val="00A85E18"/>
    <w:rsid w:val="00A8674A"/>
    <w:rsid w:val="00A86CAD"/>
    <w:rsid w:val="00A872FF"/>
    <w:rsid w:val="00A87465"/>
    <w:rsid w:val="00A87EA6"/>
    <w:rsid w:val="00A87F9E"/>
    <w:rsid w:val="00A901FB"/>
    <w:rsid w:val="00A90A77"/>
    <w:rsid w:val="00A90C24"/>
    <w:rsid w:val="00A911CD"/>
    <w:rsid w:val="00A912A1"/>
    <w:rsid w:val="00A913F9"/>
    <w:rsid w:val="00A92BAB"/>
    <w:rsid w:val="00A932D5"/>
    <w:rsid w:val="00A93736"/>
    <w:rsid w:val="00A937D7"/>
    <w:rsid w:val="00A94865"/>
    <w:rsid w:val="00A94DF9"/>
    <w:rsid w:val="00A951A4"/>
    <w:rsid w:val="00A95367"/>
    <w:rsid w:val="00A95728"/>
    <w:rsid w:val="00A95A27"/>
    <w:rsid w:val="00A95FEC"/>
    <w:rsid w:val="00A9608F"/>
    <w:rsid w:val="00A96C40"/>
    <w:rsid w:val="00A96E88"/>
    <w:rsid w:val="00A970B7"/>
    <w:rsid w:val="00A9730D"/>
    <w:rsid w:val="00A9747A"/>
    <w:rsid w:val="00A979F7"/>
    <w:rsid w:val="00AA0582"/>
    <w:rsid w:val="00AA05B2"/>
    <w:rsid w:val="00AA087F"/>
    <w:rsid w:val="00AA0CB4"/>
    <w:rsid w:val="00AA0F68"/>
    <w:rsid w:val="00AA1035"/>
    <w:rsid w:val="00AA2719"/>
    <w:rsid w:val="00AA2C95"/>
    <w:rsid w:val="00AA38AC"/>
    <w:rsid w:val="00AA3E15"/>
    <w:rsid w:val="00AA3FE2"/>
    <w:rsid w:val="00AA4034"/>
    <w:rsid w:val="00AA42DC"/>
    <w:rsid w:val="00AA4F9F"/>
    <w:rsid w:val="00AA60E5"/>
    <w:rsid w:val="00AA656E"/>
    <w:rsid w:val="00AA68DB"/>
    <w:rsid w:val="00AA6CB2"/>
    <w:rsid w:val="00AA700D"/>
    <w:rsid w:val="00AA75D2"/>
    <w:rsid w:val="00AA7AB4"/>
    <w:rsid w:val="00AB1285"/>
    <w:rsid w:val="00AB1667"/>
    <w:rsid w:val="00AB1AEB"/>
    <w:rsid w:val="00AB2B5B"/>
    <w:rsid w:val="00AB3092"/>
    <w:rsid w:val="00AB47B4"/>
    <w:rsid w:val="00AB4826"/>
    <w:rsid w:val="00AB48D4"/>
    <w:rsid w:val="00AB506A"/>
    <w:rsid w:val="00AB617B"/>
    <w:rsid w:val="00AB6717"/>
    <w:rsid w:val="00AB6B10"/>
    <w:rsid w:val="00AB6CEA"/>
    <w:rsid w:val="00AB71ED"/>
    <w:rsid w:val="00AB7245"/>
    <w:rsid w:val="00AB77F6"/>
    <w:rsid w:val="00AC065F"/>
    <w:rsid w:val="00AC0A92"/>
    <w:rsid w:val="00AC1A79"/>
    <w:rsid w:val="00AC1D90"/>
    <w:rsid w:val="00AC2667"/>
    <w:rsid w:val="00AC2749"/>
    <w:rsid w:val="00AC279D"/>
    <w:rsid w:val="00AC2BAE"/>
    <w:rsid w:val="00AC2EB7"/>
    <w:rsid w:val="00AC2FCF"/>
    <w:rsid w:val="00AC365B"/>
    <w:rsid w:val="00AC37B5"/>
    <w:rsid w:val="00AC3A7A"/>
    <w:rsid w:val="00AC4214"/>
    <w:rsid w:val="00AC424C"/>
    <w:rsid w:val="00AC4718"/>
    <w:rsid w:val="00AC493C"/>
    <w:rsid w:val="00AC4EFE"/>
    <w:rsid w:val="00AC5681"/>
    <w:rsid w:val="00AC578C"/>
    <w:rsid w:val="00AC69B3"/>
    <w:rsid w:val="00AD0ED7"/>
    <w:rsid w:val="00AD1EB4"/>
    <w:rsid w:val="00AD268D"/>
    <w:rsid w:val="00AD2F40"/>
    <w:rsid w:val="00AD3010"/>
    <w:rsid w:val="00AD39F5"/>
    <w:rsid w:val="00AD3B6D"/>
    <w:rsid w:val="00AD3D44"/>
    <w:rsid w:val="00AD4058"/>
    <w:rsid w:val="00AD48F0"/>
    <w:rsid w:val="00AD4B5E"/>
    <w:rsid w:val="00AD5364"/>
    <w:rsid w:val="00AD53D4"/>
    <w:rsid w:val="00AD5778"/>
    <w:rsid w:val="00AD5FA2"/>
    <w:rsid w:val="00AD63DF"/>
    <w:rsid w:val="00AD63EF"/>
    <w:rsid w:val="00AD649D"/>
    <w:rsid w:val="00AD6B21"/>
    <w:rsid w:val="00AD6D71"/>
    <w:rsid w:val="00AD726E"/>
    <w:rsid w:val="00AD732A"/>
    <w:rsid w:val="00AD7602"/>
    <w:rsid w:val="00AD7B17"/>
    <w:rsid w:val="00AE0030"/>
    <w:rsid w:val="00AE00FC"/>
    <w:rsid w:val="00AE0C9F"/>
    <w:rsid w:val="00AE0D6C"/>
    <w:rsid w:val="00AE12C8"/>
    <w:rsid w:val="00AE1713"/>
    <w:rsid w:val="00AE1E50"/>
    <w:rsid w:val="00AE2073"/>
    <w:rsid w:val="00AE2234"/>
    <w:rsid w:val="00AE301B"/>
    <w:rsid w:val="00AE3641"/>
    <w:rsid w:val="00AE3934"/>
    <w:rsid w:val="00AE3E51"/>
    <w:rsid w:val="00AE3F66"/>
    <w:rsid w:val="00AE4BE0"/>
    <w:rsid w:val="00AE6F3F"/>
    <w:rsid w:val="00AE7378"/>
    <w:rsid w:val="00AE7383"/>
    <w:rsid w:val="00AE76AA"/>
    <w:rsid w:val="00AF04FD"/>
    <w:rsid w:val="00AF0A1A"/>
    <w:rsid w:val="00AF0DFA"/>
    <w:rsid w:val="00AF0E25"/>
    <w:rsid w:val="00AF29C0"/>
    <w:rsid w:val="00AF2C57"/>
    <w:rsid w:val="00AF3895"/>
    <w:rsid w:val="00AF3A7F"/>
    <w:rsid w:val="00AF3D55"/>
    <w:rsid w:val="00AF450B"/>
    <w:rsid w:val="00AF453E"/>
    <w:rsid w:val="00AF4BDD"/>
    <w:rsid w:val="00AF51AB"/>
    <w:rsid w:val="00AF55AD"/>
    <w:rsid w:val="00AF6320"/>
    <w:rsid w:val="00AF7085"/>
    <w:rsid w:val="00AF741B"/>
    <w:rsid w:val="00AF7489"/>
    <w:rsid w:val="00AF76F2"/>
    <w:rsid w:val="00AF7939"/>
    <w:rsid w:val="00AF7B0F"/>
    <w:rsid w:val="00B0041A"/>
    <w:rsid w:val="00B005EF"/>
    <w:rsid w:val="00B00C5A"/>
    <w:rsid w:val="00B014D0"/>
    <w:rsid w:val="00B01B82"/>
    <w:rsid w:val="00B02000"/>
    <w:rsid w:val="00B02BC0"/>
    <w:rsid w:val="00B03549"/>
    <w:rsid w:val="00B035D5"/>
    <w:rsid w:val="00B03E3C"/>
    <w:rsid w:val="00B04405"/>
    <w:rsid w:val="00B046AA"/>
    <w:rsid w:val="00B051A0"/>
    <w:rsid w:val="00B05311"/>
    <w:rsid w:val="00B064A2"/>
    <w:rsid w:val="00B073FC"/>
    <w:rsid w:val="00B077E1"/>
    <w:rsid w:val="00B07A9F"/>
    <w:rsid w:val="00B07B5B"/>
    <w:rsid w:val="00B07FC6"/>
    <w:rsid w:val="00B1007A"/>
    <w:rsid w:val="00B10835"/>
    <w:rsid w:val="00B11258"/>
    <w:rsid w:val="00B1144A"/>
    <w:rsid w:val="00B119A1"/>
    <w:rsid w:val="00B11B41"/>
    <w:rsid w:val="00B11F4E"/>
    <w:rsid w:val="00B1200C"/>
    <w:rsid w:val="00B12153"/>
    <w:rsid w:val="00B13837"/>
    <w:rsid w:val="00B13FBF"/>
    <w:rsid w:val="00B14913"/>
    <w:rsid w:val="00B16731"/>
    <w:rsid w:val="00B16C80"/>
    <w:rsid w:val="00B17124"/>
    <w:rsid w:val="00B1713B"/>
    <w:rsid w:val="00B174A0"/>
    <w:rsid w:val="00B178AA"/>
    <w:rsid w:val="00B17A6A"/>
    <w:rsid w:val="00B20712"/>
    <w:rsid w:val="00B20DEB"/>
    <w:rsid w:val="00B20E7B"/>
    <w:rsid w:val="00B2202C"/>
    <w:rsid w:val="00B23060"/>
    <w:rsid w:val="00B239BB"/>
    <w:rsid w:val="00B23BCE"/>
    <w:rsid w:val="00B23F43"/>
    <w:rsid w:val="00B248F2"/>
    <w:rsid w:val="00B24D88"/>
    <w:rsid w:val="00B25F0F"/>
    <w:rsid w:val="00B261B2"/>
    <w:rsid w:val="00B268A2"/>
    <w:rsid w:val="00B275AB"/>
    <w:rsid w:val="00B30943"/>
    <w:rsid w:val="00B30D40"/>
    <w:rsid w:val="00B31CBA"/>
    <w:rsid w:val="00B3265D"/>
    <w:rsid w:val="00B32B97"/>
    <w:rsid w:val="00B32C21"/>
    <w:rsid w:val="00B32F55"/>
    <w:rsid w:val="00B3319C"/>
    <w:rsid w:val="00B337B5"/>
    <w:rsid w:val="00B33DF0"/>
    <w:rsid w:val="00B34518"/>
    <w:rsid w:val="00B34C00"/>
    <w:rsid w:val="00B36A98"/>
    <w:rsid w:val="00B37688"/>
    <w:rsid w:val="00B378D1"/>
    <w:rsid w:val="00B40E67"/>
    <w:rsid w:val="00B41354"/>
    <w:rsid w:val="00B415BC"/>
    <w:rsid w:val="00B417BD"/>
    <w:rsid w:val="00B4199A"/>
    <w:rsid w:val="00B41B3F"/>
    <w:rsid w:val="00B41C3E"/>
    <w:rsid w:val="00B41DF3"/>
    <w:rsid w:val="00B42C67"/>
    <w:rsid w:val="00B42EEF"/>
    <w:rsid w:val="00B42F19"/>
    <w:rsid w:val="00B43215"/>
    <w:rsid w:val="00B437DC"/>
    <w:rsid w:val="00B44437"/>
    <w:rsid w:val="00B46446"/>
    <w:rsid w:val="00B46ADC"/>
    <w:rsid w:val="00B47CD6"/>
    <w:rsid w:val="00B50263"/>
    <w:rsid w:val="00B5069C"/>
    <w:rsid w:val="00B515F2"/>
    <w:rsid w:val="00B51E2C"/>
    <w:rsid w:val="00B52410"/>
    <w:rsid w:val="00B529FA"/>
    <w:rsid w:val="00B52B46"/>
    <w:rsid w:val="00B5424D"/>
    <w:rsid w:val="00B55E33"/>
    <w:rsid w:val="00B56725"/>
    <w:rsid w:val="00B57787"/>
    <w:rsid w:val="00B602FE"/>
    <w:rsid w:val="00B60912"/>
    <w:rsid w:val="00B61069"/>
    <w:rsid w:val="00B61A91"/>
    <w:rsid w:val="00B61DF6"/>
    <w:rsid w:val="00B6215F"/>
    <w:rsid w:val="00B6365A"/>
    <w:rsid w:val="00B64325"/>
    <w:rsid w:val="00B65C5C"/>
    <w:rsid w:val="00B66170"/>
    <w:rsid w:val="00B66209"/>
    <w:rsid w:val="00B66543"/>
    <w:rsid w:val="00B66C30"/>
    <w:rsid w:val="00B66E08"/>
    <w:rsid w:val="00B66FCF"/>
    <w:rsid w:val="00B67069"/>
    <w:rsid w:val="00B6728B"/>
    <w:rsid w:val="00B67543"/>
    <w:rsid w:val="00B70664"/>
    <w:rsid w:val="00B71918"/>
    <w:rsid w:val="00B71A1A"/>
    <w:rsid w:val="00B71A62"/>
    <w:rsid w:val="00B7209C"/>
    <w:rsid w:val="00B72108"/>
    <w:rsid w:val="00B72515"/>
    <w:rsid w:val="00B7263D"/>
    <w:rsid w:val="00B72E06"/>
    <w:rsid w:val="00B72FC0"/>
    <w:rsid w:val="00B732DB"/>
    <w:rsid w:val="00B73DDC"/>
    <w:rsid w:val="00B73FC9"/>
    <w:rsid w:val="00B749B9"/>
    <w:rsid w:val="00B74A86"/>
    <w:rsid w:val="00B74D31"/>
    <w:rsid w:val="00B75CA8"/>
    <w:rsid w:val="00B75FE8"/>
    <w:rsid w:val="00B7612E"/>
    <w:rsid w:val="00B761B9"/>
    <w:rsid w:val="00B77954"/>
    <w:rsid w:val="00B77A4B"/>
    <w:rsid w:val="00B80489"/>
    <w:rsid w:val="00B8053D"/>
    <w:rsid w:val="00B8055F"/>
    <w:rsid w:val="00B81164"/>
    <w:rsid w:val="00B8153D"/>
    <w:rsid w:val="00B81CB2"/>
    <w:rsid w:val="00B81D14"/>
    <w:rsid w:val="00B82B25"/>
    <w:rsid w:val="00B82F22"/>
    <w:rsid w:val="00B84126"/>
    <w:rsid w:val="00B84F7A"/>
    <w:rsid w:val="00B854D5"/>
    <w:rsid w:val="00B87285"/>
    <w:rsid w:val="00B901FF"/>
    <w:rsid w:val="00B90BCC"/>
    <w:rsid w:val="00B90D80"/>
    <w:rsid w:val="00B91903"/>
    <w:rsid w:val="00B91A47"/>
    <w:rsid w:val="00B934C6"/>
    <w:rsid w:val="00B93AFA"/>
    <w:rsid w:val="00B94455"/>
    <w:rsid w:val="00B9453B"/>
    <w:rsid w:val="00B94799"/>
    <w:rsid w:val="00B94EC8"/>
    <w:rsid w:val="00B95328"/>
    <w:rsid w:val="00B978E3"/>
    <w:rsid w:val="00B97D72"/>
    <w:rsid w:val="00BA0057"/>
    <w:rsid w:val="00BA078D"/>
    <w:rsid w:val="00BA07D4"/>
    <w:rsid w:val="00BA0BE4"/>
    <w:rsid w:val="00BA1106"/>
    <w:rsid w:val="00BA27C8"/>
    <w:rsid w:val="00BA2C21"/>
    <w:rsid w:val="00BA3347"/>
    <w:rsid w:val="00BA44E7"/>
    <w:rsid w:val="00BA4957"/>
    <w:rsid w:val="00BA49F6"/>
    <w:rsid w:val="00BA4E37"/>
    <w:rsid w:val="00BA5FCE"/>
    <w:rsid w:val="00BA631A"/>
    <w:rsid w:val="00BA692E"/>
    <w:rsid w:val="00BA6C89"/>
    <w:rsid w:val="00BA6D82"/>
    <w:rsid w:val="00BA6EB8"/>
    <w:rsid w:val="00BA75F0"/>
    <w:rsid w:val="00BA7D9E"/>
    <w:rsid w:val="00BA7E1C"/>
    <w:rsid w:val="00BA7EFD"/>
    <w:rsid w:val="00BB073C"/>
    <w:rsid w:val="00BB0CE8"/>
    <w:rsid w:val="00BB0F9F"/>
    <w:rsid w:val="00BB15CF"/>
    <w:rsid w:val="00BB1753"/>
    <w:rsid w:val="00BB2322"/>
    <w:rsid w:val="00BB26C3"/>
    <w:rsid w:val="00BB2910"/>
    <w:rsid w:val="00BB2AA5"/>
    <w:rsid w:val="00BB2B4E"/>
    <w:rsid w:val="00BB3C69"/>
    <w:rsid w:val="00BB4AFE"/>
    <w:rsid w:val="00BB5587"/>
    <w:rsid w:val="00BB69B1"/>
    <w:rsid w:val="00BB6B8F"/>
    <w:rsid w:val="00BB7DDC"/>
    <w:rsid w:val="00BC0525"/>
    <w:rsid w:val="00BC0665"/>
    <w:rsid w:val="00BC0755"/>
    <w:rsid w:val="00BC0915"/>
    <w:rsid w:val="00BC0979"/>
    <w:rsid w:val="00BC0EC5"/>
    <w:rsid w:val="00BC10ED"/>
    <w:rsid w:val="00BC1BE1"/>
    <w:rsid w:val="00BC1D8C"/>
    <w:rsid w:val="00BC2FF3"/>
    <w:rsid w:val="00BC4346"/>
    <w:rsid w:val="00BC43EA"/>
    <w:rsid w:val="00BC4866"/>
    <w:rsid w:val="00BC4DBB"/>
    <w:rsid w:val="00BC549C"/>
    <w:rsid w:val="00BC56BC"/>
    <w:rsid w:val="00BC5CC7"/>
    <w:rsid w:val="00BC62E3"/>
    <w:rsid w:val="00BC64D8"/>
    <w:rsid w:val="00BC64F9"/>
    <w:rsid w:val="00BC6800"/>
    <w:rsid w:val="00BC7268"/>
    <w:rsid w:val="00BC7269"/>
    <w:rsid w:val="00BC72F3"/>
    <w:rsid w:val="00BC7BC9"/>
    <w:rsid w:val="00BD005E"/>
    <w:rsid w:val="00BD0D93"/>
    <w:rsid w:val="00BD0ED5"/>
    <w:rsid w:val="00BD1A39"/>
    <w:rsid w:val="00BD27B5"/>
    <w:rsid w:val="00BD2800"/>
    <w:rsid w:val="00BD2D82"/>
    <w:rsid w:val="00BD3BF1"/>
    <w:rsid w:val="00BD4BB1"/>
    <w:rsid w:val="00BD4E71"/>
    <w:rsid w:val="00BD52A4"/>
    <w:rsid w:val="00BD5BF6"/>
    <w:rsid w:val="00BD61BB"/>
    <w:rsid w:val="00BD628E"/>
    <w:rsid w:val="00BD6D91"/>
    <w:rsid w:val="00BD7E8B"/>
    <w:rsid w:val="00BE2378"/>
    <w:rsid w:val="00BE2C52"/>
    <w:rsid w:val="00BE3137"/>
    <w:rsid w:val="00BE494F"/>
    <w:rsid w:val="00BE4BA5"/>
    <w:rsid w:val="00BE549B"/>
    <w:rsid w:val="00BE55EE"/>
    <w:rsid w:val="00BE5994"/>
    <w:rsid w:val="00BE63DE"/>
    <w:rsid w:val="00BE6AC2"/>
    <w:rsid w:val="00BE7178"/>
    <w:rsid w:val="00BF07B0"/>
    <w:rsid w:val="00BF0C13"/>
    <w:rsid w:val="00BF0C32"/>
    <w:rsid w:val="00BF12FD"/>
    <w:rsid w:val="00BF1916"/>
    <w:rsid w:val="00BF1BF9"/>
    <w:rsid w:val="00BF3549"/>
    <w:rsid w:val="00BF3A32"/>
    <w:rsid w:val="00BF3A3F"/>
    <w:rsid w:val="00BF3A55"/>
    <w:rsid w:val="00BF4569"/>
    <w:rsid w:val="00BF4AFB"/>
    <w:rsid w:val="00BF4EB1"/>
    <w:rsid w:val="00BF5B7B"/>
    <w:rsid w:val="00BF5E4C"/>
    <w:rsid w:val="00BF6510"/>
    <w:rsid w:val="00BF6B10"/>
    <w:rsid w:val="00BF6BAD"/>
    <w:rsid w:val="00BF729E"/>
    <w:rsid w:val="00BF74BB"/>
    <w:rsid w:val="00BF758B"/>
    <w:rsid w:val="00BF77D2"/>
    <w:rsid w:val="00BF7E36"/>
    <w:rsid w:val="00C012B9"/>
    <w:rsid w:val="00C019A9"/>
    <w:rsid w:val="00C0251A"/>
    <w:rsid w:val="00C03220"/>
    <w:rsid w:val="00C03B0B"/>
    <w:rsid w:val="00C03BFC"/>
    <w:rsid w:val="00C040CC"/>
    <w:rsid w:val="00C047AA"/>
    <w:rsid w:val="00C047FA"/>
    <w:rsid w:val="00C048E4"/>
    <w:rsid w:val="00C0501D"/>
    <w:rsid w:val="00C05270"/>
    <w:rsid w:val="00C052F1"/>
    <w:rsid w:val="00C05330"/>
    <w:rsid w:val="00C0587F"/>
    <w:rsid w:val="00C068E5"/>
    <w:rsid w:val="00C07E77"/>
    <w:rsid w:val="00C11038"/>
    <w:rsid w:val="00C11573"/>
    <w:rsid w:val="00C11D78"/>
    <w:rsid w:val="00C12DB0"/>
    <w:rsid w:val="00C13658"/>
    <w:rsid w:val="00C13836"/>
    <w:rsid w:val="00C13C9B"/>
    <w:rsid w:val="00C14740"/>
    <w:rsid w:val="00C159F4"/>
    <w:rsid w:val="00C15B1D"/>
    <w:rsid w:val="00C15DC9"/>
    <w:rsid w:val="00C1697D"/>
    <w:rsid w:val="00C16B32"/>
    <w:rsid w:val="00C1709F"/>
    <w:rsid w:val="00C17281"/>
    <w:rsid w:val="00C176DF"/>
    <w:rsid w:val="00C20658"/>
    <w:rsid w:val="00C212FE"/>
    <w:rsid w:val="00C21C85"/>
    <w:rsid w:val="00C22078"/>
    <w:rsid w:val="00C225D7"/>
    <w:rsid w:val="00C22CBF"/>
    <w:rsid w:val="00C233D3"/>
    <w:rsid w:val="00C23591"/>
    <w:rsid w:val="00C2455C"/>
    <w:rsid w:val="00C2461E"/>
    <w:rsid w:val="00C24C56"/>
    <w:rsid w:val="00C2511A"/>
    <w:rsid w:val="00C257DB"/>
    <w:rsid w:val="00C267BD"/>
    <w:rsid w:val="00C26932"/>
    <w:rsid w:val="00C26C8F"/>
    <w:rsid w:val="00C26DCB"/>
    <w:rsid w:val="00C278DE"/>
    <w:rsid w:val="00C279CB"/>
    <w:rsid w:val="00C300F3"/>
    <w:rsid w:val="00C3090D"/>
    <w:rsid w:val="00C313F3"/>
    <w:rsid w:val="00C31821"/>
    <w:rsid w:val="00C32210"/>
    <w:rsid w:val="00C32DC2"/>
    <w:rsid w:val="00C332B1"/>
    <w:rsid w:val="00C33528"/>
    <w:rsid w:val="00C33622"/>
    <w:rsid w:val="00C33CCA"/>
    <w:rsid w:val="00C35602"/>
    <w:rsid w:val="00C35890"/>
    <w:rsid w:val="00C366B2"/>
    <w:rsid w:val="00C36BE5"/>
    <w:rsid w:val="00C36FD4"/>
    <w:rsid w:val="00C370F5"/>
    <w:rsid w:val="00C37804"/>
    <w:rsid w:val="00C37A87"/>
    <w:rsid w:val="00C37E89"/>
    <w:rsid w:val="00C41193"/>
    <w:rsid w:val="00C41992"/>
    <w:rsid w:val="00C41A10"/>
    <w:rsid w:val="00C41B5E"/>
    <w:rsid w:val="00C41C6C"/>
    <w:rsid w:val="00C42381"/>
    <w:rsid w:val="00C4244C"/>
    <w:rsid w:val="00C425E9"/>
    <w:rsid w:val="00C4287B"/>
    <w:rsid w:val="00C42970"/>
    <w:rsid w:val="00C42995"/>
    <w:rsid w:val="00C42BC1"/>
    <w:rsid w:val="00C43405"/>
    <w:rsid w:val="00C437BF"/>
    <w:rsid w:val="00C43DAE"/>
    <w:rsid w:val="00C43FD4"/>
    <w:rsid w:val="00C44A87"/>
    <w:rsid w:val="00C45A15"/>
    <w:rsid w:val="00C463EC"/>
    <w:rsid w:val="00C46C68"/>
    <w:rsid w:val="00C47770"/>
    <w:rsid w:val="00C47866"/>
    <w:rsid w:val="00C51862"/>
    <w:rsid w:val="00C524F7"/>
    <w:rsid w:val="00C528CD"/>
    <w:rsid w:val="00C528F8"/>
    <w:rsid w:val="00C53C55"/>
    <w:rsid w:val="00C542FE"/>
    <w:rsid w:val="00C545D4"/>
    <w:rsid w:val="00C548E5"/>
    <w:rsid w:val="00C54A9F"/>
    <w:rsid w:val="00C555B2"/>
    <w:rsid w:val="00C55E89"/>
    <w:rsid w:val="00C55EDB"/>
    <w:rsid w:val="00C578CF"/>
    <w:rsid w:val="00C57D67"/>
    <w:rsid w:val="00C60B7B"/>
    <w:rsid w:val="00C60ECB"/>
    <w:rsid w:val="00C6119A"/>
    <w:rsid w:val="00C61989"/>
    <w:rsid w:val="00C61AB9"/>
    <w:rsid w:val="00C624F5"/>
    <w:rsid w:val="00C627CE"/>
    <w:rsid w:val="00C62832"/>
    <w:rsid w:val="00C62F61"/>
    <w:rsid w:val="00C6341E"/>
    <w:rsid w:val="00C63F2F"/>
    <w:rsid w:val="00C652F2"/>
    <w:rsid w:val="00C65A05"/>
    <w:rsid w:val="00C65A2F"/>
    <w:rsid w:val="00C65AA7"/>
    <w:rsid w:val="00C65AE1"/>
    <w:rsid w:val="00C668E6"/>
    <w:rsid w:val="00C66B00"/>
    <w:rsid w:val="00C67C35"/>
    <w:rsid w:val="00C70B57"/>
    <w:rsid w:val="00C70B7A"/>
    <w:rsid w:val="00C71024"/>
    <w:rsid w:val="00C71A73"/>
    <w:rsid w:val="00C71AE7"/>
    <w:rsid w:val="00C720D8"/>
    <w:rsid w:val="00C722A6"/>
    <w:rsid w:val="00C729D0"/>
    <w:rsid w:val="00C73342"/>
    <w:rsid w:val="00C73582"/>
    <w:rsid w:val="00C73C3F"/>
    <w:rsid w:val="00C74124"/>
    <w:rsid w:val="00C7459D"/>
    <w:rsid w:val="00C745A8"/>
    <w:rsid w:val="00C75579"/>
    <w:rsid w:val="00C758DD"/>
    <w:rsid w:val="00C7593F"/>
    <w:rsid w:val="00C7640C"/>
    <w:rsid w:val="00C76882"/>
    <w:rsid w:val="00C76C3A"/>
    <w:rsid w:val="00C77720"/>
    <w:rsid w:val="00C77B57"/>
    <w:rsid w:val="00C80A21"/>
    <w:rsid w:val="00C80D29"/>
    <w:rsid w:val="00C8191E"/>
    <w:rsid w:val="00C826A5"/>
    <w:rsid w:val="00C83888"/>
    <w:rsid w:val="00C83EA3"/>
    <w:rsid w:val="00C846FA"/>
    <w:rsid w:val="00C8528A"/>
    <w:rsid w:val="00C85509"/>
    <w:rsid w:val="00C86080"/>
    <w:rsid w:val="00C86A14"/>
    <w:rsid w:val="00C87303"/>
    <w:rsid w:val="00C878B2"/>
    <w:rsid w:val="00C90A22"/>
    <w:rsid w:val="00C91820"/>
    <w:rsid w:val="00C92958"/>
    <w:rsid w:val="00C93A28"/>
    <w:rsid w:val="00C940F0"/>
    <w:rsid w:val="00C94465"/>
    <w:rsid w:val="00C95930"/>
    <w:rsid w:val="00C96778"/>
    <w:rsid w:val="00C96793"/>
    <w:rsid w:val="00C9684D"/>
    <w:rsid w:val="00C96C3D"/>
    <w:rsid w:val="00C97638"/>
    <w:rsid w:val="00C97B73"/>
    <w:rsid w:val="00C97C5E"/>
    <w:rsid w:val="00CA0195"/>
    <w:rsid w:val="00CA08E0"/>
    <w:rsid w:val="00CA0AE9"/>
    <w:rsid w:val="00CA1633"/>
    <w:rsid w:val="00CA17AB"/>
    <w:rsid w:val="00CA1FBF"/>
    <w:rsid w:val="00CA229C"/>
    <w:rsid w:val="00CA2505"/>
    <w:rsid w:val="00CA25F8"/>
    <w:rsid w:val="00CA2CD1"/>
    <w:rsid w:val="00CA35E9"/>
    <w:rsid w:val="00CA38AC"/>
    <w:rsid w:val="00CA3A3B"/>
    <w:rsid w:val="00CA3E12"/>
    <w:rsid w:val="00CA43EB"/>
    <w:rsid w:val="00CA4830"/>
    <w:rsid w:val="00CA4F59"/>
    <w:rsid w:val="00CA54BA"/>
    <w:rsid w:val="00CA5BEB"/>
    <w:rsid w:val="00CA6A83"/>
    <w:rsid w:val="00CA6A92"/>
    <w:rsid w:val="00CA7FC3"/>
    <w:rsid w:val="00CB02AE"/>
    <w:rsid w:val="00CB03C2"/>
    <w:rsid w:val="00CB0919"/>
    <w:rsid w:val="00CB1555"/>
    <w:rsid w:val="00CB1B8F"/>
    <w:rsid w:val="00CB1C99"/>
    <w:rsid w:val="00CB1CD9"/>
    <w:rsid w:val="00CB1E67"/>
    <w:rsid w:val="00CB205A"/>
    <w:rsid w:val="00CB302E"/>
    <w:rsid w:val="00CB31E8"/>
    <w:rsid w:val="00CB354E"/>
    <w:rsid w:val="00CB39C6"/>
    <w:rsid w:val="00CB42AE"/>
    <w:rsid w:val="00CB45F2"/>
    <w:rsid w:val="00CB46CA"/>
    <w:rsid w:val="00CB46E1"/>
    <w:rsid w:val="00CB5793"/>
    <w:rsid w:val="00CB5887"/>
    <w:rsid w:val="00CB6B35"/>
    <w:rsid w:val="00CB7041"/>
    <w:rsid w:val="00CB754F"/>
    <w:rsid w:val="00CB7697"/>
    <w:rsid w:val="00CC001B"/>
    <w:rsid w:val="00CC0526"/>
    <w:rsid w:val="00CC0E4B"/>
    <w:rsid w:val="00CC1479"/>
    <w:rsid w:val="00CC2304"/>
    <w:rsid w:val="00CC2344"/>
    <w:rsid w:val="00CC234D"/>
    <w:rsid w:val="00CC250C"/>
    <w:rsid w:val="00CC25EC"/>
    <w:rsid w:val="00CC3DFC"/>
    <w:rsid w:val="00CC3E56"/>
    <w:rsid w:val="00CC3FE6"/>
    <w:rsid w:val="00CC46F2"/>
    <w:rsid w:val="00CC54A1"/>
    <w:rsid w:val="00CC6097"/>
    <w:rsid w:val="00CC6C74"/>
    <w:rsid w:val="00CC728F"/>
    <w:rsid w:val="00CC76CB"/>
    <w:rsid w:val="00CC7E3B"/>
    <w:rsid w:val="00CC7F9E"/>
    <w:rsid w:val="00CD0766"/>
    <w:rsid w:val="00CD079B"/>
    <w:rsid w:val="00CD1805"/>
    <w:rsid w:val="00CD20BF"/>
    <w:rsid w:val="00CD26CC"/>
    <w:rsid w:val="00CD2868"/>
    <w:rsid w:val="00CD2E33"/>
    <w:rsid w:val="00CD3E3A"/>
    <w:rsid w:val="00CD4536"/>
    <w:rsid w:val="00CD4562"/>
    <w:rsid w:val="00CD4798"/>
    <w:rsid w:val="00CD56A1"/>
    <w:rsid w:val="00CD57BF"/>
    <w:rsid w:val="00CD6123"/>
    <w:rsid w:val="00CD6600"/>
    <w:rsid w:val="00CD6654"/>
    <w:rsid w:val="00CD6B92"/>
    <w:rsid w:val="00CD6F8B"/>
    <w:rsid w:val="00CD76A2"/>
    <w:rsid w:val="00CD7FA7"/>
    <w:rsid w:val="00CE008E"/>
    <w:rsid w:val="00CE01FF"/>
    <w:rsid w:val="00CE10A8"/>
    <w:rsid w:val="00CE16FE"/>
    <w:rsid w:val="00CE2891"/>
    <w:rsid w:val="00CE2986"/>
    <w:rsid w:val="00CE3205"/>
    <w:rsid w:val="00CE323F"/>
    <w:rsid w:val="00CE32A9"/>
    <w:rsid w:val="00CE33E1"/>
    <w:rsid w:val="00CE447D"/>
    <w:rsid w:val="00CE4922"/>
    <w:rsid w:val="00CE4C5F"/>
    <w:rsid w:val="00CE4E81"/>
    <w:rsid w:val="00CE4F79"/>
    <w:rsid w:val="00CE5507"/>
    <w:rsid w:val="00CE5DAA"/>
    <w:rsid w:val="00CE65CD"/>
    <w:rsid w:val="00CE74AE"/>
    <w:rsid w:val="00CE7707"/>
    <w:rsid w:val="00CE7DCD"/>
    <w:rsid w:val="00CF0440"/>
    <w:rsid w:val="00CF0A65"/>
    <w:rsid w:val="00CF14FF"/>
    <w:rsid w:val="00CF183A"/>
    <w:rsid w:val="00CF1AFD"/>
    <w:rsid w:val="00CF1CAB"/>
    <w:rsid w:val="00CF2467"/>
    <w:rsid w:val="00CF2671"/>
    <w:rsid w:val="00CF2B85"/>
    <w:rsid w:val="00CF2C66"/>
    <w:rsid w:val="00CF39A5"/>
    <w:rsid w:val="00CF3DA0"/>
    <w:rsid w:val="00CF4611"/>
    <w:rsid w:val="00CF5D25"/>
    <w:rsid w:val="00CF5E1B"/>
    <w:rsid w:val="00CF65C8"/>
    <w:rsid w:val="00D007BF"/>
    <w:rsid w:val="00D00CC6"/>
    <w:rsid w:val="00D01311"/>
    <w:rsid w:val="00D01B1D"/>
    <w:rsid w:val="00D02173"/>
    <w:rsid w:val="00D0252A"/>
    <w:rsid w:val="00D028B9"/>
    <w:rsid w:val="00D02E41"/>
    <w:rsid w:val="00D0373F"/>
    <w:rsid w:val="00D037A6"/>
    <w:rsid w:val="00D04604"/>
    <w:rsid w:val="00D04812"/>
    <w:rsid w:val="00D04D02"/>
    <w:rsid w:val="00D056D4"/>
    <w:rsid w:val="00D05B47"/>
    <w:rsid w:val="00D05D1E"/>
    <w:rsid w:val="00D05D39"/>
    <w:rsid w:val="00D05FA4"/>
    <w:rsid w:val="00D072F3"/>
    <w:rsid w:val="00D0784F"/>
    <w:rsid w:val="00D0797A"/>
    <w:rsid w:val="00D109E2"/>
    <w:rsid w:val="00D11031"/>
    <w:rsid w:val="00D117DF"/>
    <w:rsid w:val="00D11E20"/>
    <w:rsid w:val="00D12198"/>
    <w:rsid w:val="00D12863"/>
    <w:rsid w:val="00D12F95"/>
    <w:rsid w:val="00D1341F"/>
    <w:rsid w:val="00D13958"/>
    <w:rsid w:val="00D14CDB"/>
    <w:rsid w:val="00D15047"/>
    <w:rsid w:val="00D1583F"/>
    <w:rsid w:val="00D15C7D"/>
    <w:rsid w:val="00D16484"/>
    <w:rsid w:val="00D16517"/>
    <w:rsid w:val="00D1748E"/>
    <w:rsid w:val="00D17E5A"/>
    <w:rsid w:val="00D2044A"/>
    <w:rsid w:val="00D20C3F"/>
    <w:rsid w:val="00D21101"/>
    <w:rsid w:val="00D21181"/>
    <w:rsid w:val="00D21274"/>
    <w:rsid w:val="00D213B2"/>
    <w:rsid w:val="00D21B90"/>
    <w:rsid w:val="00D21EE9"/>
    <w:rsid w:val="00D22682"/>
    <w:rsid w:val="00D227BB"/>
    <w:rsid w:val="00D229D3"/>
    <w:rsid w:val="00D23839"/>
    <w:rsid w:val="00D23EC3"/>
    <w:rsid w:val="00D242F2"/>
    <w:rsid w:val="00D24340"/>
    <w:rsid w:val="00D243D1"/>
    <w:rsid w:val="00D244F3"/>
    <w:rsid w:val="00D24A80"/>
    <w:rsid w:val="00D24DA7"/>
    <w:rsid w:val="00D2545A"/>
    <w:rsid w:val="00D26542"/>
    <w:rsid w:val="00D26821"/>
    <w:rsid w:val="00D26A97"/>
    <w:rsid w:val="00D274E9"/>
    <w:rsid w:val="00D27DF1"/>
    <w:rsid w:val="00D3000B"/>
    <w:rsid w:val="00D30217"/>
    <w:rsid w:val="00D30EB4"/>
    <w:rsid w:val="00D31009"/>
    <w:rsid w:val="00D316FF"/>
    <w:rsid w:val="00D31DB7"/>
    <w:rsid w:val="00D321D6"/>
    <w:rsid w:val="00D3239E"/>
    <w:rsid w:val="00D32E3E"/>
    <w:rsid w:val="00D33DC3"/>
    <w:rsid w:val="00D34747"/>
    <w:rsid w:val="00D34A17"/>
    <w:rsid w:val="00D352AA"/>
    <w:rsid w:val="00D35366"/>
    <w:rsid w:val="00D36DBA"/>
    <w:rsid w:val="00D40488"/>
    <w:rsid w:val="00D40897"/>
    <w:rsid w:val="00D41284"/>
    <w:rsid w:val="00D41AC2"/>
    <w:rsid w:val="00D41CA6"/>
    <w:rsid w:val="00D42C33"/>
    <w:rsid w:val="00D432D0"/>
    <w:rsid w:val="00D437F4"/>
    <w:rsid w:val="00D43AC4"/>
    <w:rsid w:val="00D43D51"/>
    <w:rsid w:val="00D43DD1"/>
    <w:rsid w:val="00D440AB"/>
    <w:rsid w:val="00D4429E"/>
    <w:rsid w:val="00D44413"/>
    <w:rsid w:val="00D45814"/>
    <w:rsid w:val="00D45B1A"/>
    <w:rsid w:val="00D4654E"/>
    <w:rsid w:val="00D4694C"/>
    <w:rsid w:val="00D46D30"/>
    <w:rsid w:val="00D46E99"/>
    <w:rsid w:val="00D503E0"/>
    <w:rsid w:val="00D506D3"/>
    <w:rsid w:val="00D5073E"/>
    <w:rsid w:val="00D512D8"/>
    <w:rsid w:val="00D51524"/>
    <w:rsid w:val="00D5157F"/>
    <w:rsid w:val="00D51B26"/>
    <w:rsid w:val="00D523E0"/>
    <w:rsid w:val="00D533C4"/>
    <w:rsid w:val="00D53C39"/>
    <w:rsid w:val="00D540F5"/>
    <w:rsid w:val="00D5467B"/>
    <w:rsid w:val="00D55411"/>
    <w:rsid w:val="00D55C9B"/>
    <w:rsid w:val="00D562EF"/>
    <w:rsid w:val="00D56610"/>
    <w:rsid w:val="00D56910"/>
    <w:rsid w:val="00D56DA1"/>
    <w:rsid w:val="00D56FEF"/>
    <w:rsid w:val="00D57A1C"/>
    <w:rsid w:val="00D57D18"/>
    <w:rsid w:val="00D601E8"/>
    <w:rsid w:val="00D6024F"/>
    <w:rsid w:val="00D609E9"/>
    <w:rsid w:val="00D61AB3"/>
    <w:rsid w:val="00D61DDE"/>
    <w:rsid w:val="00D6301F"/>
    <w:rsid w:val="00D64D79"/>
    <w:rsid w:val="00D66E30"/>
    <w:rsid w:val="00D6751A"/>
    <w:rsid w:val="00D67652"/>
    <w:rsid w:val="00D67AC4"/>
    <w:rsid w:val="00D67F75"/>
    <w:rsid w:val="00D713C8"/>
    <w:rsid w:val="00D72057"/>
    <w:rsid w:val="00D72786"/>
    <w:rsid w:val="00D729C2"/>
    <w:rsid w:val="00D74737"/>
    <w:rsid w:val="00D74808"/>
    <w:rsid w:val="00D74831"/>
    <w:rsid w:val="00D74CCF"/>
    <w:rsid w:val="00D76643"/>
    <w:rsid w:val="00D776D2"/>
    <w:rsid w:val="00D778F9"/>
    <w:rsid w:val="00D77B25"/>
    <w:rsid w:val="00D77BC1"/>
    <w:rsid w:val="00D80394"/>
    <w:rsid w:val="00D80623"/>
    <w:rsid w:val="00D80C97"/>
    <w:rsid w:val="00D81154"/>
    <w:rsid w:val="00D8178E"/>
    <w:rsid w:val="00D81FF4"/>
    <w:rsid w:val="00D82674"/>
    <w:rsid w:val="00D82B07"/>
    <w:rsid w:val="00D82F95"/>
    <w:rsid w:val="00D8383E"/>
    <w:rsid w:val="00D84A05"/>
    <w:rsid w:val="00D85038"/>
    <w:rsid w:val="00D85628"/>
    <w:rsid w:val="00D8680C"/>
    <w:rsid w:val="00D868FD"/>
    <w:rsid w:val="00D86F74"/>
    <w:rsid w:val="00D87C0A"/>
    <w:rsid w:val="00D91905"/>
    <w:rsid w:val="00D9302C"/>
    <w:rsid w:val="00D93892"/>
    <w:rsid w:val="00D941EB"/>
    <w:rsid w:val="00D94F86"/>
    <w:rsid w:val="00D954C5"/>
    <w:rsid w:val="00D954DF"/>
    <w:rsid w:val="00D9580E"/>
    <w:rsid w:val="00D97243"/>
    <w:rsid w:val="00D972E5"/>
    <w:rsid w:val="00D974AF"/>
    <w:rsid w:val="00D9762E"/>
    <w:rsid w:val="00D97FBA"/>
    <w:rsid w:val="00DA0211"/>
    <w:rsid w:val="00DA0631"/>
    <w:rsid w:val="00DA0D38"/>
    <w:rsid w:val="00DA176B"/>
    <w:rsid w:val="00DA1E55"/>
    <w:rsid w:val="00DA2094"/>
    <w:rsid w:val="00DA2E22"/>
    <w:rsid w:val="00DA2FBD"/>
    <w:rsid w:val="00DA3C12"/>
    <w:rsid w:val="00DA4452"/>
    <w:rsid w:val="00DA4F87"/>
    <w:rsid w:val="00DA5657"/>
    <w:rsid w:val="00DA5A99"/>
    <w:rsid w:val="00DA6038"/>
    <w:rsid w:val="00DA6047"/>
    <w:rsid w:val="00DA630B"/>
    <w:rsid w:val="00DA6918"/>
    <w:rsid w:val="00DA7702"/>
    <w:rsid w:val="00DB01CD"/>
    <w:rsid w:val="00DB0A02"/>
    <w:rsid w:val="00DB0E31"/>
    <w:rsid w:val="00DB1F50"/>
    <w:rsid w:val="00DB25CE"/>
    <w:rsid w:val="00DB2BFE"/>
    <w:rsid w:val="00DB3034"/>
    <w:rsid w:val="00DB39F6"/>
    <w:rsid w:val="00DB48C1"/>
    <w:rsid w:val="00DB4B47"/>
    <w:rsid w:val="00DB4FBE"/>
    <w:rsid w:val="00DB5632"/>
    <w:rsid w:val="00DB761C"/>
    <w:rsid w:val="00DC083F"/>
    <w:rsid w:val="00DC09B4"/>
    <w:rsid w:val="00DC0C22"/>
    <w:rsid w:val="00DC0D98"/>
    <w:rsid w:val="00DC0DF5"/>
    <w:rsid w:val="00DC1154"/>
    <w:rsid w:val="00DC1288"/>
    <w:rsid w:val="00DC14E5"/>
    <w:rsid w:val="00DC1518"/>
    <w:rsid w:val="00DC2806"/>
    <w:rsid w:val="00DC2E02"/>
    <w:rsid w:val="00DC322D"/>
    <w:rsid w:val="00DC34B5"/>
    <w:rsid w:val="00DC3A84"/>
    <w:rsid w:val="00DC4920"/>
    <w:rsid w:val="00DC5811"/>
    <w:rsid w:val="00DC604F"/>
    <w:rsid w:val="00DC6E8C"/>
    <w:rsid w:val="00DC75C1"/>
    <w:rsid w:val="00DC7808"/>
    <w:rsid w:val="00DC7CFA"/>
    <w:rsid w:val="00DC7EA4"/>
    <w:rsid w:val="00DD10E1"/>
    <w:rsid w:val="00DD1680"/>
    <w:rsid w:val="00DD1E11"/>
    <w:rsid w:val="00DD240E"/>
    <w:rsid w:val="00DD2633"/>
    <w:rsid w:val="00DD26EC"/>
    <w:rsid w:val="00DD2948"/>
    <w:rsid w:val="00DD3612"/>
    <w:rsid w:val="00DD3659"/>
    <w:rsid w:val="00DD3B47"/>
    <w:rsid w:val="00DD3D6C"/>
    <w:rsid w:val="00DD432F"/>
    <w:rsid w:val="00DD4E67"/>
    <w:rsid w:val="00DD5B8D"/>
    <w:rsid w:val="00DD5F97"/>
    <w:rsid w:val="00DD68CD"/>
    <w:rsid w:val="00DE037F"/>
    <w:rsid w:val="00DE140F"/>
    <w:rsid w:val="00DE262B"/>
    <w:rsid w:val="00DE2B98"/>
    <w:rsid w:val="00DE3164"/>
    <w:rsid w:val="00DE380A"/>
    <w:rsid w:val="00DE4475"/>
    <w:rsid w:val="00DE44C2"/>
    <w:rsid w:val="00DE5968"/>
    <w:rsid w:val="00DE5EB3"/>
    <w:rsid w:val="00DE6783"/>
    <w:rsid w:val="00DE6E50"/>
    <w:rsid w:val="00DE6F8F"/>
    <w:rsid w:val="00DE7F96"/>
    <w:rsid w:val="00DF05E9"/>
    <w:rsid w:val="00DF0796"/>
    <w:rsid w:val="00DF0884"/>
    <w:rsid w:val="00DF235F"/>
    <w:rsid w:val="00DF2824"/>
    <w:rsid w:val="00DF303F"/>
    <w:rsid w:val="00DF544A"/>
    <w:rsid w:val="00DF6412"/>
    <w:rsid w:val="00DF6735"/>
    <w:rsid w:val="00DF69AF"/>
    <w:rsid w:val="00DF7147"/>
    <w:rsid w:val="00E009D1"/>
    <w:rsid w:val="00E00B8B"/>
    <w:rsid w:val="00E00B91"/>
    <w:rsid w:val="00E00D27"/>
    <w:rsid w:val="00E00D3B"/>
    <w:rsid w:val="00E00F51"/>
    <w:rsid w:val="00E0162B"/>
    <w:rsid w:val="00E026AE"/>
    <w:rsid w:val="00E03B04"/>
    <w:rsid w:val="00E04A72"/>
    <w:rsid w:val="00E05464"/>
    <w:rsid w:val="00E057FC"/>
    <w:rsid w:val="00E05A62"/>
    <w:rsid w:val="00E0646A"/>
    <w:rsid w:val="00E07348"/>
    <w:rsid w:val="00E0781D"/>
    <w:rsid w:val="00E10650"/>
    <w:rsid w:val="00E10B00"/>
    <w:rsid w:val="00E10D15"/>
    <w:rsid w:val="00E10DE9"/>
    <w:rsid w:val="00E10E92"/>
    <w:rsid w:val="00E1113D"/>
    <w:rsid w:val="00E117C4"/>
    <w:rsid w:val="00E11CFC"/>
    <w:rsid w:val="00E14B1A"/>
    <w:rsid w:val="00E1556C"/>
    <w:rsid w:val="00E15803"/>
    <w:rsid w:val="00E15AF2"/>
    <w:rsid w:val="00E15FAA"/>
    <w:rsid w:val="00E16151"/>
    <w:rsid w:val="00E16465"/>
    <w:rsid w:val="00E167F6"/>
    <w:rsid w:val="00E16F73"/>
    <w:rsid w:val="00E20F3F"/>
    <w:rsid w:val="00E2206B"/>
    <w:rsid w:val="00E221AA"/>
    <w:rsid w:val="00E223E7"/>
    <w:rsid w:val="00E224D8"/>
    <w:rsid w:val="00E225CF"/>
    <w:rsid w:val="00E23578"/>
    <w:rsid w:val="00E23614"/>
    <w:rsid w:val="00E236C0"/>
    <w:rsid w:val="00E241A1"/>
    <w:rsid w:val="00E241A8"/>
    <w:rsid w:val="00E246B4"/>
    <w:rsid w:val="00E25481"/>
    <w:rsid w:val="00E2580D"/>
    <w:rsid w:val="00E26843"/>
    <w:rsid w:val="00E2782F"/>
    <w:rsid w:val="00E2788F"/>
    <w:rsid w:val="00E3067A"/>
    <w:rsid w:val="00E31009"/>
    <w:rsid w:val="00E31171"/>
    <w:rsid w:val="00E3167A"/>
    <w:rsid w:val="00E31780"/>
    <w:rsid w:val="00E31893"/>
    <w:rsid w:val="00E31E56"/>
    <w:rsid w:val="00E32C55"/>
    <w:rsid w:val="00E33851"/>
    <w:rsid w:val="00E33867"/>
    <w:rsid w:val="00E340E7"/>
    <w:rsid w:val="00E342C1"/>
    <w:rsid w:val="00E3435A"/>
    <w:rsid w:val="00E3478E"/>
    <w:rsid w:val="00E35C9D"/>
    <w:rsid w:val="00E35DD5"/>
    <w:rsid w:val="00E360FB"/>
    <w:rsid w:val="00E363CA"/>
    <w:rsid w:val="00E3652B"/>
    <w:rsid w:val="00E37AEA"/>
    <w:rsid w:val="00E42854"/>
    <w:rsid w:val="00E42BF0"/>
    <w:rsid w:val="00E4399A"/>
    <w:rsid w:val="00E45F4F"/>
    <w:rsid w:val="00E46A52"/>
    <w:rsid w:val="00E46D54"/>
    <w:rsid w:val="00E46F38"/>
    <w:rsid w:val="00E47A60"/>
    <w:rsid w:val="00E5096E"/>
    <w:rsid w:val="00E517A3"/>
    <w:rsid w:val="00E5191F"/>
    <w:rsid w:val="00E51A13"/>
    <w:rsid w:val="00E51DD8"/>
    <w:rsid w:val="00E528E2"/>
    <w:rsid w:val="00E52A6A"/>
    <w:rsid w:val="00E53509"/>
    <w:rsid w:val="00E53D4D"/>
    <w:rsid w:val="00E54208"/>
    <w:rsid w:val="00E54637"/>
    <w:rsid w:val="00E55C72"/>
    <w:rsid w:val="00E55D14"/>
    <w:rsid w:val="00E56176"/>
    <w:rsid w:val="00E57C21"/>
    <w:rsid w:val="00E609E9"/>
    <w:rsid w:val="00E617F5"/>
    <w:rsid w:val="00E61E71"/>
    <w:rsid w:val="00E620B4"/>
    <w:rsid w:val="00E625C4"/>
    <w:rsid w:val="00E632A9"/>
    <w:rsid w:val="00E63792"/>
    <w:rsid w:val="00E64B48"/>
    <w:rsid w:val="00E64D4C"/>
    <w:rsid w:val="00E651BD"/>
    <w:rsid w:val="00E65745"/>
    <w:rsid w:val="00E66970"/>
    <w:rsid w:val="00E671B8"/>
    <w:rsid w:val="00E671BB"/>
    <w:rsid w:val="00E67799"/>
    <w:rsid w:val="00E67B1C"/>
    <w:rsid w:val="00E7003C"/>
    <w:rsid w:val="00E708D2"/>
    <w:rsid w:val="00E70B83"/>
    <w:rsid w:val="00E70E43"/>
    <w:rsid w:val="00E71527"/>
    <w:rsid w:val="00E7176D"/>
    <w:rsid w:val="00E71C99"/>
    <w:rsid w:val="00E72184"/>
    <w:rsid w:val="00E72367"/>
    <w:rsid w:val="00E725F5"/>
    <w:rsid w:val="00E73250"/>
    <w:rsid w:val="00E73417"/>
    <w:rsid w:val="00E739C3"/>
    <w:rsid w:val="00E73EBB"/>
    <w:rsid w:val="00E73F08"/>
    <w:rsid w:val="00E74597"/>
    <w:rsid w:val="00E74740"/>
    <w:rsid w:val="00E757F4"/>
    <w:rsid w:val="00E76ED2"/>
    <w:rsid w:val="00E76EF4"/>
    <w:rsid w:val="00E7721C"/>
    <w:rsid w:val="00E80166"/>
    <w:rsid w:val="00E8042B"/>
    <w:rsid w:val="00E80A58"/>
    <w:rsid w:val="00E81904"/>
    <w:rsid w:val="00E81DC1"/>
    <w:rsid w:val="00E82421"/>
    <w:rsid w:val="00E83D3C"/>
    <w:rsid w:val="00E8451C"/>
    <w:rsid w:val="00E8460B"/>
    <w:rsid w:val="00E855EF"/>
    <w:rsid w:val="00E85948"/>
    <w:rsid w:val="00E86179"/>
    <w:rsid w:val="00E86396"/>
    <w:rsid w:val="00E867C8"/>
    <w:rsid w:val="00E869B2"/>
    <w:rsid w:val="00E8793D"/>
    <w:rsid w:val="00E87B39"/>
    <w:rsid w:val="00E9143F"/>
    <w:rsid w:val="00E915F4"/>
    <w:rsid w:val="00E91811"/>
    <w:rsid w:val="00E92702"/>
    <w:rsid w:val="00E92930"/>
    <w:rsid w:val="00E92EB8"/>
    <w:rsid w:val="00E9428C"/>
    <w:rsid w:val="00E94629"/>
    <w:rsid w:val="00E94C8E"/>
    <w:rsid w:val="00E95529"/>
    <w:rsid w:val="00E9618D"/>
    <w:rsid w:val="00E96329"/>
    <w:rsid w:val="00E96CEF"/>
    <w:rsid w:val="00E970CE"/>
    <w:rsid w:val="00E9716D"/>
    <w:rsid w:val="00E972E5"/>
    <w:rsid w:val="00EA049D"/>
    <w:rsid w:val="00EA0570"/>
    <w:rsid w:val="00EA0B0A"/>
    <w:rsid w:val="00EA1431"/>
    <w:rsid w:val="00EA14D5"/>
    <w:rsid w:val="00EA2C1E"/>
    <w:rsid w:val="00EA2C29"/>
    <w:rsid w:val="00EA3995"/>
    <w:rsid w:val="00EA3B49"/>
    <w:rsid w:val="00EA3D2D"/>
    <w:rsid w:val="00EA4192"/>
    <w:rsid w:val="00EA4317"/>
    <w:rsid w:val="00EA4515"/>
    <w:rsid w:val="00EA530D"/>
    <w:rsid w:val="00EA658F"/>
    <w:rsid w:val="00EA7A3C"/>
    <w:rsid w:val="00EA7EC0"/>
    <w:rsid w:val="00EB04B2"/>
    <w:rsid w:val="00EB2DC9"/>
    <w:rsid w:val="00EB32FC"/>
    <w:rsid w:val="00EB3D94"/>
    <w:rsid w:val="00EB3F41"/>
    <w:rsid w:val="00EB5832"/>
    <w:rsid w:val="00EB5A85"/>
    <w:rsid w:val="00EB70A3"/>
    <w:rsid w:val="00EB71FF"/>
    <w:rsid w:val="00EB7576"/>
    <w:rsid w:val="00EB7A1D"/>
    <w:rsid w:val="00EC049D"/>
    <w:rsid w:val="00EC0D6A"/>
    <w:rsid w:val="00EC0FCC"/>
    <w:rsid w:val="00EC1D4B"/>
    <w:rsid w:val="00EC21A2"/>
    <w:rsid w:val="00EC22BE"/>
    <w:rsid w:val="00EC2EB6"/>
    <w:rsid w:val="00EC3695"/>
    <w:rsid w:val="00EC3790"/>
    <w:rsid w:val="00EC37A1"/>
    <w:rsid w:val="00EC38FC"/>
    <w:rsid w:val="00EC3E20"/>
    <w:rsid w:val="00EC40B5"/>
    <w:rsid w:val="00EC4122"/>
    <w:rsid w:val="00EC4E57"/>
    <w:rsid w:val="00EC5426"/>
    <w:rsid w:val="00EC54D8"/>
    <w:rsid w:val="00EC5AD3"/>
    <w:rsid w:val="00EC6037"/>
    <w:rsid w:val="00EC6100"/>
    <w:rsid w:val="00EC639C"/>
    <w:rsid w:val="00EC7285"/>
    <w:rsid w:val="00EC7AF1"/>
    <w:rsid w:val="00ED0691"/>
    <w:rsid w:val="00ED0B09"/>
    <w:rsid w:val="00ED15E3"/>
    <w:rsid w:val="00ED28EA"/>
    <w:rsid w:val="00ED3B28"/>
    <w:rsid w:val="00ED42E1"/>
    <w:rsid w:val="00ED595E"/>
    <w:rsid w:val="00ED5EB9"/>
    <w:rsid w:val="00ED6842"/>
    <w:rsid w:val="00ED6C9D"/>
    <w:rsid w:val="00ED6E00"/>
    <w:rsid w:val="00ED72C3"/>
    <w:rsid w:val="00ED7400"/>
    <w:rsid w:val="00ED7608"/>
    <w:rsid w:val="00ED7B60"/>
    <w:rsid w:val="00ED7DA2"/>
    <w:rsid w:val="00ED7F65"/>
    <w:rsid w:val="00EE0AE3"/>
    <w:rsid w:val="00EE0C51"/>
    <w:rsid w:val="00EE0CA3"/>
    <w:rsid w:val="00EE13B5"/>
    <w:rsid w:val="00EE180A"/>
    <w:rsid w:val="00EE2128"/>
    <w:rsid w:val="00EE2424"/>
    <w:rsid w:val="00EE2DDF"/>
    <w:rsid w:val="00EE2E48"/>
    <w:rsid w:val="00EE2FFD"/>
    <w:rsid w:val="00EE5D1B"/>
    <w:rsid w:val="00EE5DFE"/>
    <w:rsid w:val="00EE61CD"/>
    <w:rsid w:val="00EE61F1"/>
    <w:rsid w:val="00EE679E"/>
    <w:rsid w:val="00EE6A14"/>
    <w:rsid w:val="00EE6DCF"/>
    <w:rsid w:val="00EE6F3C"/>
    <w:rsid w:val="00EE7784"/>
    <w:rsid w:val="00EE7A30"/>
    <w:rsid w:val="00EF059B"/>
    <w:rsid w:val="00EF0CD2"/>
    <w:rsid w:val="00EF15F9"/>
    <w:rsid w:val="00EF1975"/>
    <w:rsid w:val="00EF263D"/>
    <w:rsid w:val="00EF2999"/>
    <w:rsid w:val="00EF304A"/>
    <w:rsid w:val="00EF32A5"/>
    <w:rsid w:val="00EF37E9"/>
    <w:rsid w:val="00EF45B2"/>
    <w:rsid w:val="00EF4E72"/>
    <w:rsid w:val="00EF5D06"/>
    <w:rsid w:val="00EF5D1F"/>
    <w:rsid w:val="00EF61D2"/>
    <w:rsid w:val="00EF634B"/>
    <w:rsid w:val="00EF6C28"/>
    <w:rsid w:val="00EF6F94"/>
    <w:rsid w:val="00EF719F"/>
    <w:rsid w:val="00EF72B8"/>
    <w:rsid w:val="00EF7B3B"/>
    <w:rsid w:val="00F00040"/>
    <w:rsid w:val="00F00154"/>
    <w:rsid w:val="00F008CC"/>
    <w:rsid w:val="00F0108B"/>
    <w:rsid w:val="00F0183C"/>
    <w:rsid w:val="00F01F61"/>
    <w:rsid w:val="00F0294E"/>
    <w:rsid w:val="00F02E7A"/>
    <w:rsid w:val="00F05000"/>
    <w:rsid w:val="00F056C5"/>
    <w:rsid w:val="00F05F0F"/>
    <w:rsid w:val="00F06884"/>
    <w:rsid w:val="00F06F1A"/>
    <w:rsid w:val="00F06FC8"/>
    <w:rsid w:val="00F073D9"/>
    <w:rsid w:val="00F0742E"/>
    <w:rsid w:val="00F074B4"/>
    <w:rsid w:val="00F074DD"/>
    <w:rsid w:val="00F101A6"/>
    <w:rsid w:val="00F10FF7"/>
    <w:rsid w:val="00F1162A"/>
    <w:rsid w:val="00F129B0"/>
    <w:rsid w:val="00F13441"/>
    <w:rsid w:val="00F134FD"/>
    <w:rsid w:val="00F14819"/>
    <w:rsid w:val="00F14AE9"/>
    <w:rsid w:val="00F1551C"/>
    <w:rsid w:val="00F16105"/>
    <w:rsid w:val="00F16384"/>
    <w:rsid w:val="00F166D0"/>
    <w:rsid w:val="00F1731C"/>
    <w:rsid w:val="00F17450"/>
    <w:rsid w:val="00F17A79"/>
    <w:rsid w:val="00F17AB2"/>
    <w:rsid w:val="00F21D2E"/>
    <w:rsid w:val="00F22464"/>
    <w:rsid w:val="00F22579"/>
    <w:rsid w:val="00F22CE6"/>
    <w:rsid w:val="00F22FD8"/>
    <w:rsid w:val="00F23CCB"/>
    <w:rsid w:val="00F24FAA"/>
    <w:rsid w:val="00F255F8"/>
    <w:rsid w:val="00F26022"/>
    <w:rsid w:val="00F268FC"/>
    <w:rsid w:val="00F30486"/>
    <w:rsid w:val="00F309F2"/>
    <w:rsid w:val="00F317F6"/>
    <w:rsid w:val="00F31E7B"/>
    <w:rsid w:val="00F32404"/>
    <w:rsid w:val="00F3248F"/>
    <w:rsid w:val="00F32EE2"/>
    <w:rsid w:val="00F336C7"/>
    <w:rsid w:val="00F33908"/>
    <w:rsid w:val="00F33E5A"/>
    <w:rsid w:val="00F344FD"/>
    <w:rsid w:val="00F353BD"/>
    <w:rsid w:val="00F359A6"/>
    <w:rsid w:val="00F361A8"/>
    <w:rsid w:val="00F36E8C"/>
    <w:rsid w:val="00F403E2"/>
    <w:rsid w:val="00F40EA5"/>
    <w:rsid w:val="00F4106E"/>
    <w:rsid w:val="00F41634"/>
    <w:rsid w:val="00F419D7"/>
    <w:rsid w:val="00F420F5"/>
    <w:rsid w:val="00F4281C"/>
    <w:rsid w:val="00F42B7D"/>
    <w:rsid w:val="00F4349C"/>
    <w:rsid w:val="00F44FFC"/>
    <w:rsid w:val="00F4501B"/>
    <w:rsid w:val="00F450BD"/>
    <w:rsid w:val="00F45A08"/>
    <w:rsid w:val="00F464B2"/>
    <w:rsid w:val="00F46715"/>
    <w:rsid w:val="00F470CF"/>
    <w:rsid w:val="00F471D7"/>
    <w:rsid w:val="00F47EF4"/>
    <w:rsid w:val="00F5103D"/>
    <w:rsid w:val="00F51616"/>
    <w:rsid w:val="00F51A62"/>
    <w:rsid w:val="00F526D4"/>
    <w:rsid w:val="00F52CD8"/>
    <w:rsid w:val="00F537C4"/>
    <w:rsid w:val="00F5396F"/>
    <w:rsid w:val="00F53AFA"/>
    <w:rsid w:val="00F53C60"/>
    <w:rsid w:val="00F5415C"/>
    <w:rsid w:val="00F54403"/>
    <w:rsid w:val="00F54495"/>
    <w:rsid w:val="00F544B1"/>
    <w:rsid w:val="00F55062"/>
    <w:rsid w:val="00F55317"/>
    <w:rsid w:val="00F556BF"/>
    <w:rsid w:val="00F55840"/>
    <w:rsid w:val="00F55A59"/>
    <w:rsid w:val="00F55C64"/>
    <w:rsid w:val="00F55EBC"/>
    <w:rsid w:val="00F56782"/>
    <w:rsid w:val="00F56D21"/>
    <w:rsid w:val="00F56E19"/>
    <w:rsid w:val="00F571DF"/>
    <w:rsid w:val="00F600B8"/>
    <w:rsid w:val="00F60254"/>
    <w:rsid w:val="00F60382"/>
    <w:rsid w:val="00F60BF2"/>
    <w:rsid w:val="00F62A26"/>
    <w:rsid w:val="00F630AD"/>
    <w:rsid w:val="00F6331D"/>
    <w:rsid w:val="00F64BDC"/>
    <w:rsid w:val="00F64DE3"/>
    <w:rsid w:val="00F65345"/>
    <w:rsid w:val="00F659AE"/>
    <w:rsid w:val="00F65F5D"/>
    <w:rsid w:val="00F6725B"/>
    <w:rsid w:val="00F674D2"/>
    <w:rsid w:val="00F677ED"/>
    <w:rsid w:val="00F67B77"/>
    <w:rsid w:val="00F7049E"/>
    <w:rsid w:val="00F70F83"/>
    <w:rsid w:val="00F70FB8"/>
    <w:rsid w:val="00F70FFE"/>
    <w:rsid w:val="00F72465"/>
    <w:rsid w:val="00F724B4"/>
    <w:rsid w:val="00F732D8"/>
    <w:rsid w:val="00F73365"/>
    <w:rsid w:val="00F73CA7"/>
    <w:rsid w:val="00F74E69"/>
    <w:rsid w:val="00F76201"/>
    <w:rsid w:val="00F7665B"/>
    <w:rsid w:val="00F76B42"/>
    <w:rsid w:val="00F76BE5"/>
    <w:rsid w:val="00F76D38"/>
    <w:rsid w:val="00F80011"/>
    <w:rsid w:val="00F812AF"/>
    <w:rsid w:val="00F8143A"/>
    <w:rsid w:val="00F81482"/>
    <w:rsid w:val="00F8289E"/>
    <w:rsid w:val="00F83853"/>
    <w:rsid w:val="00F83880"/>
    <w:rsid w:val="00F83DD1"/>
    <w:rsid w:val="00F85341"/>
    <w:rsid w:val="00F86756"/>
    <w:rsid w:val="00F868BE"/>
    <w:rsid w:val="00F86CBB"/>
    <w:rsid w:val="00F87849"/>
    <w:rsid w:val="00F90EA2"/>
    <w:rsid w:val="00F91586"/>
    <w:rsid w:val="00F91CAA"/>
    <w:rsid w:val="00F923A5"/>
    <w:rsid w:val="00F92547"/>
    <w:rsid w:val="00F9349E"/>
    <w:rsid w:val="00F93572"/>
    <w:rsid w:val="00F9523E"/>
    <w:rsid w:val="00F95269"/>
    <w:rsid w:val="00F956CC"/>
    <w:rsid w:val="00F959B2"/>
    <w:rsid w:val="00F95CF4"/>
    <w:rsid w:val="00F9612D"/>
    <w:rsid w:val="00F96228"/>
    <w:rsid w:val="00F96320"/>
    <w:rsid w:val="00F97120"/>
    <w:rsid w:val="00F97DA4"/>
    <w:rsid w:val="00F97E11"/>
    <w:rsid w:val="00FA08C2"/>
    <w:rsid w:val="00FA0BB5"/>
    <w:rsid w:val="00FA0BE3"/>
    <w:rsid w:val="00FA21B7"/>
    <w:rsid w:val="00FA21DB"/>
    <w:rsid w:val="00FA247A"/>
    <w:rsid w:val="00FA264F"/>
    <w:rsid w:val="00FA34ED"/>
    <w:rsid w:val="00FA4438"/>
    <w:rsid w:val="00FA51B2"/>
    <w:rsid w:val="00FA5708"/>
    <w:rsid w:val="00FA599A"/>
    <w:rsid w:val="00FA5C0A"/>
    <w:rsid w:val="00FA5DC2"/>
    <w:rsid w:val="00FA69A8"/>
    <w:rsid w:val="00FA6D16"/>
    <w:rsid w:val="00FA75AF"/>
    <w:rsid w:val="00FB00FA"/>
    <w:rsid w:val="00FB093E"/>
    <w:rsid w:val="00FB0DF2"/>
    <w:rsid w:val="00FB1C04"/>
    <w:rsid w:val="00FB3152"/>
    <w:rsid w:val="00FB3AD6"/>
    <w:rsid w:val="00FB3B49"/>
    <w:rsid w:val="00FB45C3"/>
    <w:rsid w:val="00FB55B4"/>
    <w:rsid w:val="00FB5A53"/>
    <w:rsid w:val="00FB6092"/>
    <w:rsid w:val="00FB60CF"/>
    <w:rsid w:val="00FB6673"/>
    <w:rsid w:val="00FB7573"/>
    <w:rsid w:val="00FB78A4"/>
    <w:rsid w:val="00FB7955"/>
    <w:rsid w:val="00FB79C5"/>
    <w:rsid w:val="00FC1040"/>
    <w:rsid w:val="00FC15F2"/>
    <w:rsid w:val="00FC256D"/>
    <w:rsid w:val="00FC2649"/>
    <w:rsid w:val="00FC28B4"/>
    <w:rsid w:val="00FC2E7D"/>
    <w:rsid w:val="00FC36D1"/>
    <w:rsid w:val="00FC38D9"/>
    <w:rsid w:val="00FC49E7"/>
    <w:rsid w:val="00FC4A59"/>
    <w:rsid w:val="00FC4B27"/>
    <w:rsid w:val="00FC4BE1"/>
    <w:rsid w:val="00FC56ED"/>
    <w:rsid w:val="00FC58EC"/>
    <w:rsid w:val="00FC5C49"/>
    <w:rsid w:val="00FC5DC2"/>
    <w:rsid w:val="00FC675E"/>
    <w:rsid w:val="00FC6936"/>
    <w:rsid w:val="00FC7E15"/>
    <w:rsid w:val="00FC7E89"/>
    <w:rsid w:val="00FD0723"/>
    <w:rsid w:val="00FD078C"/>
    <w:rsid w:val="00FD0AE2"/>
    <w:rsid w:val="00FD19ED"/>
    <w:rsid w:val="00FD2746"/>
    <w:rsid w:val="00FD36E3"/>
    <w:rsid w:val="00FD37B5"/>
    <w:rsid w:val="00FD38F1"/>
    <w:rsid w:val="00FD3D4F"/>
    <w:rsid w:val="00FD417C"/>
    <w:rsid w:val="00FD4877"/>
    <w:rsid w:val="00FD48F4"/>
    <w:rsid w:val="00FD52C7"/>
    <w:rsid w:val="00FD6114"/>
    <w:rsid w:val="00FD61B8"/>
    <w:rsid w:val="00FD644C"/>
    <w:rsid w:val="00FD6527"/>
    <w:rsid w:val="00FD689D"/>
    <w:rsid w:val="00FD68D1"/>
    <w:rsid w:val="00FD6AB4"/>
    <w:rsid w:val="00FD6C95"/>
    <w:rsid w:val="00FD7286"/>
    <w:rsid w:val="00FD7415"/>
    <w:rsid w:val="00FD7720"/>
    <w:rsid w:val="00FD7777"/>
    <w:rsid w:val="00FD784C"/>
    <w:rsid w:val="00FE01E4"/>
    <w:rsid w:val="00FE05A2"/>
    <w:rsid w:val="00FE10ED"/>
    <w:rsid w:val="00FE15D6"/>
    <w:rsid w:val="00FE197A"/>
    <w:rsid w:val="00FE240B"/>
    <w:rsid w:val="00FE2C01"/>
    <w:rsid w:val="00FE3347"/>
    <w:rsid w:val="00FE449D"/>
    <w:rsid w:val="00FE74D4"/>
    <w:rsid w:val="00FE7D7D"/>
    <w:rsid w:val="00FF07E1"/>
    <w:rsid w:val="00FF224D"/>
    <w:rsid w:val="00FF2DEA"/>
    <w:rsid w:val="00FF3D2D"/>
    <w:rsid w:val="00FF3D78"/>
    <w:rsid w:val="00FF41EB"/>
    <w:rsid w:val="00FF4B25"/>
    <w:rsid w:val="00FF5C0A"/>
    <w:rsid w:val="00FF692E"/>
    <w:rsid w:val="00FF6951"/>
    <w:rsid w:val="00FF70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868FA"/>
  <w15:docId w15:val="{8595C8E5-D12A-45B2-93B9-C69097B79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Body Text 2" w:uiPriority="99"/>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37BE"/>
    <w:rPr>
      <w:rFonts w:ascii="Arial" w:hAnsi="Arial"/>
      <w:sz w:val="22"/>
    </w:rPr>
  </w:style>
  <w:style w:type="paragraph" w:styleId="Ttol1">
    <w:name w:val="heading 1"/>
    <w:basedOn w:val="Normal"/>
    <w:next w:val="Normal"/>
    <w:link w:val="Ttol1Car"/>
    <w:qFormat/>
    <w:rsid w:val="007C78A5"/>
    <w:pPr>
      <w:keepNext/>
      <w:jc w:val="both"/>
      <w:outlineLvl w:val="0"/>
    </w:pPr>
    <w:rPr>
      <w:b/>
      <w:bCs/>
      <w:snapToGrid w:val="0"/>
      <w:sz w:val="24"/>
    </w:rPr>
  </w:style>
  <w:style w:type="paragraph" w:styleId="Ttol2">
    <w:name w:val="heading 2"/>
    <w:basedOn w:val="Normal"/>
    <w:next w:val="Normal"/>
    <w:link w:val="Ttol2Car"/>
    <w:semiHidden/>
    <w:unhideWhenUsed/>
    <w:qFormat/>
    <w:rsid w:val="00250F76"/>
    <w:pPr>
      <w:keepNext/>
      <w:spacing w:before="240" w:after="60"/>
      <w:outlineLvl w:val="1"/>
    </w:pPr>
    <w:rPr>
      <w:rFonts w:ascii="Cambria" w:hAnsi="Cambria"/>
      <w:b/>
      <w:bCs/>
      <w:i/>
      <w:iCs/>
      <w:sz w:val="28"/>
      <w:szCs w:val="2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INDEX- PLEC,ho,header odd"/>
    <w:basedOn w:val="Normal"/>
    <w:link w:val="CapaleraCar"/>
    <w:uiPriority w:val="99"/>
    <w:rsid w:val="007C78A5"/>
    <w:pPr>
      <w:tabs>
        <w:tab w:val="center" w:pos="4252"/>
        <w:tab w:val="right" w:pos="8504"/>
      </w:tabs>
    </w:pPr>
  </w:style>
  <w:style w:type="paragraph" w:styleId="Peu">
    <w:name w:val="footer"/>
    <w:basedOn w:val="Normal"/>
    <w:link w:val="PeuCar"/>
    <w:uiPriority w:val="99"/>
    <w:rsid w:val="007C78A5"/>
    <w:pPr>
      <w:tabs>
        <w:tab w:val="center" w:pos="4252"/>
        <w:tab w:val="right" w:pos="8504"/>
      </w:tabs>
    </w:pPr>
  </w:style>
  <w:style w:type="paragraph" w:styleId="Textindependent">
    <w:name w:val="Body Text"/>
    <w:basedOn w:val="Normal"/>
    <w:link w:val="TextindependentCar"/>
    <w:rsid w:val="007C78A5"/>
    <w:pPr>
      <w:jc w:val="both"/>
    </w:pPr>
  </w:style>
  <w:style w:type="paragraph" w:styleId="Textindependent2">
    <w:name w:val="Body Text 2"/>
    <w:basedOn w:val="Normal"/>
    <w:link w:val="Textindependent2Car"/>
    <w:uiPriority w:val="99"/>
    <w:rsid w:val="007C78A5"/>
    <w:pPr>
      <w:spacing w:after="120" w:line="480" w:lineRule="auto"/>
    </w:pPr>
  </w:style>
  <w:style w:type="paragraph" w:customStyle="1" w:styleId="Default">
    <w:name w:val="Default"/>
    <w:rsid w:val="007C78A5"/>
    <w:pPr>
      <w:widowControl w:val="0"/>
      <w:autoSpaceDE w:val="0"/>
      <w:autoSpaceDN w:val="0"/>
      <w:adjustRightInd w:val="0"/>
    </w:pPr>
    <w:rPr>
      <w:rFonts w:ascii="Arial" w:hAnsi="Arial" w:cs="Arial"/>
      <w:color w:val="000000"/>
      <w:sz w:val="24"/>
      <w:szCs w:val="24"/>
    </w:rPr>
  </w:style>
  <w:style w:type="paragraph" w:customStyle="1" w:styleId="CM24">
    <w:name w:val="CM24"/>
    <w:basedOn w:val="Default"/>
    <w:next w:val="Default"/>
    <w:rsid w:val="007C78A5"/>
    <w:pPr>
      <w:spacing w:after="550"/>
    </w:pPr>
    <w:rPr>
      <w:rFonts w:cs="Times New Roman"/>
      <w:color w:val="auto"/>
    </w:rPr>
  </w:style>
  <w:style w:type="paragraph" w:customStyle="1" w:styleId="CM3">
    <w:name w:val="CM3"/>
    <w:basedOn w:val="Default"/>
    <w:next w:val="Default"/>
    <w:rsid w:val="007C78A5"/>
    <w:pPr>
      <w:spacing w:line="276" w:lineRule="atLeast"/>
    </w:pPr>
    <w:rPr>
      <w:rFonts w:cs="Times New Roman"/>
      <w:color w:val="auto"/>
    </w:rPr>
  </w:style>
  <w:style w:type="paragraph" w:customStyle="1" w:styleId="CM25">
    <w:name w:val="CM25"/>
    <w:basedOn w:val="Default"/>
    <w:next w:val="Default"/>
    <w:rsid w:val="007C78A5"/>
    <w:pPr>
      <w:spacing w:after="290"/>
    </w:pPr>
    <w:rPr>
      <w:rFonts w:cs="Times New Roman"/>
      <w:color w:val="auto"/>
    </w:rPr>
  </w:style>
  <w:style w:type="paragraph" w:customStyle="1" w:styleId="CM27">
    <w:name w:val="CM27"/>
    <w:basedOn w:val="Default"/>
    <w:next w:val="Default"/>
    <w:rsid w:val="007C78A5"/>
    <w:pPr>
      <w:spacing w:after="418"/>
    </w:pPr>
    <w:rPr>
      <w:rFonts w:cs="Times New Roman"/>
      <w:color w:val="auto"/>
    </w:rPr>
  </w:style>
  <w:style w:type="paragraph" w:customStyle="1" w:styleId="CM8">
    <w:name w:val="CM8"/>
    <w:basedOn w:val="Default"/>
    <w:next w:val="Default"/>
    <w:rsid w:val="007C78A5"/>
    <w:pPr>
      <w:spacing w:line="303" w:lineRule="atLeast"/>
    </w:pPr>
    <w:rPr>
      <w:rFonts w:cs="Times New Roman"/>
      <w:color w:val="auto"/>
    </w:rPr>
  </w:style>
  <w:style w:type="paragraph" w:customStyle="1" w:styleId="CM13">
    <w:name w:val="CM13"/>
    <w:basedOn w:val="Default"/>
    <w:next w:val="Default"/>
    <w:rsid w:val="007C78A5"/>
    <w:pPr>
      <w:spacing w:line="278" w:lineRule="atLeast"/>
    </w:pPr>
    <w:rPr>
      <w:rFonts w:cs="Times New Roman"/>
      <w:color w:val="auto"/>
    </w:rPr>
  </w:style>
  <w:style w:type="paragraph" w:customStyle="1" w:styleId="CM16">
    <w:name w:val="CM16"/>
    <w:basedOn w:val="Default"/>
    <w:next w:val="Default"/>
    <w:rsid w:val="007C78A5"/>
    <w:pPr>
      <w:spacing w:line="276" w:lineRule="atLeast"/>
    </w:pPr>
    <w:rPr>
      <w:rFonts w:cs="Times New Roman"/>
      <w:color w:val="auto"/>
    </w:rPr>
  </w:style>
  <w:style w:type="paragraph" w:customStyle="1" w:styleId="CM30">
    <w:name w:val="CM30"/>
    <w:basedOn w:val="Default"/>
    <w:next w:val="Default"/>
    <w:rsid w:val="007C78A5"/>
    <w:pPr>
      <w:spacing w:after="1110"/>
    </w:pPr>
    <w:rPr>
      <w:rFonts w:cs="Times New Roman"/>
      <w:color w:val="auto"/>
    </w:rPr>
  </w:style>
  <w:style w:type="character" w:styleId="Nmerodepgina">
    <w:name w:val="page number"/>
    <w:basedOn w:val="Lletraperdefectedelpargraf"/>
    <w:rsid w:val="007C78A5"/>
  </w:style>
  <w:style w:type="character" w:styleId="Enlla">
    <w:name w:val="Hyperlink"/>
    <w:uiPriority w:val="99"/>
    <w:rsid w:val="007C78A5"/>
    <w:rPr>
      <w:color w:val="0000FF"/>
      <w:u w:val="single"/>
    </w:rPr>
  </w:style>
  <w:style w:type="table" w:styleId="Taulaambquadrcula">
    <w:name w:val="Table Grid"/>
    <w:basedOn w:val="Taulanormal"/>
    <w:rsid w:val="007C7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1">
    <w:name w:val="cuerpo_1"/>
    <w:rsid w:val="00BE6AC2"/>
    <w:pPr>
      <w:spacing w:before="240"/>
      <w:jc w:val="both"/>
    </w:pPr>
    <w:rPr>
      <w:rFonts w:ascii="Arial" w:hAnsi="Arial"/>
      <w:sz w:val="22"/>
    </w:rPr>
  </w:style>
  <w:style w:type="paragraph" w:customStyle="1" w:styleId="FGERCIAWP">
    <w:name w:val="FGER_CIA.WP"/>
    <w:rsid w:val="009A4D9B"/>
    <w:pPr>
      <w:tabs>
        <w:tab w:val="left" w:pos="567"/>
        <w:tab w:val="right" w:pos="9071"/>
      </w:tabs>
      <w:suppressAutoHyphens/>
    </w:pPr>
    <w:rPr>
      <w:rFonts w:ascii="Arial" w:hAnsi="Arial"/>
      <w:sz w:val="22"/>
    </w:rPr>
  </w:style>
  <w:style w:type="paragraph" w:customStyle="1" w:styleId="Continuacillistaambpics">
    <w:name w:val="Continuació llista amb pics"/>
    <w:basedOn w:val="Normal"/>
    <w:rsid w:val="003F578C"/>
    <w:pPr>
      <w:tabs>
        <w:tab w:val="num" w:pos="720"/>
      </w:tabs>
      <w:spacing w:before="120"/>
      <w:ind w:left="720" w:hanging="363"/>
      <w:jc w:val="both"/>
    </w:pPr>
    <w:rPr>
      <w:rFonts w:cs="Arial"/>
      <w:szCs w:val="22"/>
    </w:rPr>
  </w:style>
  <w:style w:type="paragraph" w:styleId="Continuacidellista">
    <w:name w:val="List Continue"/>
    <w:basedOn w:val="Normal"/>
    <w:next w:val="Normal"/>
    <w:rsid w:val="003F578C"/>
    <w:pPr>
      <w:spacing w:before="120"/>
      <w:ind w:left="357"/>
      <w:jc w:val="both"/>
    </w:pPr>
    <w:rPr>
      <w:rFonts w:ascii="Helvetica*" w:hAnsi="Helvetica*"/>
    </w:rPr>
  </w:style>
  <w:style w:type="character" w:customStyle="1" w:styleId="CapaleraCar">
    <w:name w:val="Capçalera Car"/>
    <w:aliases w:val="INDEX- PLEC Car,ho Car,header odd Car"/>
    <w:link w:val="Capalera"/>
    <w:uiPriority w:val="99"/>
    <w:locked/>
    <w:rsid w:val="00B41354"/>
    <w:rPr>
      <w:rFonts w:ascii="Arial" w:hAnsi="Arial"/>
      <w:sz w:val="22"/>
    </w:rPr>
  </w:style>
  <w:style w:type="paragraph" w:styleId="Pargrafdellista">
    <w:name w:val="List Paragraph"/>
    <w:aliases w:val="Lista sin Numerar,Párrafo de lista - cat,Llista pics,Párrafo Numerado,Bullet,List Paragraph compact,Normal bullet 2,Paragraphe de liste 2,Reference list,Bullet list,Numbered List,List Paragraph1,1st level - Bullet List Paragraph"/>
    <w:basedOn w:val="Normal"/>
    <w:link w:val="PargrafdellistaCar"/>
    <w:uiPriority w:val="1"/>
    <w:qFormat/>
    <w:rsid w:val="004D55FF"/>
    <w:pPr>
      <w:ind w:left="708"/>
    </w:pPr>
  </w:style>
  <w:style w:type="paragraph" w:customStyle="1" w:styleId="ListParagraph2">
    <w:name w:val="List Paragraph2"/>
    <w:basedOn w:val="Normal"/>
    <w:qFormat/>
    <w:rsid w:val="004D0EBF"/>
    <w:pPr>
      <w:ind w:left="720"/>
    </w:pPr>
    <w:rPr>
      <w:rFonts w:ascii="Times New Roman" w:eastAsia="SimSun" w:hAnsi="Times New Roman"/>
      <w:sz w:val="20"/>
      <w:szCs w:val="24"/>
    </w:rPr>
  </w:style>
  <w:style w:type="paragraph" w:styleId="Sagniadetextindependent3">
    <w:name w:val="Body Text Indent 3"/>
    <w:basedOn w:val="Normal"/>
    <w:link w:val="Sagniadetextindependent3Car"/>
    <w:rsid w:val="005A4B43"/>
    <w:pPr>
      <w:spacing w:after="120"/>
      <w:ind w:left="283"/>
    </w:pPr>
    <w:rPr>
      <w:sz w:val="16"/>
      <w:szCs w:val="16"/>
    </w:rPr>
  </w:style>
  <w:style w:type="character" w:customStyle="1" w:styleId="Sagniadetextindependent3Car">
    <w:name w:val="Sagnia de text independent 3 Car"/>
    <w:link w:val="Sagniadetextindependent3"/>
    <w:rsid w:val="005A4B43"/>
    <w:rPr>
      <w:rFonts w:ascii="Arial" w:hAnsi="Arial"/>
      <w:sz w:val="16"/>
      <w:szCs w:val="16"/>
    </w:rPr>
  </w:style>
  <w:style w:type="paragraph" w:styleId="Textindependent3">
    <w:name w:val="Body Text 3"/>
    <w:basedOn w:val="Normal"/>
    <w:link w:val="Textindependent3Car"/>
    <w:rsid w:val="00C42BC1"/>
    <w:pPr>
      <w:spacing w:after="120"/>
    </w:pPr>
    <w:rPr>
      <w:sz w:val="16"/>
      <w:szCs w:val="16"/>
    </w:rPr>
  </w:style>
  <w:style w:type="character" w:customStyle="1" w:styleId="Textindependent3Car">
    <w:name w:val="Text independent 3 Car"/>
    <w:link w:val="Textindependent3"/>
    <w:rsid w:val="00C42BC1"/>
    <w:rPr>
      <w:rFonts w:ascii="Arial" w:hAnsi="Arial"/>
      <w:sz w:val="16"/>
      <w:szCs w:val="16"/>
    </w:rPr>
  </w:style>
  <w:style w:type="paragraph" w:customStyle="1" w:styleId="Pa7">
    <w:name w:val="Pa7"/>
    <w:basedOn w:val="Default"/>
    <w:next w:val="Default"/>
    <w:uiPriority w:val="99"/>
    <w:rsid w:val="00A428AD"/>
    <w:pPr>
      <w:widowControl/>
      <w:spacing w:line="201" w:lineRule="atLeast"/>
    </w:pPr>
    <w:rPr>
      <w:color w:val="auto"/>
    </w:rPr>
  </w:style>
  <w:style w:type="paragraph" w:customStyle="1" w:styleId="Pa6">
    <w:name w:val="Pa6"/>
    <w:basedOn w:val="Default"/>
    <w:next w:val="Default"/>
    <w:uiPriority w:val="99"/>
    <w:rsid w:val="00A428AD"/>
    <w:pPr>
      <w:widowControl/>
      <w:spacing w:line="201" w:lineRule="atLeast"/>
    </w:pPr>
    <w:rPr>
      <w:color w:val="auto"/>
    </w:rPr>
  </w:style>
  <w:style w:type="paragraph" w:customStyle="1" w:styleId="Pa9">
    <w:name w:val="Pa9"/>
    <w:basedOn w:val="Default"/>
    <w:next w:val="Default"/>
    <w:uiPriority w:val="99"/>
    <w:rsid w:val="00A428AD"/>
    <w:pPr>
      <w:widowControl/>
      <w:spacing w:line="201" w:lineRule="atLeast"/>
    </w:pPr>
    <w:rPr>
      <w:color w:val="auto"/>
    </w:rPr>
  </w:style>
  <w:style w:type="paragraph" w:styleId="Textdeglobus">
    <w:name w:val="Balloon Text"/>
    <w:basedOn w:val="Normal"/>
    <w:link w:val="TextdeglobusCar"/>
    <w:rsid w:val="00353238"/>
    <w:rPr>
      <w:rFonts w:ascii="Tahoma" w:hAnsi="Tahoma"/>
      <w:sz w:val="16"/>
      <w:szCs w:val="16"/>
    </w:rPr>
  </w:style>
  <w:style w:type="character" w:customStyle="1" w:styleId="TextdeglobusCar">
    <w:name w:val="Text de globus Car"/>
    <w:link w:val="Textdeglobus"/>
    <w:rsid w:val="00353238"/>
    <w:rPr>
      <w:rFonts w:ascii="Tahoma" w:hAnsi="Tahoma" w:cs="Tahoma"/>
      <w:sz w:val="16"/>
      <w:szCs w:val="16"/>
    </w:rPr>
  </w:style>
  <w:style w:type="character" w:customStyle="1" w:styleId="Textindependent2Car">
    <w:name w:val="Text independent 2 Car"/>
    <w:link w:val="Textindependent2"/>
    <w:uiPriority w:val="99"/>
    <w:locked/>
    <w:rsid w:val="00863684"/>
    <w:rPr>
      <w:rFonts w:ascii="Arial" w:hAnsi="Arial"/>
      <w:sz w:val="22"/>
    </w:rPr>
  </w:style>
  <w:style w:type="character" w:styleId="Enllavisitat">
    <w:name w:val="FollowedHyperlink"/>
    <w:rsid w:val="006F703F"/>
    <w:rPr>
      <w:color w:val="800080"/>
      <w:u w:val="single"/>
    </w:rPr>
  </w:style>
  <w:style w:type="paragraph" w:customStyle="1" w:styleId="Pa13">
    <w:name w:val="Pa13"/>
    <w:basedOn w:val="Default"/>
    <w:next w:val="Default"/>
    <w:uiPriority w:val="99"/>
    <w:rsid w:val="00526DCD"/>
    <w:pPr>
      <w:widowControl/>
      <w:spacing w:line="201" w:lineRule="atLeast"/>
    </w:pPr>
    <w:rPr>
      <w:color w:val="auto"/>
    </w:rPr>
  </w:style>
  <w:style w:type="character" w:customStyle="1" w:styleId="PeuCar">
    <w:name w:val="Peu Car"/>
    <w:link w:val="Peu"/>
    <w:uiPriority w:val="99"/>
    <w:rsid w:val="00555F1E"/>
    <w:rPr>
      <w:rFonts w:ascii="Arial" w:hAnsi="Arial"/>
      <w:sz w:val="22"/>
    </w:rPr>
  </w:style>
  <w:style w:type="character" w:styleId="Refernciadenotaapeudepgina">
    <w:name w:val="footnote reference"/>
    <w:uiPriority w:val="99"/>
    <w:rsid w:val="00603D49"/>
    <w:rPr>
      <w:vertAlign w:val="superscript"/>
    </w:rPr>
  </w:style>
  <w:style w:type="character" w:customStyle="1" w:styleId="PargrafdellistaCar">
    <w:name w:val="Paràgraf de llista Car"/>
    <w:aliases w:val="Lista sin Numerar Car,Párrafo de lista - cat Car,Llista pics Car,Párrafo Numerado Car,Bullet Car,List Paragraph compact Car,Normal bullet 2 Car,Paragraphe de liste 2 Car,Reference list Car,Bullet list Car,Numbered List Car"/>
    <w:link w:val="Pargrafdellista"/>
    <w:uiPriority w:val="1"/>
    <w:qFormat/>
    <w:locked/>
    <w:rsid w:val="00415B2B"/>
    <w:rPr>
      <w:rFonts w:ascii="Arial" w:hAnsi="Arial"/>
      <w:sz w:val="22"/>
    </w:rPr>
  </w:style>
  <w:style w:type="character" w:customStyle="1" w:styleId="Ttol2Car">
    <w:name w:val="Títol 2 Car"/>
    <w:link w:val="Ttol2"/>
    <w:rsid w:val="00250F76"/>
    <w:rPr>
      <w:rFonts w:ascii="Cambria" w:eastAsia="Times New Roman" w:hAnsi="Cambria" w:cs="Times New Roman"/>
      <w:b/>
      <w:bCs/>
      <w:i/>
      <w:iCs/>
      <w:sz w:val="28"/>
      <w:szCs w:val="28"/>
    </w:rPr>
  </w:style>
  <w:style w:type="character" w:customStyle="1" w:styleId="Ttol1Car">
    <w:name w:val="Títol 1 Car"/>
    <w:link w:val="Ttol1"/>
    <w:rsid w:val="00250F76"/>
    <w:rPr>
      <w:rFonts w:ascii="Arial" w:hAnsi="Arial"/>
      <w:b/>
      <w:bCs/>
      <w:snapToGrid w:val="0"/>
      <w:sz w:val="24"/>
    </w:rPr>
  </w:style>
  <w:style w:type="character" w:styleId="Refernciadecomentari">
    <w:name w:val="annotation reference"/>
    <w:uiPriority w:val="99"/>
    <w:unhideWhenUsed/>
    <w:rsid w:val="002916AB"/>
    <w:rPr>
      <w:sz w:val="16"/>
      <w:szCs w:val="16"/>
    </w:rPr>
  </w:style>
  <w:style w:type="table" w:customStyle="1" w:styleId="TableNormal1">
    <w:name w:val="Table Normal1"/>
    <w:uiPriority w:val="2"/>
    <w:semiHidden/>
    <w:unhideWhenUsed/>
    <w:qFormat/>
    <w:rsid w:val="00642DC3"/>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42DC3"/>
    <w:pPr>
      <w:widowControl w:val="0"/>
      <w:autoSpaceDE w:val="0"/>
      <w:autoSpaceDN w:val="0"/>
      <w:spacing w:line="259" w:lineRule="exact"/>
      <w:ind w:left="200"/>
    </w:pPr>
    <w:rPr>
      <w:rFonts w:ascii="Calibri" w:eastAsia="Calibri" w:hAnsi="Calibri" w:cs="Calibri"/>
      <w:szCs w:val="22"/>
    </w:rPr>
  </w:style>
  <w:style w:type="character" w:customStyle="1" w:styleId="TextindependentCar">
    <w:name w:val="Text independent Car"/>
    <w:link w:val="Textindependent"/>
    <w:rsid w:val="002437BE"/>
    <w:rPr>
      <w:rFonts w:ascii="Arial" w:hAnsi="Arial"/>
      <w:sz w:val="22"/>
    </w:rPr>
  </w:style>
  <w:style w:type="paragraph" w:styleId="Textdenotaapeudepgina">
    <w:name w:val="footnote text"/>
    <w:basedOn w:val="Normal"/>
    <w:link w:val="TextdenotaapeudepginaCar"/>
    <w:rsid w:val="00E23614"/>
    <w:rPr>
      <w:sz w:val="20"/>
    </w:rPr>
  </w:style>
  <w:style w:type="character" w:customStyle="1" w:styleId="TextdenotaapeudepginaCar">
    <w:name w:val="Text de nota a peu de pàgina Car"/>
    <w:basedOn w:val="Lletraperdefectedelpargraf"/>
    <w:link w:val="Textdenotaapeudepgina"/>
    <w:rsid w:val="00E2361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103704">
      <w:bodyDiv w:val="1"/>
      <w:marLeft w:val="0"/>
      <w:marRight w:val="0"/>
      <w:marTop w:val="0"/>
      <w:marBottom w:val="0"/>
      <w:divBdr>
        <w:top w:val="none" w:sz="0" w:space="0" w:color="auto"/>
        <w:left w:val="none" w:sz="0" w:space="0" w:color="auto"/>
        <w:bottom w:val="none" w:sz="0" w:space="0" w:color="auto"/>
        <w:right w:val="none" w:sz="0" w:space="0" w:color="auto"/>
      </w:divBdr>
    </w:div>
    <w:div w:id="1309626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publica.gencat.cat/perfil/ec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tractaciopublica.gencat.cat/perfil/ec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ontractaciopublica.cat/ca/manuals/usuari" TargetMode="External"/><Relationship Id="rId4" Type="http://schemas.openxmlformats.org/officeDocument/2006/relationships/settings" Target="settings.xml"/><Relationship Id="rId9" Type="http://schemas.openxmlformats.org/officeDocument/2006/relationships/hyperlink" Target="https://contractaciopublica.cat/ca/manuals/usuari"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47D19-A2BC-49E7-92AD-67B5ED1C9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57</Pages>
  <Words>24607</Words>
  <Characters>140263</Characters>
  <Application>Microsoft Office Word</Application>
  <DocSecurity>0</DocSecurity>
  <Lines>1168</Lines>
  <Paragraphs>329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NÚMERO D’EXPEDIENT:</vt:lpstr>
      <vt:lpstr>NÚMERO D’EXPEDIENT:</vt:lpstr>
    </vt:vector>
  </TitlesOfParts>
  <Company>CTTI</Company>
  <LinksUpToDate>false</LinksUpToDate>
  <CharactersWithSpaces>164541</CharactersWithSpaces>
  <SharedDoc>false</SharedDoc>
  <HLinks>
    <vt:vector size="24" baseType="variant">
      <vt:variant>
        <vt:i4>327756</vt:i4>
      </vt:variant>
      <vt:variant>
        <vt:i4>9</vt:i4>
      </vt:variant>
      <vt:variant>
        <vt:i4>0</vt:i4>
      </vt:variant>
      <vt:variant>
        <vt:i4>5</vt:i4>
      </vt:variant>
      <vt:variant>
        <vt:lpwstr>https://contractaciopublica.gencat.cat/perfil/eco</vt:lpwstr>
      </vt:variant>
      <vt:variant>
        <vt:lpwstr/>
      </vt:variant>
      <vt:variant>
        <vt:i4>720976</vt:i4>
      </vt:variant>
      <vt:variant>
        <vt:i4>6</vt:i4>
      </vt:variant>
      <vt:variant>
        <vt:i4>0</vt:i4>
      </vt:variant>
      <vt:variant>
        <vt:i4>5</vt:i4>
      </vt:variant>
      <vt:variant>
        <vt:lpwstr>https://contractaciopublica.cat/ca/manuals/usuari</vt:lpwstr>
      </vt:variant>
      <vt:variant>
        <vt:lpwstr/>
      </vt:variant>
      <vt:variant>
        <vt:i4>720976</vt:i4>
      </vt:variant>
      <vt:variant>
        <vt:i4>3</vt:i4>
      </vt:variant>
      <vt:variant>
        <vt:i4>0</vt:i4>
      </vt:variant>
      <vt:variant>
        <vt:i4>5</vt:i4>
      </vt:variant>
      <vt:variant>
        <vt:lpwstr>https://contractaciopublica.cat/ca/manuals/usuari</vt:lpwstr>
      </vt:variant>
      <vt:variant>
        <vt:lpwstr/>
      </vt:variant>
      <vt:variant>
        <vt:i4>327756</vt:i4>
      </vt:variant>
      <vt:variant>
        <vt:i4>0</vt:i4>
      </vt:variant>
      <vt:variant>
        <vt:i4>0</vt:i4>
      </vt:variant>
      <vt:variant>
        <vt:i4>5</vt:i4>
      </vt:variant>
      <vt:variant>
        <vt:lpwstr>https://contractaciopublica.gencat.cat/perfil/eco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NÚMERO D’EXPEDIENT:</dc:title>
  <dc:subject/>
  <dc:creator>EIF</dc:creator>
  <cp:keywords/>
  <dc:description/>
  <cp:lastModifiedBy>Rodriguez Lahuerta, Rosa Maria</cp:lastModifiedBy>
  <cp:revision>32</cp:revision>
  <cp:lastPrinted>2021-05-16T19:10:00Z</cp:lastPrinted>
  <dcterms:created xsi:type="dcterms:W3CDTF">2025-04-23T10:18:00Z</dcterms:created>
  <dcterms:modified xsi:type="dcterms:W3CDTF">2025-05-05T10:08:00Z</dcterms:modified>
</cp:coreProperties>
</file>