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1 - </w:t>
      </w:r>
      <w:r>
        <w:rPr>
          <w:b/>
          <w:sz w:val="22"/>
        </w:rPr>
        <w:t xml:space="preserve">MODEL DE PROPOSICIÓ – CRITERIS D’ADJUDICACIÓ QUANTIFICABLES MITJANÇANT LA MERA APLICACIÓ DE FÓRMULES </w:t>
      </w:r>
      <w:r>
        <w:rPr>
          <w:b/>
          <w:sz w:val="22"/>
          <w:shd w:fill="auto" w:val="clear"/>
        </w:rPr>
        <w:t xml:space="preserve">(Sobre </w:t>
      </w:r>
      <w:r>
        <w:rPr>
          <w:b/>
          <w:sz w:val="22"/>
          <w:szCs w:val="22"/>
          <w:shd w:fill="auto" w:val="clear"/>
        </w:rPr>
        <w:t>2)</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subministrament, mitjançant rènting sense opció de compra, durant 48 mesos, de sis (6) motocicletes de gran cilindrada, noves i transformades amb l’equipament necessari per al seu ús com a vehicle policial, manifesto que accepto íntegrament els plecs de clàusules administratives particulars (PCAP) i de prescripcions tècniques (PPT), i em comprometo a complir les obligacions especificades en aquests plecs, d’acord amb la següent oferta:</w:t>
      </w:r>
    </w:p>
    <w:p>
      <w:pPr>
        <w:pStyle w:val="Normal"/>
        <w:widowControl w:val="false"/>
        <w:spacing w:lineRule="auto" w:line="360"/>
        <w:jc w:val="both"/>
        <w:rPr>
          <w:sz w:val="22"/>
          <w:szCs w:val="22"/>
        </w:rPr>
      </w:pPr>
      <w:r>
        <w:rPr>
          <w:sz w:val="22"/>
          <w:szCs w:val="22"/>
        </w:rPr>
      </w:r>
    </w:p>
    <w:tbl>
      <w:tblPr>
        <w:tblW w:w="9145" w:type="dxa"/>
        <w:jc w:val="left"/>
        <w:tblInd w:w="0" w:type="dxa"/>
        <w:tblLayout w:type="fixed"/>
        <w:tblCellMar>
          <w:top w:w="108" w:type="dxa"/>
          <w:left w:w="108" w:type="dxa"/>
          <w:bottom w:w="108" w:type="dxa"/>
          <w:right w:w="108" w:type="dxa"/>
        </w:tblCellMar>
        <w:tblLook w:firstRow="0" w:noVBand="0" w:lastRow="0" w:firstColumn="0" w:lastColumn="0" w:noHBand="0" w:val="0000"/>
      </w:tblPr>
      <w:tblGrid>
        <w:gridCol w:w="1431"/>
        <w:gridCol w:w="2930"/>
        <w:gridCol w:w="4783"/>
      </w:tblGrid>
      <w:tr>
        <w:trPr/>
        <w:tc>
          <w:tcPr>
            <w:tcW w:w="1431" w:type="dxa"/>
            <w:tcBorders>
              <w:left w:val="single" w:sz="4" w:space="0" w:color="FFFFFF"/>
              <w:right w:val="single" w:sz="4" w:space="0" w:color="FFFFFF"/>
            </w:tcBorders>
            <w:shd w:color="auto" w:fill="D9D9D9" w:val="clear"/>
            <w:vAlign w:val="center"/>
          </w:tcPr>
          <w:p>
            <w:pPr>
              <w:pStyle w:val="Normal"/>
              <w:widowControl w:val="false"/>
              <w:tabs>
                <w:tab w:val="clear" w:pos="720"/>
                <w:tab w:val="left" w:pos="567" w:leader="none"/>
              </w:tabs>
              <w:rPr/>
            </w:pPr>
            <w:r>
              <w:rPr>
                <w:rFonts w:eastAsia="SimSun"/>
                <w:color w:val="000000"/>
                <w:sz w:val="22"/>
              </w:rPr>
              <w:t>15.1.1.</w:t>
            </w:r>
          </w:p>
        </w:tc>
        <w:tc>
          <w:tcPr>
            <w:tcW w:w="771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rFonts w:eastAsia="SimSun"/>
                <w:color w:val="000000"/>
                <w:sz w:val="22"/>
              </w:rPr>
              <w:t>Preu, fins a un màxim de 85 punts</w:t>
            </w:r>
          </w:p>
        </w:tc>
      </w:tr>
      <w:tr>
        <w:trPr/>
        <w:tc>
          <w:tcPr>
            <w:tcW w:w="9144"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t>No  s’acceptarà cap oferta  econòmica que superi el pressupost base de licitació. Presentar una oferta de preu superior al pressupost base licitació serà motiu d’exclusió del procediment d’adjudicació del contracte.</w:t>
            </w:r>
          </w:p>
          <w:p>
            <w:pPr>
              <w:pStyle w:val="Normal"/>
              <w:widowControl w:val="false"/>
              <w:jc w:val="both"/>
              <w:rPr/>
            </w:pPr>
            <w:r>
              <w:rPr/>
            </w:r>
          </w:p>
        </w:tc>
      </w:tr>
      <w:tr>
        <w:trPr/>
        <w:tc>
          <w:tcPr>
            <w:tcW w:w="4361"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color w:val="000000"/>
                <w:sz w:val="22"/>
              </w:rPr>
              <w:t>Pressupost base de licitació, IVA exclòs</w:t>
            </w:r>
          </w:p>
        </w:tc>
        <w:tc>
          <w:tcPr>
            <w:tcW w:w="4783" w:type="dxa"/>
            <w:tcBorders>
              <w:top w:val="single" w:sz="4" w:space="0" w:color="FFFFFF"/>
              <w:left w:val="single" w:sz="4" w:space="0" w:color="FFFFFF"/>
              <w:bottom w:val="single" w:sz="4" w:space="0" w:color="D9D9D9"/>
              <w:right w:val="single" w:sz="4" w:space="0" w:color="FFFFFF"/>
            </w:tcBorders>
            <w:shd w:color="auto" w:fill="F2F2F2" w:val="clear"/>
          </w:tcPr>
          <w:p>
            <w:pPr>
              <w:pStyle w:val="Normal"/>
              <w:widowControl w:val="false"/>
              <w:spacing w:before="60" w:after="60"/>
              <w:jc w:val="center"/>
              <w:rPr/>
            </w:pPr>
            <w:r>
              <w:rPr>
                <w:color w:val="000000"/>
                <w:sz w:val="22"/>
              </w:rPr>
              <w:t>Preu ofert,  IVA exclòs</w:t>
            </w:r>
          </w:p>
        </w:tc>
      </w:tr>
      <w:tr>
        <w:trPr>
          <w:trHeight w:val="534" w:hRule="atLeast"/>
        </w:trPr>
        <w:tc>
          <w:tcPr>
            <w:tcW w:w="4361" w:type="dxa"/>
            <w:gridSpan w:val="2"/>
            <w:tcBorders>
              <w:top w:val="single" w:sz="4" w:space="0" w:color="FFFFFF"/>
              <w:left w:val="single" w:sz="4" w:space="0" w:color="FFFFFF"/>
              <w:bottom w:val="single" w:sz="4" w:space="0" w:color="FFFFFF"/>
              <w:right w:val="single" w:sz="4" w:space="0" w:color="D9D9D9"/>
            </w:tcBorders>
            <w:shd w:color="auto" w:fill="F2F2F2" w:val="clear"/>
            <w:vAlign w:val="center"/>
          </w:tcPr>
          <w:p>
            <w:pPr>
              <w:pStyle w:val="Normal"/>
              <w:widowControl w:val="false"/>
              <w:spacing w:before="60" w:after="60"/>
              <w:jc w:val="center"/>
              <w:rPr/>
            </w:pPr>
            <w:r>
              <w:rPr>
                <w:sz w:val="22"/>
                <w:szCs w:val="22"/>
              </w:rPr>
              <w:t>166.464,00 €</w:t>
            </w:r>
          </w:p>
        </w:tc>
        <w:tc>
          <w:tcPr>
            <w:tcW w:w="4783" w:type="dxa"/>
            <w:tcBorders>
              <w:top w:val="single" w:sz="4" w:space="0" w:color="D9D9D9"/>
              <w:left w:val="single" w:sz="4" w:space="0" w:color="D9D9D9"/>
              <w:bottom w:val="single" w:sz="4" w:space="0" w:color="D9D9D9"/>
              <w:right w:val="single" w:sz="4" w:space="0" w:color="D9D9D9"/>
            </w:tcBorders>
            <w:shd w:color="auto" w:fill="auto" w:val="clear"/>
            <w:vAlign w:val="center"/>
          </w:tcPr>
          <w:p>
            <w:pPr>
              <w:pStyle w:val="Normal"/>
              <w:widowControl w:val="false"/>
              <w:spacing w:before="60" w:after="60"/>
              <w:jc w:val="center"/>
              <w:rPr/>
            </w:pPr>
            <w:r>
              <w:rPr>
                <w:color w:val="000000"/>
                <w:sz w:val="22"/>
              </w:rPr>
              <w:t>... €</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jc w:val="both"/>
        <w:rPr>
          <w:bCs/>
          <w:sz w:val="22"/>
          <w:szCs w:val="22"/>
        </w:rPr>
      </w:pPr>
      <w:r>
        <w:rPr>
          <w:bCs/>
          <w:sz w:val="22"/>
          <w:szCs w:val="22"/>
        </w:rPr>
      </w:r>
      <w:r>
        <w:br w:type="page"/>
      </w:r>
    </w:p>
    <w:p>
      <w:pPr>
        <w:pStyle w:val="Normal"/>
        <w:widowControl w:val="false"/>
        <w:jc w:val="both"/>
        <w:rPr>
          <w:bCs/>
          <w:sz w:val="22"/>
          <w:szCs w:val="22"/>
        </w:rPr>
      </w:pPr>
      <w:r>
        <w:rPr>
          <w:bCs/>
          <w:sz w:val="22"/>
          <w:szCs w:val="22"/>
        </w:rPr>
      </w:r>
    </w:p>
    <w:tbl>
      <w:tblPr>
        <w:tblW w:w="9145" w:type="dxa"/>
        <w:jc w:val="left"/>
        <w:tblInd w:w="0" w:type="dxa"/>
        <w:tblLayout w:type="fixed"/>
        <w:tblCellMar>
          <w:top w:w="108" w:type="dxa"/>
          <w:left w:w="108" w:type="dxa"/>
          <w:bottom w:w="108" w:type="dxa"/>
          <w:right w:w="108" w:type="dxa"/>
        </w:tblCellMar>
        <w:tblLook w:firstRow="0" w:noVBand="0" w:lastRow="0" w:firstColumn="0" w:lastColumn="0" w:noHBand="0" w:val="0000"/>
      </w:tblPr>
      <w:tblGrid>
        <w:gridCol w:w="1431"/>
        <w:gridCol w:w="2930"/>
        <w:gridCol w:w="4783"/>
      </w:tblGrid>
      <w:tr>
        <w:trPr/>
        <w:tc>
          <w:tcPr>
            <w:tcW w:w="1431" w:type="dxa"/>
            <w:tcBorders>
              <w:left w:val="single" w:sz="4" w:space="0" w:color="FFFFFF"/>
              <w:right w:val="single" w:sz="4" w:space="0" w:color="FFFFFF"/>
            </w:tcBorders>
            <w:shd w:color="auto" w:fill="D9D9D9" w:val="clear"/>
            <w:vAlign w:val="center"/>
          </w:tcPr>
          <w:p>
            <w:pPr>
              <w:pStyle w:val="Normal"/>
              <w:widowControl w:val="false"/>
              <w:tabs>
                <w:tab w:val="clear" w:pos="720"/>
                <w:tab w:val="left" w:pos="567" w:leader="none"/>
              </w:tabs>
              <w:rPr/>
            </w:pPr>
            <w:r>
              <w:rPr>
                <w:rFonts w:eastAsia="SimSun"/>
                <w:color w:val="000000"/>
                <w:sz w:val="22"/>
              </w:rPr>
              <w:t>15.1.2</w:t>
            </w:r>
          </w:p>
        </w:tc>
        <w:tc>
          <w:tcPr>
            <w:tcW w:w="771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rFonts w:eastAsia="SimSun"/>
                <w:color w:val="000000"/>
                <w:sz w:val="22"/>
              </w:rPr>
              <w:t>Preu per quilòmetres no recorreguts (abonament), fins a un màxim de 5 punts</w:t>
            </w:r>
          </w:p>
        </w:tc>
      </w:tr>
      <w:tr>
        <w:trPr/>
        <w:tc>
          <w:tcPr>
            <w:tcW w:w="9144"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t>Al punt 9 del PPT s’estableix un màxim de quilòmetres durant la durada d’aquest contracte en 36.000 quilòmetres per motocicleta i període total d’arrendament.</w:t>
            </w:r>
          </w:p>
          <w:p>
            <w:pPr>
              <w:pStyle w:val="Normal"/>
              <w:widowControl w:val="false"/>
              <w:jc w:val="both"/>
              <w:rPr/>
            </w:pPr>
            <w:r>
              <w:rPr/>
            </w:r>
          </w:p>
          <w:p>
            <w:pPr>
              <w:pStyle w:val="Normal"/>
              <w:widowControl w:val="false"/>
              <w:jc w:val="both"/>
              <w:rPr/>
            </w:pPr>
            <w:r>
              <w:rPr/>
              <w:t>A la finalització dels contractes es revisaran els kilòmetres realitzats efectivament pels vehicles, i s’aplicarà el preu de liquidació per defecte. El preu per quilòmetre per defecte s’estableix en 0,02 €/km, exclòs l’IVA, que les empreses adjudicatàries hauran d’abonar a la finalització del contracte.</w:t>
            </w:r>
          </w:p>
          <w:p>
            <w:pPr>
              <w:pStyle w:val="Normal"/>
              <w:widowControl w:val="false"/>
              <w:jc w:val="both"/>
              <w:rPr/>
            </w:pPr>
            <w:r>
              <w:rPr/>
            </w:r>
          </w:p>
          <w:p>
            <w:pPr>
              <w:pStyle w:val="Normal"/>
              <w:widowControl w:val="false"/>
              <w:jc w:val="both"/>
              <w:rPr/>
            </w:pPr>
            <w:r>
              <w:rPr/>
              <w:t>Es  valorarà que les empreses licitadores ofereixin un preu superior a l’establert al PPT.</w:t>
            </w:r>
          </w:p>
          <w:p>
            <w:pPr>
              <w:pStyle w:val="Normal"/>
              <w:widowControl w:val="false"/>
              <w:jc w:val="both"/>
              <w:rPr>
                <w:sz w:val="22"/>
                <w:szCs w:val="22"/>
              </w:rPr>
            </w:pPr>
            <w:r>
              <w:rPr>
                <w:sz w:val="22"/>
                <w:szCs w:val="22"/>
              </w:rPr>
            </w:r>
          </w:p>
        </w:tc>
      </w:tr>
      <w:tr>
        <w:trPr/>
        <w:tc>
          <w:tcPr>
            <w:tcW w:w="4361"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color w:val="000000"/>
                <w:sz w:val="22"/>
              </w:rPr>
              <w:t xml:space="preserve">Preu mínim,  </w:t>
            </w:r>
            <w:r>
              <w:rPr>
                <w:color w:val="000000"/>
                <w:sz w:val="22"/>
                <w:szCs w:val="22"/>
                <w:lang w:eastAsia="es-ES"/>
              </w:rPr>
              <w:t>exclòs l’IVA</w:t>
            </w:r>
          </w:p>
          <w:p>
            <w:pPr>
              <w:pStyle w:val="Normal"/>
              <w:widowControl w:val="false"/>
              <w:spacing w:before="60" w:after="60"/>
              <w:jc w:val="center"/>
              <w:rPr/>
            </w:pPr>
            <w:r>
              <w:rPr>
                <w:color w:val="000000"/>
                <w:sz w:val="22"/>
              </w:rPr>
              <w:t xml:space="preserve">per quilòmetre </w:t>
            </w:r>
            <w:r>
              <w:rPr>
                <w:rFonts w:eastAsia="SimSun;宋体" w:cs="Arial"/>
                <w:color w:val="000000"/>
                <w:kern w:val="0"/>
                <w:sz w:val="22"/>
                <w:szCs w:val="20"/>
                <w:lang w:val="ca-ES" w:eastAsia="zh-CN" w:bidi="ar-SA"/>
              </w:rPr>
              <w:t>no recorregut</w:t>
            </w:r>
          </w:p>
        </w:tc>
        <w:tc>
          <w:tcPr>
            <w:tcW w:w="4783" w:type="dxa"/>
            <w:tcBorders>
              <w:top w:val="single" w:sz="4" w:space="0" w:color="FFFFFF"/>
              <w:left w:val="single" w:sz="4" w:space="0" w:color="FFFFFF"/>
              <w:bottom w:val="single" w:sz="4" w:space="0" w:color="D9D9D9"/>
              <w:right w:val="single" w:sz="4" w:space="0" w:color="FFFFFF"/>
            </w:tcBorders>
            <w:shd w:color="auto" w:fill="F2F2F2" w:val="clear"/>
          </w:tcPr>
          <w:p>
            <w:pPr>
              <w:pStyle w:val="Normal"/>
              <w:widowControl w:val="false"/>
              <w:spacing w:before="60" w:after="60"/>
              <w:jc w:val="center"/>
              <w:rPr/>
            </w:pPr>
            <w:r>
              <w:rPr>
                <w:color w:val="000000"/>
                <w:sz w:val="22"/>
              </w:rPr>
              <w:t>Preu ofert,  IVA exclòs</w:t>
            </w:r>
          </w:p>
        </w:tc>
      </w:tr>
      <w:tr>
        <w:trPr>
          <w:trHeight w:val="534" w:hRule="atLeast"/>
        </w:trPr>
        <w:tc>
          <w:tcPr>
            <w:tcW w:w="4361" w:type="dxa"/>
            <w:gridSpan w:val="2"/>
            <w:tcBorders>
              <w:top w:val="single" w:sz="4" w:space="0" w:color="FFFFFF"/>
              <w:left w:val="single" w:sz="4" w:space="0" w:color="FFFFFF"/>
              <w:bottom w:val="single" w:sz="4" w:space="0" w:color="FFFFFF"/>
              <w:right w:val="single" w:sz="4" w:space="0" w:color="D9D9D9"/>
            </w:tcBorders>
            <w:shd w:color="auto" w:fill="F2F2F2" w:val="clear"/>
            <w:vAlign w:val="center"/>
          </w:tcPr>
          <w:p>
            <w:pPr>
              <w:pStyle w:val="Normal"/>
              <w:widowControl w:val="false"/>
              <w:spacing w:before="60" w:after="60"/>
              <w:jc w:val="center"/>
              <w:rPr/>
            </w:pPr>
            <w:r>
              <w:rPr>
                <w:sz w:val="22"/>
                <w:szCs w:val="22"/>
              </w:rPr>
              <w:t>0,02 €/km</w:t>
            </w:r>
          </w:p>
        </w:tc>
        <w:tc>
          <w:tcPr>
            <w:tcW w:w="4783" w:type="dxa"/>
            <w:tcBorders>
              <w:top w:val="single" w:sz="4" w:space="0" w:color="D9D9D9"/>
              <w:left w:val="single" w:sz="4" w:space="0" w:color="D9D9D9"/>
              <w:bottom w:val="single" w:sz="4" w:space="0" w:color="D9D9D9"/>
              <w:right w:val="single" w:sz="4" w:space="0" w:color="D9D9D9"/>
            </w:tcBorders>
            <w:shd w:color="auto" w:fill="auto" w:val="clear"/>
            <w:vAlign w:val="center"/>
          </w:tcPr>
          <w:p>
            <w:pPr>
              <w:pStyle w:val="Normal"/>
              <w:widowControl w:val="false"/>
              <w:spacing w:before="60" w:after="60"/>
              <w:jc w:val="center"/>
              <w:rPr/>
            </w:pPr>
            <w:r>
              <w:rPr>
                <w:color w:val="000000"/>
                <w:sz w:val="22"/>
              </w:rPr>
              <w:t xml:space="preserve">... </w:t>
            </w:r>
            <w:r>
              <w:rPr>
                <w:sz w:val="22"/>
                <w:szCs w:val="22"/>
              </w:rPr>
              <w:t>€/km</w:t>
            </w:r>
          </w:p>
        </w:tc>
      </w:tr>
    </w:tbl>
    <w:p>
      <w:pPr>
        <w:pStyle w:val="Normal"/>
        <w:suppressAutoHyphens w:val="false"/>
        <w:jc w:val="both"/>
        <w:rPr>
          <w:sz w:val="22"/>
          <w:szCs w:val="22"/>
          <w:lang w:eastAsia="es-ES"/>
        </w:rPr>
      </w:pPr>
      <w:r>
        <w:rPr>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tbl>
      <w:tblPr>
        <w:tblW w:w="9145" w:type="dxa"/>
        <w:jc w:val="left"/>
        <w:tblInd w:w="0" w:type="dxa"/>
        <w:tblLayout w:type="fixed"/>
        <w:tblCellMar>
          <w:top w:w="108" w:type="dxa"/>
          <w:left w:w="108" w:type="dxa"/>
          <w:bottom w:w="108" w:type="dxa"/>
          <w:right w:w="108" w:type="dxa"/>
        </w:tblCellMar>
        <w:tblLook w:firstRow="0" w:noVBand="0" w:lastRow="0" w:firstColumn="0" w:lastColumn="0" w:noHBand="0" w:val="0000"/>
      </w:tblPr>
      <w:tblGrid>
        <w:gridCol w:w="1431"/>
        <w:gridCol w:w="2930"/>
        <w:gridCol w:w="4783"/>
      </w:tblGrid>
      <w:tr>
        <w:trPr/>
        <w:tc>
          <w:tcPr>
            <w:tcW w:w="1431" w:type="dxa"/>
            <w:tcBorders>
              <w:left w:val="single" w:sz="4" w:space="0" w:color="FFFFFF"/>
              <w:right w:val="single" w:sz="4" w:space="0" w:color="FFFFFF"/>
            </w:tcBorders>
            <w:shd w:color="auto" w:fill="D9D9D9" w:val="clear"/>
            <w:vAlign w:val="center"/>
          </w:tcPr>
          <w:p>
            <w:pPr>
              <w:pStyle w:val="Normal"/>
              <w:widowControl w:val="false"/>
              <w:tabs>
                <w:tab w:val="clear" w:pos="720"/>
                <w:tab w:val="left" w:pos="567" w:leader="none"/>
              </w:tabs>
              <w:rPr/>
            </w:pPr>
            <w:r>
              <w:rPr>
                <w:rFonts w:eastAsia="SimSun"/>
                <w:color w:val="000000"/>
                <w:sz w:val="22"/>
              </w:rPr>
              <w:t>15.1.3</w:t>
            </w:r>
          </w:p>
        </w:tc>
        <w:tc>
          <w:tcPr>
            <w:tcW w:w="771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rFonts w:eastAsia="SimSun"/>
                <w:color w:val="000000"/>
                <w:sz w:val="22"/>
              </w:rPr>
              <w:t>Preu per quilòmetres no recorreguts de més, fins a un màxim de 5 punts</w:t>
            </w:r>
          </w:p>
        </w:tc>
      </w:tr>
      <w:tr>
        <w:trPr/>
        <w:tc>
          <w:tcPr>
            <w:tcW w:w="9144"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t>Al punt 9 del PPT s’estableix un màxim de quilòmetres durant la durada d’aquest contracte en 36.000 quilòmetres per motocicleta i període total d’arrendament.</w:t>
            </w:r>
          </w:p>
          <w:p>
            <w:pPr>
              <w:pStyle w:val="Normal"/>
              <w:widowControl w:val="false"/>
              <w:jc w:val="both"/>
              <w:rPr/>
            </w:pPr>
            <w:r>
              <w:rPr/>
            </w:r>
          </w:p>
          <w:p>
            <w:pPr>
              <w:pStyle w:val="Normal"/>
              <w:widowControl w:val="false"/>
              <w:jc w:val="both"/>
              <w:rPr/>
            </w:pPr>
            <w:r>
              <w:rPr/>
              <w:t>A la finalització dels contractes es revisaran els kilòmetres realitzats efectivament pels vehicles, i s’aplicarà el preu de liquidació per excés. El preu per quilòmetre per excés s’estableix en 0,15 €/km, exclòs l’IVA, que l’Ajuntament haurà d’abonar a la finalització del contracte.</w:t>
            </w:r>
          </w:p>
          <w:p>
            <w:pPr>
              <w:pStyle w:val="Normal"/>
              <w:widowControl w:val="false"/>
              <w:jc w:val="both"/>
              <w:rPr/>
            </w:pPr>
            <w:r>
              <w:rPr/>
            </w:r>
          </w:p>
          <w:p>
            <w:pPr>
              <w:pStyle w:val="Normal"/>
              <w:widowControl w:val="false"/>
              <w:jc w:val="both"/>
              <w:rPr/>
            </w:pPr>
            <w:r>
              <w:rPr/>
              <w:t>Es  valorarà que les empreses licitadores ofereixin un preu inferior a l’establert al PPT.</w:t>
            </w:r>
          </w:p>
          <w:p>
            <w:pPr>
              <w:pStyle w:val="Normal"/>
              <w:widowControl w:val="false"/>
              <w:jc w:val="both"/>
              <w:rPr>
                <w:sz w:val="22"/>
                <w:szCs w:val="22"/>
              </w:rPr>
            </w:pPr>
            <w:r>
              <w:rPr>
                <w:sz w:val="22"/>
                <w:szCs w:val="22"/>
              </w:rPr>
            </w:r>
          </w:p>
        </w:tc>
      </w:tr>
      <w:tr>
        <w:trPr/>
        <w:tc>
          <w:tcPr>
            <w:tcW w:w="4361"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sz w:val="22"/>
                <w:szCs w:val="22"/>
                <w:lang w:eastAsia="es-ES"/>
              </w:rPr>
              <w:t xml:space="preserve">Preu </w:t>
            </w:r>
            <w:r>
              <w:rPr>
                <w:rFonts w:eastAsia="SimSun;宋体" w:cs="Arial"/>
                <w:color w:val="00000A"/>
                <w:kern w:val="0"/>
                <w:sz w:val="22"/>
                <w:szCs w:val="22"/>
                <w:lang w:val="ca-ES" w:eastAsia="es-ES" w:bidi="ar-SA"/>
              </w:rPr>
              <w:t>màxim</w:t>
            </w:r>
            <w:r>
              <w:rPr>
                <w:sz w:val="22"/>
                <w:szCs w:val="22"/>
                <w:lang w:eastAsia="es-ES"/>
              </w:rPr>
              <w:t>, exclòs l’IVA</w:t>
            </w:r>
          </w:p>
          <w:p>
            <w:pPr>
              <w:pStyle w:val="Normal"/>
              <w:widowControl w:val="false"/>
              <w:spacing w:before="60" w:after="60"/>
              <w:jc w:val="center"/>
              <w:rPr/>
            </w:pPr>
            <w:r>
              <w:rPr>
                <w:sz w:val="22"/>
                <w:szCs w:val="22"/>
                <w:lang w:eastAsia="es-ES"/>
              </w:rPr>
              <w:t>per quilòmetres recorreguts de més</w:t>
            </w:r>
          </w:p>
        </w:tc>
        <w:tc>
          <w:tcPr>
            <w:tcW w:w="4783" w:type="dxa"/>
            <w:tcBorders>
              <w:top w:val="single" w:sz="4" w:space="0" w:color="FFFFFF"/>
              <w:left w:val="single" w:sz="4" w:space="0" w:color="FFFFFF"/>
              <w:bottom w:val="single" w:sz="4" w:space="0" w:color="D9D9D9"/>
              <w:right w:val="single" w:sz="4" w:space="0" w:color="FFFFFF"/>
            </w:tcBorders>
            <w:shd w:color="auto" w:fill="F2F2F2" w:val="clear"/>
          </w:tcPr>
          <w:p>
            <w:pPr>
              <w:pStyle w:val="Normal"/>
              <w:widowControl w:val="false"/>
              <w:spacing w:before="60" w:after="60"/>
              <w:jc w:val="center"/>
              <w:rPr/>
            </w:pPr>
            <w:r>
              <w:rPr>
                <w:color w:val="000000"/>
                <w:sz w:val="22"/>
              </w:rPr>
              <w:t>Preu ofert,  IVA exclòs</w:t>
            </w:r>
          </w:p>
        </w:tc>
      </w:tr>
      <w:tr>
        <w:trPr>
          <w:trHeight w:val="534" w:hRule="atLeast"/>
        </w:trPr>
        <w:tc>
          <w:tcPr>
            <w:tcW w:w="4361" w:type="dxa"/>
            <w:gridSpan w:val="2"/>
            <w:tcBorders>
              <w:top w:val="single" w:sz="4" w:space="0" w:color="FFFFFF"/>
              <w:left w:val="single" w:sz="4" w:space="0" w:color="FFFFFF"/>
              <w:bottom w:val="single" w:sz="4" w:space="0" w:color="FFFFFF"/>
              <w:right w:val="single" w:sz="4" w:space="0" w:color="D9D9D9"/>
            </w:tcBorders>
            <w:shd w:color="auto" w:fill="F2F2F2" w:val="clear"/>
            <w:vAlign w:val="center"/>
          </w:tcPr>
          <w:p>
            <w:pPr>
              <w:pStyle w:val="Normal"/>
              <w:widowControl w:val="false"/>
              <w:spacing w:before="60" w:after="60"/>
              <w:jc w:val="center"/>
              <w:rPr/>
            </w:pPr>
            <w:r>
              <w:rPr>
                <w:sz w:val="22"/>
                <w:szCs w:val="22"/>
              </w:rPr>
              <w:t>0,15 €/km</w:t>
            </w:r>
          </w:p>
        </w:tc>
        <w:tc>
          <w:tcPr>
            <w:tcW w:w="4783" w:type="dxa"/>
            <w:tcBorders>
              <w:top w:val="single" w:sz="4" w:space="0" w:color="D9D9D9"/>
              <w:left w:val="single" w:sz="4" w:space="0" w:color="D9D9D9"/>
              <w:bottom w:val="single" w:sz="4" w:space="0" w:color="D9D9D9"/>
              <w:right w:val="single" w:sz="4" w:space="0" w:color="D9D9D9"/>
            </w:tcBorders>
            <w:shd w:color="auto" w:fill="auto" w:val="clear"/>
            <w:vAlign w:val="center"/>
          </w:tcPr>
          <w:p>
            <w:pPr>
              <w:pStyle w:val="Normal"/>
              <w:widowControl w:val="false"/>
              <w:spacing w:before="60" w:after="60"/>
              <w:jc w:val="center"/>
              <w:rPr/>
            </w:pPr>
            <w:r>
              <w:rPr>
                <w:color w:val="000000"/>
                <w:sz w:val="22"/>
              </w:rPr>
              <w:t xml:space="preserve">... </w:t>
            </w:r>
            <w:r>
              <w:rPr>
                <w:sz w:val="22"/>
                <w:szCs w:val="22"/>
              </w:rPr>
              <w:t>€/km</w:t>
            </w:r>
          </w:p>
        </w:tc>
      </w:tr>
    </w:tbl>
    <w:p>
      <w:pPr>
        <w:pStyle w:val="Normal"/>
        <w:tabs>
          <w:tab w:val="clear" w:pos="720"/>
          <w:tab w:val="left" w:pos="0" w:leader="none"/>
          <w:tab w:val="left" w:pos="993" w:leader="none"/>
          <w:tab w:val="left" w:pos="1020" w:leader="none"/>
          <w:tab w:val="left" w:pos="1644" w:leader="none"/>
          <w:tab w:val="left" w:pos="2880" w:leader="none"/>
        </w:tabs>
        <w:suppressAutoHyphens w:val="false"/>
        <w:jc w:val="both"/>
        <w:rPr>
          <w:sz w:val="22"/>
          <w:szCs w:val="22"/>
          <w:lang w:eastAsia="es-ES"/>
        </w:rPr>
      </w:pPr>
      <w:r>
        <w:rPr>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tbl>
      <w:tblPr>
        <w:tblW w:w="9145" w:type="dxa"/>
        <w:jc w:val="left"/>
        <w:tblInd w:w="0" w:type="dxa"/>
        <w:tblLayout w:type="fixed"/>
        <w:tblCellMar>
          <w:top w:w="108" w:type="dxa"/>
          <w:left w:w="108" w:type="dxa"/>
          <w:bottom w:w="108" w:type="dxa"/>
          <w:right w:w="108" w:type="dxa"/>
        </w:tblCellMar>
        <w:tblLook w:firstRow="0" w:noVBand="0" w:lastRow="0" w:firstColumn="0" w:lastColumn="0" w:noHBand="0" w:val="0000"/>
      </w:tblPr>
      <w:tblGrid>
        <w:gridCol w:w="1431"/>
        <w:gridCol w:w="2930"/>
        <w:gridCol w:w="4783"/>
      </w:tblGrid>
      <w:tr>
        <w:trPr/>
        <w:tc>
          <w:tcPr>
            <w:tcW w:w="1431" w:type="dxa"/>
            <w:tcBorders>
              <w:left w:val="single" w:sz="4" w:space="0" w:color="FFFFFF"/>
              <w:right w:val="single" w:sz="4" w:space="0" w:color="FFFFFF"/>
            </w:tcBorders>
            <w:shd w:color="auto" w:fill="D9D9D9" w:val="clear"/>
            <w:vAlign w:val="center"/>
          </w:tcPr>
          <w:p>
            <w:pPr>
              <w:pStyle w:val="Normal"/>
              <w:widowControl w:val="false"/>
              <w:tabs>
                <w:tab w:val="clear" w:pos="720"/>
                <w:tab w:val="left" w:pos="567" w:leader="none"/>
              </w:tabs>
              <w:rPr/>
            </w:pPr>
            <w:r>
              <w:rPr>
                <w:rFonts w:eastAsia="SimSun"/>
                <w:color w:val="000000"/>
                <w:sz w:val="22"/>
              </w:rPr>
              <w:t>15.1.4</w:t>
            </w:r>
          </w:p>
        </w:tc>
        <w:tc>
          <w:tcPr>
            <w:tcW w:w="771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rFonts w:eastAsia="SimSun"/>
                <w:color w:val="000000"/>
                <w:sz w:val="22"/>
              </w:rPr>
              <w:t>Reducció en el termini de lliurament, fins a un màxim de 5 punts</w:t>
            </w:r>
          </w:p>
        </w:tc>
      </w:tr>
      <w:tr>
        <w:trPr/>
        <w:tc>
          <w:tcPr>
            <w:tcW w:w="9144"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uppressAutoHyphens w:val="false"/>
              <w:jc w:val="both"/>
              <w:rPr>
                <w:sz w:val="22"/>
                <w:szCs w:val="22"/>
                <w:lang w:eastAsia="es-ES"/>
              </w:rPr>
            </w:pPr>
            <w:r>
              <w:rPr>
                <w:color w:val="000000"/>
                <w:sz w:val="22"/>
                <w:szCs w:val="22"/>
                <w:lang w:eastAsia="es-ES"/>
              </w:rPr>
              <w:t xml:space="preserve">Al punt 11 del PPT s’estableix un termini màxim de lliurament </w:t>
            </w:r>
            <w:r>
              <w:rPr>
                <w:rFonts w:eastAsia="SimSun;宋体"/>
                <w:color w:val="000000"/>
                <w:sz w:val="22"/>
                <w:szCs w:val="22"/>
                <w:lang w:val="ca-ES" w:eastAsia="es-ES"/>
              </w:rPr>
              <w:t>de 60 dies naturals des de l’endemà de la formalització del contracte.</w:t>
            </w:r>
          </w:p>
          <w:p>
            <w:pPr>
              <w:pStyle w:val="Normal"/>
              <w:widowControl w:val="false"/>
              <w:suppressAutoHyphens w:val="false"/>
              <w:jc w:val="both"/>
              <w:rPr>
                <w:sz w:val="22"/>
                <w:szCs w:val="22"/>
                <w:lang w:eastAsia="es-ES"/>
              </w:rPr>
            </w:pPr>
            <w:r>
              <w:rPr>
                <w:sz w:val="22"/>
                <w:szCs w:val="22"/>
                <w:lang w:eastAsia="es-ES"/>
              </w:rPr>
            </w:r>
          </w:p>
          <w:p>
            <w:pPr>
              <w:pStyle w:val="Normal"/>
              <w:widowControl w:val="false"/>
              <w:suppressAutoHyphens w:val="false"/>
              <w:jc w:val="both"/>
              <w:rPr>
                <w:sz w:val="22"/>
                <w:szCs w:val="22"/>
                <w:lang w:eastAsia="es-ES"/>
              </w:rPr>
            </w:pPr>
            <w:r>
              <w:rPr>
                <w:rFonts w:eastAsia="SimSun;宋体"/>
                <w:color w:val="000000"/>
                <w:sz w:val="22"/>
                <w:szCs w:val="22"/>
                <w:lang w:val="ca-ES" w:eastAsia="es-ES"/>
              </w:rPr>
              <w:t>Es valorarà que les empreses licitadores ofereixin un termini de lliurament inferior a l’establert al PPT.</w:t>
            </w:r>
          </w:p>
          <w:p>
            <w:pPr>
              <w:pStyle w:val="Normal"/>
              <w:widowControl w:val="false"/>
              <w:jc w:val="both"/>
              <w:rPr>
                <w:sz w:val="22"/>
                <w:szCs w:val="22"/>
              </w:rPr>
            </w:pPr>
            <w:r>
              <w:rPr>
                <w:sz w:val="22"/>
                <w:szCs w:val="22"/>
              </w:rPr>
            </w:r>
          </w:p>
        </w:tc>
      </w:tr>
      <w:tr>
        <w:trPr/>
        <w:tc>
          <w:tcPr>
            <w:tcW w:w="4361"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rFonts w:ascii="Arial" w:hAnsi="Arial" w:eastAsia="SimSun;宋体" w:cs="Arial"/>
                <w:color w:val="00000A"/>
                <w:kern w:val="0"/>
                <w:sz w:val="22"/>
                <w:szCs w:val="22"/>
                <w:lang w:val="ca-ES" w:eastAsia="es-ES" w:bidi="ar-SA"/>
              </w:rPr>
            </w:pPr>
            <w:r>
              <w:rPr>
                <w:rFonts w:eastAsia="SimSun;宋体" w:cs="Arial"/>
                <w:color w:val="00000A"/>
                <w:kern w:val="0"/>
                <w:sz w:val="22"/>
                <w:szCs w:val="22"/>
                <w:lang w:val="ca-ES" w:eastAsia="es-ES" w:bidi="ar-SA"/>
              </w:rPr>
              <w:t>Termini màxim de lliurament</w:t>
            </w:r>
          </w:p>
        </w:tc>
        <w:tc>
          <w:tcPr>
            <w:tcW w:w="4783" w:type="dxa"/>
            <w:tcBorders>
              <w:top w:val="single" w:sz="4" w:space="0" w:color="FFFFFF"/>
              <w:left w:val="single" w:sz="4" w:space="0" w:color="FFFFFF"/>
              <w:bottom w:val="single" w:sz="4" w:space="0" w:color="D9D9D9"/>
              <w:right w:val="single" w:sz="4" w:space="0" w:color="FFFFFF"/>
            </w:tcBorders>
            <w:shd w:color="auto" w:fill="F2F2F2" w:val="clear"/>
          </w:tcPr>
          <w:p>
            <w:pPr>
              <w:pStyle w:val="Normal"/>
              <w:widowControl w:val="false"/>
              <w:spacing w:before="60" w:after="60"/>
              <w:jc w:val="center"/>
              <w:rPr>
                <w:rFonts w:ascii="Arial" w:hAnsi="Arial" w:eastAsia="SimSun;宋体" w:cs="Arial"/>
                <w:color w:val="000000"/>
                <w:kern w:val="0"/>
                <w:sz w:val="22"/>
                <w:szCs w:val="20"/>
                <w:lang w:val="ca-ES" w:eastAsia="zh-CN" w:bidi="ar-SA"/>
              </w:rPr>
            </w:pPr>
            <w:r>
              <w:rPr>
                <w:rFonts w:eastAsia="SimSun;宋体" w:cs="Arial"/>
                <w:color w:val="000000"/>
                <w:kern w:val="0"/>
                <w:sz w:val="22"/>
                <w:szCs w:val="20"/>
                <w:lang w:val="ca-ES" w:eastAsia="zh-CN" w:bidi="ar-SA"/>
              </w:rPr>
              <w:t>Termini de lliurament ofert</w:t>
            </w:r>
          </w:p>
        </w:tc>
      </w:tr>
      <w:tr>
        <w:trPr>
          <w:trHeight w:val="534" w:hRule="atLeast"/>
        </w:trPr>
        <w:tc>
          <w:tcPr>
            <w:tcW w:w="4361" w:type="dxa"/>
            <w:gridSpan w:val="2"/>
            <w:tcBorders>
              <w:top w:val="single" w:sz="4" w:space="0" w:color="FFFFFF"/>
              <w:left w:val="single" w:sz="4" w:space="0" w:color="FFFFFF"/>
              <w:bottom w:val="single" w:sz="4" w:space="0" w:color="FFFFFF"/>
              <w:right w:val="single" w:sz="4" w:space="0" w:color="D9D9D9"/>
            </w:tcBorders>
            <w:shd w:color="auto" w:fill="F2F2F2" w:val="clear"/>
            <w:vAlign w:val="center"/>
          </w:tcPr>
          <w:p>
            <w:pPr>
              <w:pStyle w:val="Normal"/>
              <w:widowControl w:val="false"/>
              <w:spacing w:before="60" w:after="60"/>
              <w:jc w:val="center"/>
              <w:rPr>
                <w:rFonts w:ascii="Arial" w:hAnsi="Arial" w:eastAsia="SimSun;宋体" w:cs="Arial"/>
                <w:color w:val="00000A"/>
                <w:kern w:val="0"/>
                <w:sz w:val="22"/>
                <w:szCs w:val="22"/>
                <w:lang w:val="ca-ES" w:eastAsia="zh-CN" w:bidi="ar-SA"/>
              </w:rPr>
            </w:pPr>
            <w:r>
              <w:rPr>
                <w:rFonts w:eastAsia="SimSun;宋体" w:cs="Arial"/>
                <w:color w:val="00000A"/>
                <w:kern w:val="0"/>
                <w:sz w:val="22"/>
                <w:szCs w:val="22"/>
                <w:lang w:val="ca-ES" w:eastAsia="zh-CN" w:bidi="ar-SA"/>
              </w:rPr>
              <w:t>60 dies  naturals</w:t>
            </w:r>
          </w:p>
        </w:tc>
        <w:tc>
          <w:tcPr>
            <w:tcW w:w="4783" w:type="dxa"/>
            <w:tcBorders>
              <w:top w:val="single" w:sz="4" w:space="0" w:color="D9D9D9"/>
              <w:left w:val="single" w:sz="4" w:space="0" w:color="D9D9D9"/>
              <w:bottom w:val="single" w:sz="4" w:space="0" w:color="D9D9D9"/>
              <w:right w:val="single" w:sz="4" w:space="0" w:color="D9D9D9"/>
            </w:tcBorders>
            <w:shd w:color="auto" w:fill="auto" w:val="clear"/>
            <w:vAlign w:val="center"/>
          </w:tcPr>
          <w:p>
            <w:pPr>
              <w:pStyle w:val="Normal"/>
              <w:widowControl w:val="false"/>
              <w:spacing w:before="60" w:after="60"/>
              <w:jc w:val="center"/>
              <w:rPr/>
            </w:pPr>
            <w:r>
              <w:rPr>
                <w:color w:val="000000"/>
                <w:sz w:val="22"/>
              </w:rPr>
              <w:t xml:space="preserve">... </w:t>
            </w:r>
            <w:r>
              <w:rPr>
                <w:color w:val="000000"/>
                <w:sz w:val="22"/>
                <w:szCs w:val="22"/>
              </w:rPr>
              <w:t xml:space="preserve"> dies naturals</w:t>
            </w:r>
          </w:p>
        </w:tc>
      </w:tr>
    </w:tbl>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r>
    </w:p>
    <w:p>
      <w:pPr>
        <w:pStyle w:val="Normal"/>
        <w:tabs>
          <w:tab w:val="clear" w:pos="720"/>
          <w:tab w:val="left" w:pos="0" w:leader="none"/>
          <w:tab w:val="left" w:pos="993" w:leader="none"/>
          <w:tab w:val="left" w:pos="1020" w:leader="none"/>
          <w:tab w:val="left" w:pos="1644" w:leader="none"/>
          <w:tab w:val="left" w:pos="2880" w:leader="none"/>
        </w:tabs>
        <w:jc w:val="both"/>
        <w:rPr>
          <w:b/>
          <w:b/>
          <w:sz w:val="22"/>
          <w:szCs w:val="22"/>
          <w:lang w:eastAsia="es-ES"/>
        </w:rPr>
      </w:pPr>
      <w:r>
        <w:rPr>
          <w:b/>
          <w:sz w:val="22"/>
          <w:szCs w:val="22"/>
          <w:lang w:eastAsia="es-ES"/>
        </w:rPr>
        <w:t xml:space="preserve">Les empreses  licitadores inclouran en la seva oferta la documentació necessària per tal de poder comprovar  que els vehicles oferts  són admissibles d’acord amb els requisits tècnics descrits al PPT; incloent fitxa tècnica vehicle i model del vehicle proposat. </w:t>
      </w:r>
    </w:p>
    <w:p>
      <w:pPr>
        <w:pStyle w:val="Normal"/>
        <w:tabs>
          <w:tab w:val="clear" w:pos="720"/>
          <w:tab w:val="left" w:pos="0" w:leader="none"/>
          <w:tab w:val="left" w:pos="396" w:leader="none"/>
          <w:tab w:val="left" w:pos="1020" w:leader="none"/>
          <w:tab w:val="left" w:pos="1644" w:leader="none"/>
          <w:tab w:val="left" w:pos="2880" w:leader="none"/>
        </w:tabs>
        <w:jc w:val="both"/>
        <w:rPr>
          <w:b/>
          <w:b/>
          <w:sz w:val="22"/>
          <w:szCs w:val="22"/>
          <w:lang w:eastAsia="es-ES"/>
        </w:rPr>
      </w:pPr>
      <w:r>
        <w:rPr>
          <w:b/>
          <w:sz w:val="22"/>
          <w:szCs w:val="22"/>
          <w:lang w:eastAsia="es-ES"/>
        </w:rPr>
        <w:tab/>
      </w:r>
    </w:p>
    <w:p>
      <w:pPr>
        <w:pStyle w:val="Normal"/>
        <w:tabs>
          <w:tab w:val="clear" w:pos="720"/>
          <w:tab w:val="left" w:pos="0" w:leader="none"/>
          <w:tab w:val="left" w:pos="993" w:leader="none"/>
          <w:tab w:val="left" w:pos="1020" w:leader="none"/>
          <w:tab w:val="left" w:pos="1644" w:leader="none"/>
          <w:tab w:val="left" w:pos="2880" w:leader="none"/>
        </w:tabs>
        <w:suppressAutoHyphens w:val="false"/>
        <w:jc w:val="both"/>
        <w:rPr>
          <w:b/>
          <w:b/>
          <w:sz w:val="22"/>
          <w:szCs w:val="22"/>
          <w:lang w:eastAsia="es-ES"/>
        </w:rPr>
      </w:pPr>
      <w:r>
        <w:rPr>
          <w:b/>
          <w:sz w:val="22"/>
          <w:szCs w:val="22"/>
          <w:lang w:eastAsia="es-ES"/>
        </w:rPr>
        <w:t>Si el licitador no lliura a la seva oferta la proposta la documentació acreditativa dels vehicles oferts, se li requerirà pel termini de tres (3) dies amb la finalitat que esmeni aquest defecte. Si una vegada requerit el licitador no presenta documentació acreditativa dels vehicles oferts en el termini esmentat, serà motiu d’exclusió.</w:t>
      </w:r>
    </w:p>
    <w:p>
      <w:pPr>
        <w:pStyle w:val="Normal"/>
        <w:jc w:val="both"/>
        <w:rPr>
          <w:color w:val="000000"/>
          <w:sz w:val="22"/>
          <w:szCs w:val="22"/>
        </w:rPr>
      </w:pPr>
      <w:r>
        <w:rPr>
          <w:color w:val="000000"/>
          <w:sz w:val="22"/>
          <w:szCs w:val="22"/>
        </w:rPr>
      </w:r>
    </w:p>
    <w:p>
      <w:pPr>
        <w:pStyle w:val="Normal"/>
        <w:jc w:val="both"/>
        <w:rPr>
          <w:rFonts w:ascii="Arial" w:hAnsi="Arial" w:cs="Arial"/>
          <w:sz w:val="22"/>
          <w:szCs w:val="22"/>
        </w:rPr>
      </w:pPr>
      <w:r>
        <w:rPr>
          <w:rFonts w:cs="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PlainText"/>
        <w:spacing w:lineRule="auto" w:line="360"/>
        <w:jc w:val="both"/>
        <w:rPr/>
      </w:pPr>
      <w:r>
        <w:rPr>
          <w:rFonts w:cs="Arial" w:ascii="Arial" w:hAnsi="Arial"/>
          <w:b/>
          <w:sz w:val="22"/>
        </w:rPr>
        <w:t xml:space="preserve">ANNEX </w:t>
      </w:r>
      <w:r>
        <w:rPr>
          <w:rFonts w:cs="Arial" w:ascii="Arial" w:hAnsi="Arial"/>
          <w:b/>
          <w:sz w:val="22"/>
          <w:shd w:fill="auto" w:val="clear"/>
        </w:rPr>
        <w:t>3</w:t>
      </w:r>
      <w:r>
        <w:rPr>
          <w:rFonts w:cs="Arial" w:ascii="Arial" w:hAnsi="Arial"/>
          <w:b/>
          <w:sz w:val="22"/>
        </w:rPr>
        <w:t xml:space="preserve">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r>
    </w:p>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Microsoft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pPr>
          <w:r>
            <w:rPr/>
            <w:t>Ref.: Expedient</w:t>
          </w:r>
          <w:r>
            <w:rPr>
              <w:shd w:fill="auto" w:val="clear"/>
            </w:rPr>
            <w:t xml:space="preserve"> ECAU-01266/2025</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name w:val="Enllaç d'Internet"/>
    <w:basedOn w:val="DefaultParagraphFont"/>
    <w:uiPriority w:val="99"/>
    <w:unhideWhenUsed/>
    <w:qFormat/>
    <w:locked/>
    <w:rsid w:val="003e566a"/>
    <w:rPr>
      <w:color w:val="0000FF" w:themeColor="hyperlink"/>
      <w:u w:val="single"/>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TableParagraph">
    <w:name w:val="Table Paragraph"/>
    <w:basedOn w:val="Normal"/>
    <w:qFormat/>
    <w:pPr>
      <w:spacing w:before="61" w:after="0"/>
      <w:ind w:left="12" w:right="0" w:hanging="0"/>
      <w:jc w:val="center"/>
    </w:pPr>
    <w:rPr>
      <w:rFonts w:ascii="Microsoft Sans Serif" w:hAnsi="Microsoft Sans Serif" w:eastAsia="Microsoft Sans Serif" w:cs="Microsoft Sans Serif"/>
      <w:lang w:val="ca-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1E78-438D-43F7-9881-42747119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Application>LibreOffice/7.1.1.2$Windows_X86_64 LibreOffice_project/fe0b08f4af1bacafe4c7ecc87ce55bb426164676</Application>
  <AppVersion>15.0000</AppVersion>
  <Pages>9</Pages>
  <Words>2454</Words>
  <Characters>14093</Characters>
  <CharactersWithSpaces>16481</CharactersWithSpaces>
  <Paragraphs>112</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2025-04-07T13:32:26Z</dcterms:modified>
  <cp:revision>293</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