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25EX24577-1</RECORD_ID>
  <DESCR>INSTR. CIENTÍFICOS - POTS FORMOL I CÀPSULES SEGURETAT</DESCR>
  <TOTALAMOUNT>22.325,66</TOTALAMOUNT>
  <BATCHES>
    <BATCH>
      <BATCHID>ICSA01</BATCHID>
      <DESCR>POTS I CÀPSULES FORMOL ENCAPSULAT</DESCR>
      <AMOUNT>22.325,66</AMOUNT>
      <MATERIALS>
        <MATERIAL>
          <MATNR>100043273</MATNR>
          <MAKTX>POT TRANSPARENT DE POLIPROPILÈ DE 60 ML PER A CÀPSULA-TAP FORMOL 10 ML, PREOMPLERT AMB SOLUCIÓ TAMPONADA, AMB ETIQUETA INFORMATIVA TRANSPARENT, AMB TAP AMB REIXETA DE SEGURETAT PER EVITAR QUE LA MOSTRA ENTRI DINS LA CÀPSULA-TAP. SENSE LÀTEX.</MAKTX>
          <QUANTITY>14.326</QUANTITY>
          <TECHTEXT> </TECHTEXT>
        </MATERIAL>
        <MATERIAL>
          <MATNR>100043274</MATNR>
          <MAKTX>CÀPSULA-TAP DE SEGURETAT 10 ML, DE POLIPROPILÈ, AMB PRECINTE PENETRANT, PREOMPLERTA AMB FORMALINA.</MAKTX>
          <QUANTITY>14.326</QUANTITY>
          <TECHTEXT> </TECHTEXT>
        </MATERIAL>
        <MATERIAL>
          <MATNR>100043275</MATNR>
          <MAKTX>POT TRANSPARENT DE POLIPROPILÈ DE 250 ML PER A CÀPSULA-TAP FORMOL 20 ML, PREOMPLERT AMB SOLUCIÓ TAMPONADA, AMB ETIQUETA INFORMATIVA TRANSPARENT, AMB TAP AMB REIXETA DE SEGURETAT PER EVITAR QUE LA MOSTRA ENTRI DINS LA CÀPSULA-TAP. SENSE LÀTEX.</MAKTX>
          <QUANTITY>100</QUANTITY>
          <TECHTEXT> </TECHTEXT>
        </MATERIAL>
        <MATERIAL>
          <MATNR>100043276</MATNR>
          <MAKTX>CÀPSULA-TAP DE SEGURETAT 20 ML, DE POLIPROPILÈ, AMB PRECINTE PENETRANT, PREOMPLERTA AMB FORMALINA.</MAKTX>
          <QUANTITY>100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AA7-1EDF-B9F0-75C466F11B11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