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p>
    <w:p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8B324C" w:rsidRPr="008B324C">
        <w:rPr>
          <w:rFonts w:ascii="Arial" w:hAnsi="Arial" w:cs="Arial"/>
          <w:b/>
          <w:bCs/>
        </w:rPr>
        <w:t>DO+CSS. ENP-23209</w:t>
      </w:r>
    </w:p>
    <w:p w:rsidR="008B3186" w:rsidRPr="003A1DDA" w:rsidRDefault="008B3186" w:rsidP="008B3186">
      <w:pPr>
        <w:spacing w:after="0" w:line="240" w:lineRule="exact"/>
        <w:jc w:val="both"/>
        <w:rPr>
          <w:rFonts w:ascii="Arial" w:hAnsi="Arial" w:cs="Arial"/>
        </w:rPr>
      </w:pPr>
    </w:p>
    <w:p w:rsidR="008B3186" w:rsidRPr="003A1DDA"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r w:rsidR="008B324C" w:rsidRPr="008B324C">
        <w:rPr>
          <w:rFonts w:ascii="Arial" w:hAnsi="Arial" w:cs="Arial"/>
          <w:b/>
          <w:bCs/>
        </w:rPr>
        <w:t xml:space="preserve">Contracte de serveis per a la direcció d’obres i coordinació de seguretat i salut de les obres del projecte constructiu. Millora de la xarxa d’aportació, drenatge i dels calaixos de depuració d’aigües de Cal Tet als espais naturals del Delta del Llobregat, en el marc del Pla de recuperació, transformació i resiliència – Finançat per la UE. </w:t>
      </w:r>
      <w:proofErr w:type="spellStart"/>
      <w:r w:rsidR="008B324C" w:rsidRPr="008B324C">
        <w:rPr>
          <w:rFonts w:ascii="Arial" w:hAnsi="Arial" w:cs="Arial"/>
          <w:b/>
          <w:bCs/>
        </w:rPr>
        <w:t>Next</w:t>
      </w:r>
      <w:proofErr w:type="spellEnd"/>
      <w:r w:rsidR="008B324C" w:rsidRPr="008B324C">
        <w:rPr>
          <w:rFonts w:ascii="Arial" w:hAnsi="Arial" w:cs="Arial"/>
          <w:b/>
          <w:bCs/>
        </w:rPr>
        <w:t xml:space="preserve"> </w:t>
      </w:r>
      <w:proofErr w:type="spellStart"/>
      <w:r w:rsidR="008B324C" w:rsidRPr="008B324C">
        <w:rPr>
          <w:rFonts w:ascii="Arial" w:hAnsi="Arial" w:cs="Arial"/>
          <w:b/>
          <w:bCs/>
        </w:rPr>
        <w:t>Generation</w:t>
      </w:r>
      <w:proofErr w:type="spellEnd"/>
      <w:r w:rsidR="008B324C" w:rsidRPr="008B324C">
        <w:rPr>
          <w:rFonts w:ascii="Arial" w:hAnsi="Arial" w:cs="Arial"/>
          <w:b/>
          <w:bCs/>
        </w:rPr>
        <w:t xml:space="preserve"> EU.  Clau: ENP-23209</w:t>
      </w:r>
    </w:p>
    <w:p w:rsidR="008B3186" w:rsidRPr="003A1DDA"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8B324C" w:rsidRPr="008B324C">
        <w:rPr>
          <w:rFonts w:ascii="Arial" w:hAnsi="Arial" w:cs="Arial"/>
          <w:szCs w:val="24"/>
          <w:lang w:eastAsia="es-ES"/>
        </w:rPr>
        <w:t>4</w:t>
      </w:r>
      <w:r w:rsidR="008B324C">
        <w:rPr>
          <w:rFonts w:ascii="Arial" w:hAnsi="Arial" w:cs="Arial"/>
          <w:szCs w:val="24"/>
          <w:lang w:eastAsia="es-ES"/>
        </w:rPr>
        <w:t>,</w:t>
      </w:r>
      <w:r w:rsidR="008B324C" w:rsidRPr="008B324C">
        <w:rPr>
          <w:rFonts w:ascii="Arial" w:hAnsi="Arial" w:cs="Arial"/>
          <w:szCs w:val="24"/>
          <w:lang w:eastAsia="es-ES"/>
        </w:rPr>
        <w:t xml:space="preserve"> “Conservació i restauració d’ecosistemes i la seva biodiversitat”</w:t>
      </w:r>
      <w:r w:rsidR="008B324C">
        <w:rPr>
          <w:rFonts w:ascii="Arial" w:hAnsi="Arial" w:cs="Arial"/>
          <w:szCs w:val="24"/>
          <w:lang w:eastAsia="es-ES"/>
        </w:rPr>
        <w:t xml:space="preserve">,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8B324C" w:rsidRPr="008B324C">
        <w:rPr>
          <w:rFonts w:ascii="Arial" w:hAnsi="Arial" w:cs="Arial"/>
          <w:szCs w:val="24"/>
          <w:lang w:eastAsia="es-ES"/>
        </w:rPr>
        <w:t>4</w:t>
      </w:r>
      <w:r w:rsidR="008B324C">
        <w:rPr>
          <w:rFonts w:ascii="Arial" w:hAnsi="Arial" w:cs="Arial"/>
          <w:szCs w:val="24"/>
          <w:lang w:eastAsia="es-ES"/>
        </w:rPr>
        <w:t>,</w:t>
      </w:r>
      <w:r w:rsidR="008B324C" w:rsidRPr="008B324C">
        <w:rPr>
          <w:rFonts w:ascii="Arial" w:hAnsi="Arial" w:cs="Arial"/>
          <w:szCs w:val="24"/>
          <w:lang w:eastAsia="es-ES"/>
        </w:rPr>
        <w:t xml:space="preserve"> “Conservació i restauració d’ecosistemes i la seva biodiversitat”</w:t>
      </w:r>
      <w:r w:rsidR="008B324C">
        <w:rPr>
          <w:rFonts w:ascii="Arial" w:hAnsi="Arial" w:cs="Arial"/>
          <w:szCs w:val="24"/>
          <w:lang w:eastAsia="es-ES"/>
        </w:rPr>
        <w:t xml:space="preserve">, </w:t>
      </w:r>
      <w:r w:rsidRPr="00017EE7">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Expedient de contractació núm.: </w:t>
      </w:r>
      <w:r w:rsidR="008B324C" w:rsidRPr="008B324C">
        <w:rPr>
          <w:rFonts w:ascii="Arial" w:hAnsi="Arial" w:cs="Arial"/>
          <w:b/>
          <w:bCs/>
          <w:szCs w:val="24"/>
          <w:lang w:eastAsia="es-ES"/>
        </w:rPr>
        <w:t>DO+CSS. ENP-23209</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Identificació de l’actuació (objecte del contracte que es licita): </w:t>
      </w:r>
      <w:r w:rsidR="008B324C" w:rsidRPr="008B324C">
        <w:rPr>
          <w:rFonts w:ascii="Arial" w:hAnsi="Arial" w:cs="Arial"/>
          <w:b/>
          <w:bCs/>
          <w:szCs w:val="24"/>
          <w:lang w:eastAsia="es-ES"/>
        </w:rPr>
        <w:t xml:space="preserve">Contracte de serveis per a la direcció d’obres i coordinació de seguretat i salut de les obres del projecte constructiu. Millora de la xarxa d’aportació, drenatge i dels calaixos de depuració d’aigües de Cal Tet als espais naturals del Delta del Llobregat, en el marc del Pla de recuperació, transformació i resiliència – Finançat per la UE. </w:t>
      </w:r>
      <w:proofErr w:type="spellStart"/>
      <w:r w:rsidR="008B324C" w:rsidRPr="008B324C">
        <w:rPr>
          <w:rFonts w:ascii="Arial" w:hAnsi="Arial" w:cs="Arial"/>
          <w:b/>
          <w:bCs/>
          <w:szCs w:val="24"/>
          <w:lang w:eastAsia="es-ES"/>
        </w:rPr>
        <w:t>Next</w:t>
      </w:r>
      <w:proofErr w:type="spellEnd"/>
      <w:r w:rsidR="008B324C" w:rsidRPr="008B324C">
        <w:rPr>
          <w:rFonts w:ascii="Arial" w:hAnsi="Arial" w:cs="Arial"/>
          <w:b/>
          <w:bCs/>
          <w:szCs w:val="24"/>
          <w:lang w:eastAsia="es-ES"/>
        </w:rPr>
        <w:t xml:space="preserve"> </w:t>
      </w:r>
      <w:proofErr w:type="spellStart"/>
      <w:r w:rsidR="008B324C" w:rsidRPr="008B324C">
        <w:rPr>
          <w:rFonts w:ascii="Arial" w:hAnsi="Arial" w:cs="Arial"/>
          <w:b/>
          <w:bCs/>
          <w:szCs w:val="24"/>
          <w:lang w:eastAsia="es-ES"/>
        </w:rPr>
        <w:t>Generation</w:t>
      </w:r>
      <w:proofErr w:type="spellEnd"/>
      <w:r w:rsidR="008B324C" w:rsidRPr="008B324C">
        <w:rPr>
          <w:rFonts w:ascii="Arial" w:hAnsi="Arial" w:cs="Arial"/>
          <w:b/>
          <w:bCs/>
          <w:szCs w:val="24"/>
          <w:lang w:eastAsia="es-ES"/>
        </w:rPr>
        <w:t xml:space="preserve"> EU.  Clau: ENP-23209</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Component del Pla de recuperació, transformació i resiliència (PRTR) al qual pertany l’activitat (segons el PRTR): </w:t>
      </w:r>
      <w:r w:rsidR="008B324C" w:rsidRPr="008B324C">
        <w:rPr>
          <w:rFonts w:ascii="Arial" w:hAnsi="Arial" w:cs="Arial"/>
          <w:b/>
          <w:bCs/>
          <w:szCs w:val="24"/>
          <w:lang w:eastAsia="es-ES"/>
        </w:rPr>
        <w:t>4 “Conservació i restauració d’ecosistemes i la seva biodiversitat”</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Mesura del component PRTR a què pertany l’activitat indicant, si escau, la </w:t>
      </w:r>
      <w:proofErr w:type="spellStart"/>
      <w:r w:rsidRPr="003A1DDA">
        <w:rPr>
          <w:rFonts w:ascii="Arial" w:hAnsi="Arial" w:cs="Arial"/>
          <w:szCs w:val="24"/>
          <w:lang w:eastAsia="es-ES"/>
        </w:rPr>
        <w:t>submesura</w:t>
      </w:r>
      <w:proofErr w:type="spellEnd"/>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(segons el PRTR): </w:t>
      </w:r>
      <w:r w:rsidR="008B324C" w:rsidRPr="008B324C">
        <w:rPr>
          <w:rFonts w:ascii="Arial" w:hAnsi="Arial" w:cs="Arial"/>
          <w:b/>
          <w:bCs/>
          <w:szCs w:val="24"/>
          <w:lang w:eastAsia="es-ES"/>
        </w:rPr>
        <w:t>3 “Restauració d'ecosistemes i infraestructura verda”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Etiquetatge climàtic i mediambiental assignat a la mesura (reforma o inversió) o a la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PRTR (si la mesura no disposa d’etiqueta assignada que reconegui contribució climàtica i mediambiental, cal indicar “sense etiqueta”): </w:t>
      </w:r>
      <w:r w:rsidR="008B324C" w:rsidRPr="008B324C">
        <w:rPr>
          <w:rFonts w:ascii="Arial" w:hAnsi="Arial" w:cs="Arial"/>
          <w:b/>
          <w:bCs/>
          <w:szCs w:val="24"/>
          <w:lang w:eastAsia="es-ES"/>
        </w:rPr>
        <w:t>050: “Protecció de la naturalesa i la biodiversitat, patrimoni i recursos naturals, infraestructures verdes i blaves”</w:t>
      </w:r>
      <w:bookmarkStart w:id="0" w:name="_GoBack"/>
      <w:bookmarkEnd w:id="0"/>
    </w:p>
    <w:p w:rsidR="00B12614" w:rsidRPr="003A1DDA"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jc w:val="both"/>
        <w:rPr>
          <w:rFonts w:ascii="Arial" w:hAnsi="Arial" w:cs="Arial"/>
          <w:b/>
          <w:bCs/>
          <w:i/>
          <w:iCs/>
          <w:szCs w:val="24"/>
          <w:lang w:eastAsia="es-ES"/>
        </w:rPr>
      </w:pPr>
      <w:r w:rsidRPr="003A1DDA">
        <w:rPr>
          <w:rFonts w:ascii="Arial" w:hAnsi="Arial" w:cs="Arial"/>
          <w:b/>
          <w:bCs/>
          <w:i/>
          <w:iCs/>
          <w:szCs w:val="24"/>
          <w:lang w:eastAsia="es-ES"/>
        </w:rPr>
        <w:t>(</w:t>
      </w:r>
      <w:proofErr w:type="spellStart"/>
      <w:r w:rsidRPr="003A1DDA">
        <w:rPr>
          <w:rFonts w:ascii="Arial" w:hAnsi="Arial" w:cs="Arial"/>
          <w:b/>
          <w:bCs/>
          <w:i/>
          <w:iCs/>
          <w:szCs w:val="24"/>
          <w:lang w:eastAsia="es-ES"/>
        </w:rPr>
        <w:t>Icat</w:t>
      </w:r>
      <w:proofErr w:type="spellEnd"/>
      <w:r w:rsidRPr="003A1DDA">
        <w:rPr>
          <w:rFonts w:ascii="Arial" w:hAnsi="Arial" w:cs="Arial"/>
          <w:b/>
          <w:bCs/>
          <w:i/>
          <w:iCs/>
          <w:szCs w:val="24"/>
          <w:lang w:eastAsia="es-ES"/>
        </w:rPr>
        <w:t>. han de completar les condicions que es vulgui destacar de la mesura, segons els apartats 3, 6 i 8 del document del component dins del Pla de recuperació, transformació i resiliència.)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jc w:val="both"/>
        <w:rPr>
          <w:rFonts w:ascii="Arial" w:hAnsi="Arial" w:cs="Arial"/>
          <w:b/>
          <w:bCs/>
          <w:i/>
          <w:iCs/>
          <w:szCs w:val="24"/>
          <w:lang w:eastAsia="es-ES"/>
        </w:rPr>
      </w:pPr>
      <w:r w:rsidRPr="003A1DDA">
        <w:rPr>
          <w:rFonts w:ascii="Arial" w:hAnsi="Arial" w:cs="Arial"/>
          <w:b/>
          <w:bCs/>
          <w:i/>
          <w:iCs/>
          <w:szCs w:val="24"/>
          <w:lang w:eastAsia="es-ES"/>
        </w:rPr>
        <w:t xml:space="preserve">(Completar per </w:t>
      </w:r>
      <w:proofErr w:type="spellStart"/>
      <w:r w:rsidRPr="003A1DDA">
        <w:rPr>
          <w:rFonts w:ascii="Arial" w:hAnsi="Arial" w:cs="Arial"/>
          <w:b/>
          <w:bCs/>
          <w:i/>
          <w:iCs/>
          <w:szCs w:val="24"/>
          <w:lang w:eastAsia="es-ES"/>
        </w:rPr>
        <w:t>l’Icat</w:t>
      </w:r>
      <w:proofErr w:type="spellEnd"/>
      <w:r w:rsidRPr="003A1DDA">
        <w:rPr>
          <w:rFonts w:ascii="Arial" w:hAnsi="Arial" w:cs="Arial"/>
          <w:b/>
          <w:bCs/>
          <w:i/>
          <w:iCs/>
          <w:szCs w:val="24"/>
          <w:lang w:eastAsia="es-ES"/>
        </w:rPr>
        <w:t xml:space="preserve"> amb la normativa destacada).</w:t>
      </w:r>
    </w:p>
    <w:p w:rsidR="00B12614" w:rsidRPr="003A1DDA" w:rsidRDefault="00B12614" w:rsidP="00B12614">
      <w:pPr>
        <w:spacing w:after="0" w:line="240" w:lineRule="exact"/>
        <w:ind w:left="709" w:hanging="709"/>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lastRenderedPageBreak/>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default" r:id="rId8"/>
      <w:footerReference w:type="default" r:id="rId9"/>
      <w:footerReference w:type="first" r:id="rId10"/>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324C"/>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62901C28"/>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DBF5-2118-45E6-93AF-7CBCE9D9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2575</Words>
  <Characters>14680</Characters>
  <Application>Microsoft Office Word</Application>
  <DocSecurity>0</DocSecurity>
  <Lines>122</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19</cp:revision>
  <cp:lastPrinted>2023-06-30T16:41:00Z</cp:lastPrinted>
  <dcterms:created xsi:type="dcterms:W3CDTF">2023-06-07T17:00:00Z</dcterms:created>
  <dcterms:modified xsi:type="dcterms:W3CDTF">2025-03-05T16:11:00Z</dcterms:modified>
</cp:coreProperties>
</file>