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png" ContentType="image/png"/>
  <Override PartName="/word/media/image2.jpeg" ContentType="image/jpeg"/>
  <Override PartName="/word/media/image3.png" ContentType="image/png"/>
  <Override PartName="/word/media/image4.jpeg" ContentType="image/jpeg"/>
  <Override PartName="/word/header2.xml" ContentType="application/vnd.openxmlformats-officedocument.wordprocessingml.header+xml"/>
  <Override PartName="/word/footer3.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3.xml.rels" ContentType="application/vnd.openxmlformats-package.relationships+xml"/>
  <Override PartName="/word/_rels/header1.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W w:w="9498" w:type="dxa"/>
        <w:jc w:val="left"/>
        <w:tblInd w:w="109" w:type="dxa"/>
        <w:tblLayout w:type="fixed"/>
        <w:tblCellMar>
          <w:top w:w="0" w:type="dxa"/>
          <w:left w:w="108" w:type="dxa"/>
          <w:bottom w:w="0" w:type="dxa"/>
          <w:right w:w="108" w:type="dxa"/>
        </w:tblCellMar>
        <w:tblLook w:firstRow="0" w:noVBand="0" w:lastRow="0" w:firstColumn="0" w:lastColumn="0" w:noHBand="0" w:val="0000"/>
      </w:tblPr>
      <w:tblGrid>
        <w:gridCol w:w="4538"/>
        <w:gridCol w:w="4959"/>
      </w:tblGrid>
      <w:tr>
        <w:trPr>
          <w:trHeight w:val="742" w:hRule="atLeast"/>
        </w:trPr>
        <w:tc>
          <w:tcPr>
            <w:tcW w:w="9497"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napToGrid w:val="false"/>
              <w:jc w:val="center"/>
              <w:rPr>
                <w:b/>
                <w:b/>
                <w:sz w:val="22"/>
                <w:szCs w:val="22"/>
              </w:rPr>
            </w:pPr>
            <w:r>
              <w:rPr>
                <w:b/>
                <w:sz w:val="22"/>
                <w:szCs w:val="22"/>
              </w:rPr>
            </w:r>
          </w:p>
          <w:p>
            <w:pPr>
              <w:pStyle w:val="Normal"/>
              <w:widowControl w:val="false"/>
              <w:ind w:left="356" w:hanging="0"/>
              <w:jc w:val="center"/>
              <w:rPr>
                <w:sz w:val="22"/>
                <w:szCs w:val="22"/>
              </w:rPr>
            </w:pPr>
            <w:r>
              <w:rPr>
                <w:b/>
                <w:sz w:val="22"/>
                <w:szCs w:val="22"/>
              </w:rPr>
              <w:t>PLEC DE CLÀUSULES ADMINISTRATIVES PARTICULARS</w:t>
            </w:r>
          </w:p>
          <w:p>
            <w:pPr>
              <w:pStyle w:val="Normal"/>
              <w:widowControl w:val="false"/>
              <w:jc w:val="both"/>
              <w:rPr>
                <w:b/>
                <w:b/>
                <w:sz w:val="22"/>
                <w:szCs w:val="22"/>
              </w:rPr>
            </w:pPr>
            <w:r>
              <w:rPr>
                <w:b/>
                <w:sz w:val="22"/>
                <w:szCs w:val="22"/>
              </w:rPr>
            </w:r>
          </w:p>
        </w:tc>
      </w:tr>
      <w:tr>
        <w:trPr>
          <w:trHeight w:val="317" w:hRule="atLeast"/>
        </w:trPr>
        <w:tc>
          <w:tcPr>
            <w:tcW w:w="453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b/>
                <w:b/>
                <w:sz w:val="22"/>
                <w:szCs w:val="22"/>
              </w:rPr>
            </w:pPr>
            <w:r>
              <w:rPr>
                <w:b/>
                <w:sz w:val="22"/>
                <w:szCs w:val="22"/>
              </w:rPr>
            </w:r>
          </w:p>
          <w:p>
            <w:pPr>
              <w:pStyle w:val="Normal"/>
              <w:widowControl w:val="false"/>
              <w:jc w:val="both"/>
              <w:rPr>
                <w:b/>
                <w:b/>
                <w:color w:val="4F81BD"/>
                <w:sz w:val="22"/>
                <w:szCs w:val="22"/>
              </w:rPr>
            </w:pPr>
            <w:r>
              <w:rPr>
                <w:b/>
                <w:color w:val="auto"/>
                <w:sz w:val="22"/>
                <w:szCs w:val="22"/>
              </w:rPr>
              <w:t>TIPOLOGIA DEL CONTRACTE</w:t>
            </w:r>
          </w:p>
        </w:tc>
        <w:tc>
          <w:tcPr>
            <w:tcW w:w="495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b/>
                <w:b/>
                <w:sz w:val="22"/>
                <w:szCs w:val="22"/>
                <w:shd w:fill="auto" w:val="clear"/>
              </w:rPr>
            </w:pPr>
            <w:r>
              <w:rPr>
                <w:b/>
                <w:sz w:val="22"/>
                <w:szCs w:val="22"/>
                <w:shd w:fill="auto" w:val="clear"/>
              </w:rPr>
            </w:r>
          </w:p>
          <w:p>
            <w:pPr>
              <w:pStyle w:val="Normal"/>
              <w:widowControl w:val="false"/>
              <w:jc w:val="both"/>
              <w:rPr>
                <w:color w:val="auto"/>
                <w:sz w:val="22"/>
                <w:szCs w:val="22"/>
                <w:shd w:fill="auto" w:val="clear"/>
              </w:rPr>
            </w:pPr>
            <w:r>
              <w:rPr>
                <w:color w:val="000000"/>
                <w:sz w:val="22"/>
                <w:szCs w:val="22"/>
                <w:shd w:fill="auto" w:val="clear"/>
              </w:rPr>
              <w:t>SERVEIS</w:t>
            </w:r>
          </w:p>
        </w:tc>
      </w:tr>
      <w:tr>
        <w:trPr>
          <w:trHeight w:val="279" w:hRule="atLeast"/>
        </w:trPr>
        <w:tc>
          <w:tcPr>
            <w:tcW w:w="453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b/>
                <w:b/>
                <w:sz w:val="22"/>
                <w:szCs w:val="22"/>
              </w:rPr>
            </w:pPr>
            <w:r>
              <w:rPr>
                <w:b/>
                <w:sz w:val="22"/>
                <w:szCs w:val="22"/>
              </w:rPr>
            </w:r>
          </w:p>
          <w:p>
            <w:pPr>
              <w:pStyle w:val="Normal"/>
              <w:widowControl w:val="false"/>
              <w:jc w:val="both"/>
              <w:rPr>
                <w:sz w:val="22"/>
                <w:szCs w:val="22"/>
              </w:rPr>
            </w:pPr>
            <w:r>
              <w:rPr>
                <w:b/>
                <w:sz w:val="22"/>
                <w:szCs w:val="22"/>
              </w:rPr>
              <w:t>EXPEDIENT</w:t>
            </w:r>
          </w:p>
        </w:tc>
        <w:tc>
          <w:tcPr>
            <w:tcW w:w="495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ECAS 08257/2024</w:t>
            </w:r>
          </w:p>
        </w:tc>
      </w:tr>
      <w:tr>
        <w:trPr>
          <w:trHeight w:val="411" w:hRule="atLeast"/>
        </w:trPr>
        <w:tc>
          <w:tcPr>
            <w:tcW w:w="453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b/>
                <w:b/>
                <w:sz w:val="22"/>
                <w:szCs w:val="22"/>
              </w:rPr>
            </w:pPr>
            <w:r>
              <w:rPr>
                <w:b/>
                <w:sz w:val="22"/>
                <w:szCs w:val="22"/>
              </w:rPr>
            </w:r>
          </w:p>
          <w:p>
            <w:pPr>
              <w:pStyle w:val="Normal"/>
              <w:widowControl w:val="false"/>
              <w:jc w:val="both"/>
              <w:rPr>
                <w:sz w:val="22"/>
                <w:szCs w:val="22"/>
              </w:rPr>
            </w:pPr>
            <w:r>
              <w:rPr>
                <w:b/>
                <w:sz w:val="22"/>
                <w:szCs w:val="22"/>
              </w:rPr>
              <w:t>PROCEDIMENT</w:t>
            </w:r>
          </w:p>
        </w:tc>
        <w:tc>
          <w:tcPr>
            <w:tcW w:w="495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sz w:val="22"/>
                <w:szCs w:val="22"/>
                <w:shd w:fill="auto" w:val="clear"/>
              </w:rPr>
            </w:pPr>
            <w:r>
              <w:rPr>
                <w:sz w:val="22"/>
                <w:szCs w:val="22"/>
                <w:shd w:fill="auto" w:val="clear"/>
              </w:rPr>
            </w:r>
          </w:p>
          <w:p>
            <w:pPr>
              <w:pStyle w:val="Normal"/>
              <w:widowControl w:val="false"/>
              <w:jc w:val="both"/>
              <w:rPr>
                <w:shd w:fill="auto" w:val="clear"/>
              </w:rPr>
            </w:pPr>
            <w:r>
              <w:rPr>
                <w:sz w:val="22"/>
                <w:szCs w:val="22"/>
                <w:shd w:fill="auto" w:val="clear"/>
              </w:rPr>
              <w:t>OBERT/ HARMONITZAT</w:t>
            </w:r>
          </w:p>
        </w:tc>
      </w:tr>
      <w:tr>
        <w:trPr>
          <w:trHeight w:val="411" w:hRule="atLeast"/>
        </w:trPr>
        <w:tc>
          <w:tcPr>
            <w:tcW w:w="453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b/>
                <w:b/>
                <w:sz w:val="22"/>
                <w:szCs w:val="22"/>
              </w:rPr>
            </w:pPr>
            <w:r>
              <w:rPr>
                <w:b/>
                <w:sz w:val="22"/>
                <w:szCs w:val="22"/>
              </w:rPr>
            </w:r>
          </w:p>
          <w:p>
            <w:pPr>
              <w:pStyle w:val="Normal"/>
              <w:widowControl w:val="false"/>
              <w:jc w:val="both"/>
              <w:rPr>
                <w:sz w:val="22"/>
                <w:szCs w:val="22"/>
              </w:rPr>
            </w:pPr>
            <w:r>
              <w:rPr>
                <w:b/>
                <w:sz w:val="22"/>
                <w:szCs w:val="22"/>
              </w:rPr>
              <w:t>TRAMITACIÓ</w:t>
            </w:r>
          </w:p>
        </w:tc>
        <w:tc>
          <w:tcPr>
            <w:tcW w:w="4959"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sz w:val="22"/>
                <w:szCs w:val="22"/>
                <w:shd w:fill="auto" w:val="clear"/>
              </w:rPr>
            </w:pPr>
            <w:r>
              <w:rPr>
                <w:sz w:val="22"/>
                <w:szCs w:val="22"/>
                <w:shd w:fill="auto" w:val="clear"/>
              </w:rPr>
            </w:r>
          </w:p>
          <w:p>
            <w:pPr>
              <w:pStyle w:val="Normal"/>
              <w:widowControl w:val="false"/>
              <w:jc w:val="both"/>
              <w:rPr>
                <w:shd w:fill="auto" w:val="clear"/>
              </w:rPr>
            </w:pPr>
            <w:r>
              <w:rPr>
                <w:sz w:val="22"/>
                <w:szCs w:val="22"/>
                <w:shd w:fill="auto" w:val="clear"/>
              </w:rPr>
              <w:t>ORDINÀRIA</w:t>
            </w:r>
          </w:p>
        </w:tc>
      </w:tr>
    </w:tbl>
    <w:p>
      <w:pPr>
        <w:pStyle w:val="Normal"/>
        <w:tabs>
          <w:tab w:val="clear" w:pos="720"/>
          <w:tab w:val="left" w:pos="3150" w:leader="none"/>
        </w:tabs>
        <w:jc w:val="both"/>
        <w:rPr>
          <w:b/>
          <w:b/>
          <w:sz w:val="24"/>
          <w:highlight w:val="magenta"/>
          <w:lang w:val="es-ES"/>
        </w:rPr>
      </w:pPr>
      <w:r>
        <w:rPr>
          <w:b/>
          <w:sz w:val="24"/>
          <w:highlight w:val="magenta"/>
          <w:lang w:val="es-ES"/>
        </w:rPr>
      </w:r>
    </w:p>
    <w:p>
      <w:pPr>
        <w:pStyle w:val="Normal"/>
        <w:tabs>
          <w:tab w:val="clear" w:pos="720"/>
          <w:tab w:val="left" w:pos="3150" w:leader="none"/>
        </w:tabs>
        <w:jc w:val="both"/>
        <w:rPr>
          <w:b/>
          <w:b/>
          <w:sz w:val="24"/>
          <w:highlight w:val="magenta"/>
          <w:lang w:val="es-ES"/>
        </w:rPr>
      </w:pPr>
      <w:r>
        <w:rPr>
          <w:b/>
          <w:sz w:val="24"/>
          <w:highlight w:val="magenta"/>
          <w:lang w:val="es-ES"/>
        </w:rPr>
      </w:r>
    </w:p>
    <w:p>
      <w:pPr>
        <w:pStyle w:val="Normal"/>
        <w:tabs>
          <w:tab w:val="clear" w:pos="720"/>
          <w:tab w:val="left" w:pos="3150" w:leader="none"/>
        </w:tabs>
        <w:jc w:val="both"/>
        <w:rPr>
          <w:b/>
          <w:b/>
          <w:sz w:val="24"/>
          <w:highlight w:val="magenta"/>
          <w:lang w:val="es-ES"/>
        </w:rPr>
      </w:pPr>
      <w:r>
        <w:rPr>
          <w:b/>
          <w:sz w:val="24"/>
          <w:highlight w:val="magenta"/>
          <w:lang w:val="es-ES"/>
        </w:rPr>
      </w:r>
    </w:p>
    <w:p>
      <w:pPr>
        <w:pStyle w:val="Normal"/>
        <w:jc w:val="both"/>
        <w:rPr>
          <w:b/>
          <w:b/>
          <w:sz w:val="24"/>
          <w:szCs w:val="24"/>
        </w:rPr>
      </w:pPr>
      <w:r>
        <w:rPr>
          <w:b/>
          <w:sz w:val="24"/>
          <w:szCs w:val="24"/>
        </w:rPr>
      </w:r>
    </w:p>
    <w:p>
      <w:pPr>
        <w:pStyle w:val="Normal"/>
        <w:jc w:val="both"/>
        <w:rPr>
          <w:b/>
          <w:b/>
          <w:sz w:val="24"/>
          <w:szCs w:val="24"/>
        </w:rPr>
      </w:pPr>
      <w:r>
        <w:rPr>
          <w:b/>
          <w:sz w:val="24"/>
          <w:szCs w:val="24"/>
        </w:rPr>
      </w:r>
    </w:p>
    <w:p>
      <w:pPr>
        <w:pStyle w:val="Normal"/>
        <w:jc w:val="both"/>
        <w:rPr>
          <w:b/>
          <w:b/>
          <w:sz w:val="24"/>
          <w:szCs w:val="24"/>
        </w:rPr>
      </w:pPr>
      <w:r>
        <w:rPr>
          <w:b/>
          <w:sz w:val="24"/>
          <w:szCs w:val="24"/>
        </w:rPr>
      </w:r>
    </w:p>
    <w:p>
      <w:pPr>
        <w:pStyle w:val="Normal"/>
        <w:jc w:val="both"/>
        <w:rPr>
          <w:b/>
          <w:b/>
          <w:sz w:val="24"/>
          <w:szCs w:val="24"/>
        </w:rPr>
      </w:pPr>
      <w:r>
        <w:rPr>
          <w:b/>
          <w:sz w:val="24"/>
          <w:szCs w:val="24"/>
        </w:rPr>
      </w:r>
    </w:p>
    <w:p>
      <w:pPr>
        <w:pStyle w:val="Normal"/>
        <w:jc w:val="both"/>
        <w:rPr>
          <w:b/>
          <w:b/>
          <w:sz w:val="24"/>
          <w:szCs w:val="24"/>
        </w:rPr>
      </w:pPr>
      <w:r>
        <w:rPr>
          <w:b/>
          <w:sz w:val="24"/>
          <w:szCs w:val="24"/>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r>
        <w:br w:type="page"/>
      </w:r>
    </w:p>
    <w:p>
      <w:pPr>
        <w:pStyle w:val="Normal"/>
        <w:jc w:val="both"/>
        <w:rPr>
          <w:b/>
          <w:b/>
          <w:sz w:val="24"/>
          <w:szCs w:val="24"/>
          <w:lang w:val="es-ES"/>
        </w:rPr>
      </w:pPr>
      <w:r>
        <w:rPr>
          <w:b/>
          <w:sz w:val="24"/>
          <w:szCs w:val="24"/>
          <w:lang w:val="es-ES"/>
        </w:rPr>
      </w:r>
    </w:p>
    <w:tbl>
      <w:tblPr>
        <w:tblW w:w="11116" w:type="dxa"/>
        <w:jc w:val="left"/>
        <w:tblInd w:w="-731" w:type="dxa"/>
        <w:tblLayout w:type="fixed"/>
        <w:tblCellMar>
          <w:top w:w="85" w:type="dxa"/>
          <w:left w:w="85" w:type="dxa"/>
          <w:bottom w:w="85" w:type="dxa"/>
          <w:right w:w="85" w:type="dxa"/>
        </w:tblCellMar>
        <w:tblLook w:firstRow="0" w:noVBand="0" w:lastRow="0" w:firstColumn="0" w:lastColumn="0" w:noHBand="0" w:val="0000"/>
      </w:tblPr>
      <w:tblGrid>
        <w:gridCol w:w="3796"/>
        <w:gridCol w:w="4246"/>
        <w:gridCol w:w="3074"/>
      </w:tblGrid>
      <w:tr>
        <w:trPr>
          <w:trHeight w:val="433" w:hRule="atLeast"/>
        </w:trPr>
        <w:tc>
          <w:tcPr>
            <w:tcW w:w="11116" w:type="dxa"/>
            <w:gridSpan w:val="3"/>
            <w:tcBorders>
              <w:top w:val="thinThickSmallGap" w:sz="24" w:space="0" w:color="000000"/>
              <w:left w:val="threeDEngrave" w:sz="24" w:space="0" w:color="000000"/>
              <w:bottom w:val="thickThinSmallGap" w:sz="24" w:space="0" w:color="000000"/>
              <w:right w:val="threeDEmboss" w:sz="24" w:space="0" w:color="000000"/>
            </w:tcBorders>
            <w:shd w:color="auto" w:fill="B3B3B3" w:val="clear"/>
          </w:tcPr>
          <w:p>
            <w:pPr>
              <w:pStyle w:val="Normal"/>
              <w:widowControl w:val="false"/>
              <w:snapToGrid w:val="false"/>
              <w:jc w:val="center"/>
              <w:rPr>
                <w:b/>
                <w:b/>
                <w:sz w:val="16"/>
                <w:szCs w:val="16"/>
              </w:rPr>
            </w:pPr>
            <w:r>
              <w:rPr>
                <w:b/>
                <w:sz w:val="16"/>
                <w:szCs w:val="16"/>
              </w:rPr>
            </w:r>
          </w:p>
          <w:p>
            <w:pPr>
              <w:pStyle w:val="Normal"/>
              <w:widowControl w:val="false"/>
              <w:jc w:val="center"/>
              <w:rPr>
                <w:sz w:val="20"/>
                <w:szCs w:val="20"/>
              </w:rPr>
            </w:pPr>
            <w:r>
              <w:rPr>
                <w:b/>
                <w:sz w:val="20"/>
                <w:szCs w:val="20"/>
              </w:rPr>
              <w:t>OBJECTE:</w:t>
            </w:r>
            <w:r>
              <w:rPr>
                <w:sz w:val="20"/>
                <w:szCs w:val="20"/>
              </w:rPr>
              <w:t xml:space="preserve"> </w:t>
            </w:r>
            <w:r>
              <w:fldChar w:fldCharType="begin">
                <w:ffData>
                  <w:name w:val="__Fieldmark__4_61048"/>
                  <w:enabled/>
                  <w:calcOnExit w:val="0"/>
                  <w:textInput/>
                </w:ffData>
              </w:fldChar>
            </w:r>
            <w:r>
              <w:rPr>
                <w:sz w:val="20"/>
                <w:szCs w:val="20"/>
              </w:rPr>
              <w:instrText> FORMTEXT </w:instrText>
            </w:r>
            <w:r>
              <w:rPr>
                <w:sz w:val="20"/>
                <w:szCs w:val="20"/>
              </w:rPr>
            </w:r>
            <w:r>
              <w:rPr>
                <w:sz w:val="20"/>
                <w:szCs w:val="20"/>
              </w:rPr>
              <w:fldChar w:fldCharType="separate"/>
            </w:r>
            <w:r>
              <w:rPr>
                <w:sz w:val="20"/>
                <w:szCs w:val="20"/>
              </w:rPr>
            </w:r>
            <w:r>
              <w:rPr>
                <w:sz w:val="20"/>
                <w:szCs w:val="20"/>
              </w:rPr>
            </w:r>
            <w:r>
              <w:rPr>
                <w:sz w:val="20"/>
                <w:szCs w:val="20"/>
              </w:rPr>
              <w:fldChar w:fldCharType="end"/>
            </w:r>
            <w:r>
              <w:rPr>
                <w:sz w:val="20"/>
                <w:szCs w:val="20"/>
                <w:shd w:fill="auto" w:val="clear"/>
                <w:lang w:val="en-US" w:eastAsia="es-ES"/>
              </w:rPr>
              <w:t>S</w:t>
            </w:r>
            <w:r>
              <w:rPr>
                <w:sz w:val="20"/>
                <w:szCs w:val="20"/>
              </w:rPr>
              <w:t xml:space="preserve">ervei de menjador </w:t>
            </w:r>
            <w:r>
              <w:rPr>
                <w:rFonts w:eastAsia="SimSun;宋体"/>
                <w:color w:val="00000A"/>
                <w:sz w:val="20"/>
                <w:szCs w:val="20"/>
                <w:lang w:val="ca-ES" w:eastAsia="zh-CN"/>
              </w:rPr>
              <w:t>per a</w:t>
            </w:r>
            <w:r>
              <w:rPr>
                <w:sz w:val="20"/>
                <w:szCs w:val="20"/>
              </w:rPr>
              <w:t xml:space="preserve"> les escoles bressol municipals  i les escoles municipals d’educació especial dependents del Servei d’Educació de l’Ajuntament de Terrassa amb criteris de contractació pública ecològica</w:t>
            </w:r>
          </w:p>
        </w:tc>
      </w:tr>
      <w:tr>
        <w:trPr>
          <w:trHeight w:val="415"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ORGANISME</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ind w:right="176" w:hanging="0"/>
              <w:rPr/>
            </w:pPr>
            <w:r>
              <w:rPr/>
              <w:t>Ajuntament de Terrassa</w:t>
            </w:r>
          </w:p>
        </w:tc>
      </w:tr>
      <w:tr>
        <w:trPr>
          <w:trHeight w:val="415"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DEPENDÈNCIA TRAMITADORA</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ind w:right="176" w:hanging="0"/>
              <w:rPr/>
            </w:pPr>
            <w:r>
              <w:rPr/>
              <w:t>Secció de Contractació de serveis i subministraments</w:t>
            </w:r>
          </w:p>
        </w:tc>
      </w:tr>
      <w:tr>
        <w:trPr>
          <w:trHeight w:val="415"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NÚMERO D’EXPEDIENT</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ind w:right="176" w:hanging="0"/>
              <w:rPr/>
            </w:pPr>
            <w:r>
              <w:rPr/>
              <w:t>ECAS 08257/2024</w:t>
            </w:r>
          </w:p>
        </w:tc>
      </w:tr>
      <w:tr>
        <w:trPr>
          <w:trHeight w:val="419"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PERFIL DE CONTRACTANT</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ind w:right="176" w:hanging="0"/>
              <w:rPr/>
            </w:pPr>
            <w:r>
              <w:rPr/>
              <w:t>https://seuelectronica.terrassa.cat/web/seu/perfil-de-contractant</w:t>
            </w:r>
          </w:p>
        </w:tc>
      </w:tr>
      <w:tr>
        <w:trPr>
          <w:trHeight w:val="419"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PROCEDIMENT D’ADJUDICACIÓ</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ind w:right="176" w:hanging="0"/>
              <w:rPr>
                <w:shd w:fill="auto" w:val="clear"/>
              </w:rPr>
            </w:pPr>
            <w:r>
              <w:rPr>
                <w:shd w:fill="auto" w:val="clear"/>
              </w:rPr>
              <w:t>Obert/ harmonitzat</w:t>
            </w:r>
          </w:p>
        </w:tc>
      </w:tr>
      <w:tr>
        <w:trPr>
          <w:trHeight w:val="419"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TRAMITACIÓ</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ind w:right="176" w:hanging="0"/>
              <w:rPr>
                <w:bCs/>
                <w:shd w:fill="auto" w:val="clear"/>
              </w:rPr>
            </w:pPr>
            <w:r>
              <w:rPr>
                <w:bCs/>
                <w:shd w:fill="auto" w:val="clear"/>
              </w:rPr>
              <w:t>Ordinària</w:t>
            </w:r>
          </w:p>
        </w:tc>
      </w:tr>
      <w:tr>
        <w:trPr>
          <w:trHeight w:val="403"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shd w:fill="FFFF00" w:val="clear"/>
              </w:rPr>
            </w:pPr>
            <w:r>
              <w:rPr>
                <w:b/>
              </w:rPr>
              <w:t>CPV</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tabs>
                <w:tab w:val="clear" w:pos="720"/>
                <w:tab w:val="left" w:pos="1876" w:leader="none"/>
              </w:tabs>
              <w:ind w:right="176" w:hanging="0"/>
              <w:rPr>
                <w:color w:val="000000"/>
                <w:shd w:fill="auto" w:val="clear"/>
              </w:rPr>
            </w:pPr>
            <w:r>
              <w:rPr>
                <w:color w:val="000000"/>
                <w:shd w:fill="auto" w:val="clear"/>
              </w:rPr>
              <w:t>55523100-3 Serveis de menjadors escolars</w:t>
            </w:r>
          </w:p>
          <w:p>
            <w:pPr>
              <w:pStyle w:val="Normal"/>
              <w:widowControl w:val="false"/>
              <w:tabs>
                <w:tab w:val="clear" w:pos="720"/>
                <w:tab w:val="left" w:pos="1876" w:leader="none"/>
              </w:tabs>
              <w:ind w:right="176" w:hanging="0"/>
              <w:rPr>
                <w:color w:val="000000"/>
                <w:shd w:fill="auto" w:val="clear"/>
              </w:rPr>
            </w:pPr>
            <w:r>
              <w:rPr>
                <w:color w:val="000000"/>
                <w:shd w:fill="auto" w:val="clear"/>
              </w:rPr>
              <w:t>55524000-9 Serveis d’àpats per a escoles</w:t>
            </w:r>
          </w:p>
        </w:tc>
      </w:tr>
      <w:tr>
        <w:trPr>
          <w:trHeight w:val="423"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LOTS</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ind w:right="176" w:hanging="0"/>
              <w:rPr>
                <w:color w:val="000000"/>
                <w:shd w:fill="auto" w:val="clear"/>
              </w:rPr>
            </w:pPr>
            <w:r>
              <w:rPr>
                <w:color w:val="000000"/>
                <w:shd w:fill="auto" w:val="clear"/>
              </w:rPr>
              <w:t>No hi ha lots</w:t>
            </w:r>
          </w:p>
        </w:tc>
      </w:tr>
      <w:tr>
        <w:trPr>
          <w:trHeight w:val="423"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FORMA D’ADJUDICACIÓ</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tabs>
                <w:tab w:val="clear" w:pos="720"/>
                <w:tab w:val="left" w:pos="-625" w:leader="none"/>
              </w:tabs>
              <w:suppressAutoHyphens w:val="true"/>
              <w:bidi w:val="0"/>
              <w:spacing w:before="0" w:after="0"/>
              <w:ind w:left="0" w:right="0" w:hanging="0"/>
              <w:jc w:val="both"/>
              <w:rPr>
                <w:bCs/>
                <w:color w:val="auto"/>
              </w:rPr>
            </w:pPr>
            <w:r>
              <w:rPr>
                <w:rFonts w:eastAsia="SimSun;宋体" w:cs="Arial"/>
                <w:bCs/>
                <w:color w:val="000000"/>
                <w:kern w:val="0"/>
                <w:sz w:val="20"/>
                <w:szCs w:val="20"/>
                <w:shd w:fill="auto" w:val="clear"/>
                <w:lang w:val="ca-ES" w:eastAsia="zh-CN" w:bidi="ar-SA"/>
              </w:rPr>
              <w:t>Resolució de la tinenta d'alcalde de l’Àrea de Serveis Generals i Govern Obert per delegació de l’alcalde de conformitat amb el que disposa el decret d'Alcaldia-Presidència amb número 6284/2025, de data  26 febrer de 2025, de delegacions d’Alcaldia.</w:t>
            </w:r>
          </w:p>
        </w:tc>
      </w:tr>
      <w:tr>
        <w:trPr>
          <w:trHeight w:val="459" w:hRule="atLeast"/>
        </w:trPr>
        <w:tc>
          <w:tcPr>
            <w:tcW w:w="3796" w:type="dxa"/>
            <w:vMerge w:val="restart"/>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ASPECTES ECONÒMICS</w:t>
            </w:r>
          </w:p>
        </w:tc>
        <w:tc>
          <w:tcPr>
            <w:tcW w:w="4246" w:type="dxa"/>
            <w:tcBorders>
              <w:top w:val="single" w:sz="4" w:space="0" w:color="000000"/>
              <w:left w:val="single" w:sz="4" w:space="0" w:color="000000"/>
              <w:bottom w:val="single" w:sz="4" w:space="0" w:color="000000"/>
            </w:tcBorders>
            <w:vAlign w:val="center"/>
          </w:tcPr>
          <w:p>
            <w:pPr>
              <w:pStyle w:val="Normal"/>
              <w:widowControl w:val="false"/>
              <w:rPr/>
            </w:pPr>
            <w:r>
              <w:rPr/>
              <w:t>Pressupost base de licitació, IVA exclòs</w:t>
            </w:r>
          </w:p>
        </w:tc>
        <w:tc>
          <w:tcPr>
            <w:tcW w:w="3074" w:type="dxa"/>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jc w:val="right"/>
              <w:rPr/>
            </w:pPr>
            <w:r>
              <w:fldChar w:fldCharType="begin">
                <w:ffData>
                  <w:name w:val="__Fieldmark__8_61048"/>
                  <w:enabled/>
                  <w:calcOnExit w:val="0"/>
                  <w:textInput/>
                </w:ffData>
              </w:fldChar>
            </w:r>
            <w:r>
              <w:rPr/>
              <w:instrText> FORMTEXT </w:instrText>
            </w:r>
            <w:r>
              <w:rPr/>
            </w:r>
            <w:r>
              <w:rPr/>
              <w:fldChar w:fldCharType="separate"/>
            </w:r>
            <w:r>
              <w:rPr/>
            </w:r>
            <w:r>
              <w:rPr>
                <w:lang w:val="en-US" w:eastAsia="es-ES"/>
              </w:rPr>
              <w:t xml:space="preserve"> 1.894.418,40 </w:t>
            </w:r>
            <w:r>
              <w:rPr/>
            </w:r>
            <w:r>
              <w:rPr/>
              <w:fldChar w:fldCharType="end"/>
            </w:r>
            <w:r>
              <w:rPr/>
              <w:t>€</w:t>
            </w:r>
          </w:p>
        </w:tc>
      </w:tr>
      <w:tr>
        <w:trPr>
          <w:trHeight w:val="422" w:hRule="atLeast"/>
        </w:trPr>
        <w:tc>
          <w:tcPr>
            <w:tcW w:w="3796" w:type="dxa"/>
            <w:vMerge w:val="continue"/>
            <w:tcBorders>
              <w:top w:val="single" w:sz="4" w:space="0" w:color="000000"/>
              <w:left w:val="threeDEngrave" w:sz="24" w:space="0" w:color="000000"/>
              <w:bottom w:val="single" w:sz="4" w:space="0" w:color="000000"/>
            </w:tcBorders>
            <w:shd w:color="auto" w:fill="E0E0E0" w:val="clear"/>
            <w:vAlign w:val="center"/>
          </w:tcPr>
          <w:p>
            <w:pPr>
              <w:pStyle w:val="Normal"/>
              <w:widowControl w:val="false"/>
              <w:snapToGrid w:val="false"/>
              <w:rPr>
                <w:b/>
                <w:b/>
                <w:sz w:val="24"/>
              </w:rPr>
            </w:pPr>
            <w:r>
              <w:rPr>
                <w:b/>
                <w:sz w:val="24"/>
              </w:rPr>
            </w:r>
          </w:p>
        </w:tc>
        <w:tc>
          <w:tcPr>
            <w:tcW w:w="4246" w:type="dxa"/>
            <w:tcBorders>
              <w:top w:val="single" w:sz="4" w:space="0" w:color="000000"/>
              <w:left w:val="single" w:sz="4" w:space="0" w:color="000000"/>
              <w:bottom w:val="single" w:sz="4" w:space="0" w:color="000000"/>
            </w:tcBorders>
            <w:vAlign w:val="center"/>
          </w:tcPr>
          <w:p>
            <w:pPr>
              <w:pStyle w:val="Normal"/>
              <w:widowControl w:val="false"/>
              <w:rPr/>
            </w:pPr>
            <w:r>
              <w:rPr/>
              <w:t>Tipus d’IVA</w:t>
            </w:r>
          </w:p>
        </w:tc>
        <w:tc>
          <w:tcPr>
            <w:tcW w:w="3074" w:type="dxa"/>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jc w:val="right"/>
              <w:rPr/>
            </w:pPr>
            <w:r>
              <w:fldChar w:fldCharType="begin">
                <w:ffData>
                  <w:name w:val="__Fieldmark__9_61048"/>
                  <w:enabled/>
                  <w:calcOnExit w:val="0"/>
                  <w:textInput/>
                </w:ffData>
              </w:fldChar>
            </w:r>
            <w:r>
              <w:rPr/>
              <w:instrText> FORMTEXT </w:instrText>
            </w:r>
            <w:r>
              <w:rPr/>
            </w:r>
            <w:r>
              <w:rPr/>
              <w:fldChar w:fldCharType="separate"/>
            </w:r>
            <w:r>
              <w:rPr/>
            </w:r>
            <w:r>
              <w:rPr>
                <w:lang w:val="en-US" w:eastAsia="es-ES"/>
              </w:rPr>
              <w:t xml:space="preserve">10 </w:t>
            </w:r>
            <w:r>
              <w:rPr/>
            </w:r>
            <w:r>
              <w:rPr/>
              <w:fldChar w:fldCharType="end"/>
            </w:r>
            <w:r>
              <w:rPr/>
              <w:t>%</w:t>
            </w:r>
          </w:p>
        </w:tc>
      </w:tr>
      <w:tr>
        <w:trPr>
          <w:trHeight w:val="500" w:hRule="atLeast"/>
        </w:trPr>
        <w:tc>
          <w:tcPr>
            <w:tcW w:w="3796" w:type="dxa"/>
            <w:vMerge w:val="continue"/>
            <w:tcBorders>
              <w:top w:val="single" w:sz="4" w:space="0" w:color="000000"/>
              <w:left w:val="threeDEngrave" w:sz="24" w:space="0" w:color="000000"/>
              <w:bottom w:val="single" w:sz="4" w:space="0" w:color="000000"/>
            </w:tcBorders>
            <w:shd w:color="auto" w:fill="E0E0E0" w:val="clear"/>
            <w:vAlign w:val="center"/>
          </w:tcPr>
          <w:p>
            <w:pPr>
              <w:pStyle w:val="Normal"/>
              <w:widowControl w:val="false"/>
              <w:snapToGrid w:val="false"/>
              <w:rPr>
                <w:b/>
                <w:b/>
                <w:sz w:val="24"/>
              </w:rPr>
            </w:pPr>
            <w:r>
              <w:rPr>
                <w:b/>
                <w:sz w:val="24"/>
              </w:rPr>
            </w:r>
          </w:p>
        </w:tc>
        <w:tc>
          <w:tcPr>
            <w:tcW w:w="4246" w:type="dxa"/>
            <w:tcBorders>
              <w:top w:val="single" w:sz="4" w:space="0" w:color="000000"/>
              <w:left w:val="single" w:sz="4" w:space="0" w:color="000000"/>
              <w:bottom w:val="single" w:sz="4" w:space="0" w:color="000000"/>
            </w:tcBorders>
            <w:vAlign w:val="center"/>
          </w:tcPr>
          <w:p>
            <w:pPr>
              <w:pStyle w:val="Normal"/>
              <w:widowControl w:val="false"/>
              <w:rPr/>
            </w:pPr>
            <w:r>
              <w:rPr/>
              <w:t>Import IVA</w:t>
            </w:r>
          </w:p>
        </w:tc>
        <w:tc>
          <w:tcPr>
            <w:tcW w:w="3074" w:type="dxa"/>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jc w:val="right"/>
              <w:rPr/>
            </w:pPr>
            <w:r>
              <w:fldChar w:fldCharType="begin">
                <w:ffData>
                  <w:name w:val="__Fieldmark__10_6104"/>
                  <w:enabled/>
                  <w:calcOnExit w:val="0"/>
                  <w:textInput/>
                </w:ffData>
              </w:fldChar>
            </w:r>
            <w:r>
              <w:rPr/>
              <w:instrText> FORMTEXT </w:instrText>
            </w:r>
            <w:r>
              <w:rPr/>
            </w:r>
            <w:r>
              <w:rPr/>
              <w:fldChar w:fldCharType="separate"/>
            </w:r>
            <w:r>
              <w:rPr/>
            </w:r>
            <w:r>
              <w:rPr>
                <w:lang w:val="en-US" w:eastAsia="es-ES"/>
              </w:rPr>
              <w:t xml:space="preserve">189.441,84 </w:t>
            </w:r>
            <w:r>
              <w:rPr/>
            </w:r>
            <w:r>
              <w:rPr/>
              <w:fldChar w:fldCharType="end"/>
            </w:r>
            <w:r>
              <w:rPr/>
              <w:t>€</w:t>
            </w:r>
          </w:p>
        </w:tc>
      </w:tr>
      <w:tr>
        <w:trPr>
          <w:trHeight w:val="564" w:hRule="atLeast"/>
        </w:trPr>
        <w:tc>
          <w:tcPr>
            <w:tcW w:w="3796" w:type="dxa"/>
            <w:vMerge w:val="continue"/>
            <w:tcBorders>
              <w:top w:val="single" w:sz="4" w:space="0" w:color="000000"/>
              <w:left w:val="threeDEngrave" w:sz="24" w:space="0" w:color="000000"/>
              <w:bottom w:val="single" w:sz="4" w:space="0" w:color="000000"/>
            </w:tcBorders>
            <w:shd w:color="auto" w:fill="E0E0E0" w:val="clear"/>
            <w:vAlign w:val="center"/>
          </w:tcPr>
          <w:p>
            <w:pPr>
              <w:pStyle w:val="Normal"/>
              <w:widowControl w:val="false"/>
              <w:snapToGrid w:val="false"/>
              <w:rPr>
                <w:b/>
                <w:b/>
                <w:sz w:val="24"/>
              </w:rPr>
            </w:pPr>
            <w:r>
              <w:rPr>
                <w:b/>
                <w:sz w:val="24"/>
              </w:rPr>
            </w:r>
          </w:p>
        </w:tc>
        <w:tc>
          <w:tcPr>
            <w:tcW w:w="4246" w:type="dxa"/>
            <w:tcBorders>
              <w:top w:val="single" w:sz="4" w:space="0" w:color="000000"/>
              <w:left w:val="single" w:sz="4" w:space="0" w:color="000000"/>
              <w:bottom w:val="single" w:sz="4" w:space="0" w:color="000000"/>
            </w:tcBorders>
            <w:vAlign w:val="center"/>
          </w:tcPr>
          <w:p>
            <w:pPr>
              <w:pStyle w:val="Normal"/>
              <w:widowControl w:val="false"/>
              <w:rPr/>
            </w:pPr>
            <w:r>
              <w:rPr/>
              <w:t>Pressupost base de licitació, IVA inclòs</w:t>
            </w:r>
          </w:p>
        </w:tc>
        <w:tc>
          <w:tcPr>
            <w:tcW w:w="3074" w:type="dxa"/>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jc w:val="right"/>
              <w:rPr/>
            </w:pPr>
            <w:r>
              <w:fldChar w:fldCharType="begin">
                <w:ffData>
                  <w:name w:val="__Fieldmark__11_6104"/>
                  <w:enabled/>
                  <w:calcOnExit w:val="0"/>
                  <w:textInput/>
                </w:ffData>
              </w:fldChar>
            </w:r>
            <w:r>
              <w:rPr/>
              <w:instrText> FORMTEXT </w:instrText>
            </w:r>
            <w:r>
              <w:rPr/>
            </w:r>
            <w:r>
              <w:rPr/>
              <w:fldChar w:fldCharType="separate"/>
            </w:r>
            <w:r>
              <w:rPr/>
            </w:r>
            <w:r>
              <w:rPr>
                <w:lang w:val="en-US" w:eastAsia="es-ES"/>
              </w:rPr>
              <w:t xml:space="preserve">2.083.860,24 </w:t>
            </w:r>
            <w:r>
              <w:rPr/>
            </w:r>
            <w:r>
              <w:rPr/>
              <w:fldChar w:fldCharType="end"/>
            </w:r>
            <w:r>
              <w:rPr/>
              <w:t>€</w:t>
            </w:r>
          </w:p>
        </w:tc>
      </w:tr>
      <w:tr>
        <w:trPr>
          <w:trHeight w:val="417"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VALOR ESTIMAT DEL CONTRACTE</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rPr>
                <w:shd w:fill="auto" w:val="clear"/>
              </w:rPr>
            </w:pPr>
            <w:r>
              <w:rPr>
                <w:rFonts w:eastAsia="Times New Roman"/>
                <w:shd w:fill="auto" w:val="clear"/>
                <w:lang w:val="en-US" w:eastAsia="es-ES"/>
              </w:rPr>
              <w:t xml:space="preserve"> </w:t>
            </w:r>
            <w:r>
              <w:rPr>
                <w:rFonts w:eastAsia="Times New Roman"/>
                <w:shd w:fill="auto" w:val="clear"/>
                <w:lang w:val="en-US" w:eastAsia="es-ES"/>
              </w:rPr>
              <w:t xml:space="preserve">4.167.720,48 </w:t>
            </w:r>
            <w:r>
              <w:rPr>
                <w:shd w:fill="auto" w:val="clear"/>
                <w:lang w:val="en-US" w:eastAsia="es-ES"/>
              </w:rPr>
              <w:t>€</w:t>
            </w:r>
            <w:r>
              <w:rPr>
                <w:rFonts w:eastAsia="Times New Roman"/>
                <w:shd w:fill="auto" w:val="clear"/>
                <w:lang w:val="en-US" w:eastAsia="es-ES"/>
              </w:rPr>
              <w:t xml:space="preserve"> </w:t>
            </w:r>
            <w:r>
              <w:rPr>
                <w:shd w:fill="auto" w:val="clear"/>
                <w:lang w:val="en-US" w:eastAsia="es-ES"/>
              </w:rPr>
              <w:t xml:space="preserve">( IVA </w:t>
            </w:r>
            <w:r>
              <w:rPr>
                <w:shd w:fill="auto" w:val="clear"/>
                <w:lang w:eastAsia="es-ES"/>
              </w:rPr>
              <w:t>exclòs</w:t>
            </w:r>
            <w:r>
              <w:rPr>
                <w:shd w:fill="auto" w:val="clear"/>
                <w:lang w:val="en-US" w:eastAsia="es-ES"/>
              </w:rPr>
              <w:t>)</w:t>
            </w:r>
          </w:p>
        </w:tc>
      </w:tr>
      <w:tr>
        <w:trPr>
          <w:trHeight w:val="417"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MODIFICACIONS PREVISTES</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rPr>
                <w:shd w:fill="auto" w:val="clear"/>
              </w:rPr>
            </w:pPr>
            <w:r>
              <w:rPr>
                <w:shd w:fill="auto" w:val="clear"/>
              </w:rPr>
              <w:t xml:space="preserve">Es preveuen modificacions de contracte, en les condiciones establertes en la clàusula 9 fins a un import màxim de </w:t>
            </w:r>
            <w:r>
              <w:fldChar w:fldCharType="begin">
                <w:ffData>
                  <w:name w:val="__Fieldmark__12_6104"/>
                  <w:enabled/>
                  <w:calcOnExit w:val="0"/>
                  <w:textInput/>
                </w:ffData>
              </w:fldChar>
            </w:r>
            <w:r>
              <w:rPr>
                <w:shd w:fill="auto" w:val="clear"/>
              </w:rPr>
              <w:instrText> FORMTEXT </w:instrText>
            </w:r>
            <w:r>
              <w:rPr>
                <w:shd w:fill="auto" w:val="clear"/>
              </w:rPr>
            </w:r>
            <w:r>
              <w:rPr>
                <w:shd w:fill="auto" w:val="clear"/>
              </w:rPr>
              <w:fldChar w:fldCharType="separate"/>
            </w:r>
            <w:r>
              <w:rPr>
                <w:shd w:fill="auto" w:val="clear"/>
              </w:rPr>
              <w:t>378.883,68</w:t>
            </w:r>
            <w:r>
              <w:rPr>
                <w:shd w:fill="auto" w:val="clear"/>
              </w:rPr>
            </w:r>
            <w:r>
              <w:rPr>
                <w:shd w:fill="auto" w:val="clear"/>
              </w:rPr>
              <w:fldChar w:fldCharType="end"/>
            </w:r>
            <w:r>
              <w:rPr>
                <w:shd w:fill="auto" w:val="clear"/>
              </w:rPr>
              <w:t xml:space="preserve"> €</w:t>
            </w:r>
          </w:p>
        </w:tc>
      </w:tr>
      <w:tr>
        <w:trPr>
          <w:trHeight w:val="417"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shd w:fill="auto" w:val="clear"/>
              </w:rPr>
            </w:pPr>
            <w:r>
              <w:rPr>
                <w:b/>
                <w:shd w:fill="auto" w:val="clear"/>
              </w:rPr>
              <w:t>DURADA/ TERMINI D’EXECUCIÓ</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jc w:val="both"/>
              <w:rPr>
                <w:shd w:fill="auto" w:val="clear"/>
              </w:rPr>
            </w:pPr>
            <w:r>
              <w:rPr>
                <w:shd w:fill="auto" w:val="clear"/>
              </w:rPr>
              <w:t>El contracte tindrà una durada de 2 anys a comptar des de l’1 de setembre de 2025.  El contracte es podrà prorrogar anulment fins a 2 anys més.</w:t>
            </w:r>
          </w:p>
          <w:p>
            <w:pPr>
              <w:pStyle w:val="Normal"/>
              <w:widowControl w:val="false"/>
              <w:jc w:val="both"/>
              <w:rPr>
                <w:shd w:fill="auto" w:val="clear"/>
              </w:rPr>
            </w:pPr>
            <w:r>
              <w:rPr>
                <w:shd w:fill="auto" w:val="clear"/>
              </w:rPr>
            </w:r>
          </w:p>
          <w:p>
            <w:pPr>
              <w:pStyle w:val="Normal"/>
              <w:widowControl w:val="false"/>
              <w:jc w:val="both"/>
              <w:rPr>
                <w:shd w:fill="auto" w:val="clear"/>
              </w:rPr>
            </w:pPr>
            <w:r>
              <w:rPr>
                <w:shd w:fill="auto" w:val="clear"/>
              </w:rPr>
              <w:t>El període d’execució del contracte és de setembre a juny coincidint amb el curs escolar que vindrà determinat pel Departament d’Educació de la Generalitat de Catalunya.</w:t>
            </w:r>
          </w:p>
        </w:tc>
      </w:tr>
      <w:tr>
        <w:trPr>
          <w:trHeight w:val="409"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shd w:fill="FFFF00" w:val="clear"/>
              </w:rPr>
            </w:pPr>
            <w:r>
              <w:rPr>
                <w:b/>
              </w:rPr>
              <w:t>RESPONSABLE DEL CONTRACTE</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snapToGrid w:val="false"/>
              <w:rPr>
                <w:shd w:fill="auto" w:val="clear"/>
              </w:rPr>
            </w:pPr>
            <w:r>
              <w:rPr>
                <w:shd w:fill="auto" w:val="clear"/>
              </w:rPr>
              <w:t>La directora de Serveis d’Educació de l’Ajuntament de Terrassa</w:t>
            </w:r>
          </w:p>
        </w:tc>
      </w:tr>
      <w:tr>
        <w:trPr>
          <w:trHeight w:val="429"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FORMA DE PRESENTACIÓ D’OFERTES</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ind w:right="176" w:hanging="0"/>
              <w:rPr/>
            </w:pPr>
            <w:r>
              <w:rPr/>
              <w:t>Exclusivament electrònica</w:t>
            </w:r>
          </w:p>
        </w:tc>
      </w:tr>
      <w:tr>
        <w:trPr>
          <w:trHeight w:val="429"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CRITERIS DE VALORACIÓ</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numPr>
                <w:ilvl w:val="0"/>
                <w:numId w:val="4"/>
              </w:numPr>
              <w:tabs>
                <w:tab w:val="clear" w:pos="720"/>
                <w:tab w:val="left" w:pos="317" w:leader="none"/>
              </w:tabs>
              <w:ind w:left="317" w:right="176" w:hanging="283"/>
              <w:jc w:val="both"/>
              <w:rPr/>
            </w:pPr>
            <w:r>
              <w:rPr/>
              <w:t xml:space="preserve">Criteris avaluables de forma automàtica per aplicació de fórmules (fins a </w:t>
            </w:r>
            <w:r>
              <w:fldChar w:fldCharType="begin">
                <w:ffData>
                  <w:name w:val="Bookmark"/>
                  <w:enabled/>
                  <w:calcOnExit w:val="0"/>
                  <w:textInput/>
                </w:ffData>
              </w:fldChar>
            </w:r>
            <w:r>
              <w:rPr/>
              <w:instrText> FORMTEXT </w:instrText>
            </w:r>
            <w:bookmarkStart w:id="0" w:name="__Fieldmark__19_610488232"/>
            <w:bookmarkStart w:id="1" w:name="Bookmark15"/>
            <w:r>
              <w:rPr/>
            </w:r>
            <w:r>
              <w:rPr/>
              <w:fldChar w:fldCharType="separate"/>
            </w:r>
            <w:r>
              <w:rPr/>
              <w:t> 100</w:t>
            </w:r>
            <w:r>
              <w:rPr/>
            </w:r>
            <w:r>
              <w:rPr/>
              <w:fldChar w:fldCharType="end"/>
            </w:r>
            <w:bookmarkEnd w:id="0"/>
            <w:bookmarkEnd w:id="1"/>
            <w:r>
              <w:rPr/>
              <w:t xml:space="preserve"> punts):</w:t>
            </w:r>
          </w:p>
          <w:p>
            <w:pPr>
              <w:pStyle w:val="Normal"/>
              <w:widowControl w:val="false"/>
              <w:ind w:left="34" w:right="176" w:hanging="0"/>
              <w:jc w:val="both"/>
              <w:rPr/>
            </w:pPr>
            <w:r>
              <w:rPr/>
            </w:r>
          </w:p>
          <w:p>
            <w:pPr>
              <w:pStyle w:val="Normal"/>
              <w:widowControl w:val="false"/>
              <w:numPr>
                <w:ilvl w:val="0"/>
                <w:numId w:val="20"/>
              </w:numPr>
              <w:tabs>
                <w:tab w:val="clear" w:pos="720"/>
                <w:tab w:val="left" w:pos="742" w:leader="none"/>
              </w:tabs>
              <w:ind w:left="720" w:right="34" w:hanging="360"/>
              <w:rPr>
                <w:shd w:fill="auto" w:val="clear"/>
              </w:rPr>
            </w:pPr>
            <w:r>
              <w:rPr>
                <w:shd w:fill="auto" w:val="clear"/>
              </w:rPr>
              <w:t>Incorporació d'aliments de producció ecològica, de proximitat i d'empresa d'economia social en l'elaboració del menú, 55</w:t>
            </w:r>
          </w:p>
          <w:p>
            <w:pPr>
              <w:pStyle w:val="Normal"/>
              <w:widowControl w:val="false"/>
              <w:numPr>
                <w:ilvl w:val="1"/>
                <w:numId w:val="20"/>
              </w:numPr>
              <w:tabs>
                <w:tab w:val="clear" w:pos="720"/>
                <w:tab w:val="left" w:pos="1525" w:leader="none"/>
              </w:tabs>
              <w:suppressAutoHyphens w:val="true"/>
              <w:bidi w:val="0"/>
              <w:spacing w:before="0" w:after="0"/>
              <w:ind w:left="1474" w:right="0" w:hanging="340"/>
              <w:jc w:val="left"/>
              <w:rPr>
                <w:shd w:fill="auto" w:val="clear"/>
              </w:rPr>
            </w:pPr>
            <w:r>
              <w:rPr>
                <w:shd w:fill="auto" w:val="clear"/>
              </w:rPr>
              <w:t>Producte ecològic, 35</w:t>
            </w:r>
          </w:p>
          <w:p>
            <w:pPr>
              <w:pStyle w:val="Normal"/>
              <w:widowControl w:val="false"/>
              <w:numPr>
                <w:ilvl w:val="1"/>
                <w:numId w:val="20"/>
              </w:numPr>
              <w:tabs>
                <w:tab w:val="clear" w:pos="720"/>
                <w:tab w:val="left" w:pos="1525" w:leader="none"/>
              </w:tabs>
              <w:suppressAutoHyphens w:val="true"/>
              <w:bidi w:val="0"/>
              <w:spacing w:before="0" w:after="0"/>
              <w:ind w:left="1474" w:right="0" w:hanging="340"/>
              <w:jc w:val="left"/>
              <w:rPr>
                <w:shd w:fill="auto" w:val="clear"/>
              </w:rPr>
            </w:pPr>
            <w:r>
              <w:rPr>
                <w:shd w:fill="auto" w:val="clear"/>
              </w:rPr>
              <w:t>Producte de proximitat, 10</w:t>
            </w:r>
          </w:p>
          <w:p>
            <w:pPr>
              <w:pStyle w:val="Normal"/>
              <w:widowControl w:val="false"/>
              <w:numPr>
                <w:ilvl w:val="1"/>
                <w:numId w:val="20"/>
              </w:numPr>
              <w:tabs>
                <w:tab w:val="clear" w:pos="720"/>
                <w:tab w:val="left" w:pos="1525" w:leader="none"/>
              </w:tabs>
              <w:suppressAutoHyphens w:val="true"/>
              <w:bidi w:val="0"/>
              <w:spacing w:before="0" w:after="0"/>
              <w:ind w:left="1474" w:right="0" w:hanging="340"/>
              <w:jc w:val="left"/>
              <w:rPr>
                <w:shd w:fill="auto" w:val="clear"/>
              </w:rPr>
            </w:pPr>
            <w:r>
              <w:rPr>
                <w:shd w:fill="auto" w:val="clear"/>
              </w:rPr>
              <w:t>Producte d’economia social, 10</w:t>
            </w:r>
          </w:p>
          <w:p>
            <w:pPr>
              <w:pStyle w:val="Normal"/>
              <w:widowControl w:val="false"/>
              <w:numPr>
                <w:ilvl w:val="0"/>
                <w:numId w:val="20"/>
              </w:numPr>
              <w:tabs>
                <w:tab w:val="clear" w:pos="720"/>
                <w:tab w:val="left" w:pos="742" w:leader="none"/>
              </w:tabs>
              <w:ind w:left="720" w:right="34" w:hanging="360"/>
              <w:rPr>
                <w:shd w:fill="auto" w:val="clear"/>
              </w:rPr>
            </w:pPr>
            <w:r>
              <w:rPr>
                <w:shd w:fill="auto" w:val="clear"/>
              </w:rPr>
              <w:t>Preu 36</w:t>
            </w:r>
          </w:p>
          <w:p>
            <w:pPr>
              <w:pStyle w:val="Normal"/>
              <w:widowControl w:val="false"/>
              <w:numPr>
                <w:ilvl w:val="0"/>
                <w:numId w:val="20"/>
              </w:numPr>
              <w:tabs>
                <w:tab w:val="clear" w:pos="720"/>
                <w:tab w:val="left" w:pos="742" w:leader="none"/>
              </w:tabs>
              <w:ind w:left="720" w:right="34" w:hanging="360"/>
              <w:rPr>
                <w:shd w:fill="auto" w:val="clear"/>
              </w:rPr>
            </w:pPr>
            <w:r>
              <w:rPr>
                <w:shd w:fill="auto" w:val="clear"/>
              </w:rPr>
              <w:t>Formació del personal, 5</w:t>
            </w:r>
          </w:p>
          <w:p>
            <w:pPr>
              <w:pStyle w:val="Normal"/>
              <w:widowControl w:val="false"/>
              <w:numPr>
                <w:ilvl w:val="0"/>
                <w:numId w:val="20"/>
              </w:numPr>
              <w:tabs>
                <w:tab w:val="clear" w:pos="720"/>
                <w:tab w:val="left" w:pos="742" w:leader="none"/>
              </w:tabs>
              <w:ind w:left="720" w:right="34" w:hanging="360"/>
              <w:rPr>
                <w:shd w:fill="auto" w:val="clear"/>
              </w:rPr>
            </w:pPr>
            <w:r>
              <w:rPr>
                <w:shd w:fill="auto" w:val="clear"/>
              </w:rPr>
              <w:t>Alumnes en pràctiques, 4</w:t>
            </w:r>
          </w:p>
        </w:tc>
      </w:tr>
      <w:tr>
        <w:trPr>
          <w:trHeight w:val="564"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SOLVÈNCIA ECONÒMICA I FINANCERA</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jc w:val="both"/>
              <w:rPr>
                <w:shd w:fill="auto" w:val="clear"/>
              </w:rPr>
            </w:pPr>
            <w:r>
              <w:rPr>
                <w:bCs/>
                <w:shd w:fill="auto" w:val="clear"/>
              </w:rPr>
              <w:t>De conformitat amb l’article 87 de la LCSP, per participar en aquest procediment els licitadors hauran d’acreditar la seva solvència econòmica i financera, d’acord amb la clàusula 20 del PCAP:</w:t>
            </w:r>
          </w:p>
          <w:p>
            <w:pPr>
              <w:pStyle w:val="Normal"/>
              <w:widowControl w:val="false"/>
              <w:tabs>
                <w:tab w:val="left" w:pos="720" w:leader="none"/>
              </w:tabs>
              <w:jc w:val="both"/>
              <w:rPr>
                <w:bCs/>
                <w:shd w:fill="auto" w:val="clear"/>
              </w:rPr>
            </w:pPr>
            <w:r>
              <w:rPr>
                <w:bCs/>
                <w:shd w:fill="auto" w:val="clear"/>
              </w:rPr>
            </w:r>
          </w:p>
          <w:p>
            <w:pPr>
              <w:pStyle w:val="Normal"/>
              <w:widowControl w:val="false"/>
              <w:jc w:val="both"/>
              <w:rPr>
                <w:shd w:fill="auto" w:val="clear"/>
              </w:rPr>
            </w:pPr>
            <w:r>
              <w:rPr>
                <w:shd w:fill="auto" w:val="clear"/>
              </w:rPr>
              <w:t>Les empreses licitadores hauran d’acreditar la solvència econòmica i financera, mitjançant el volum anual de negocis en l’àmbit al qual es refereix el contracte, referit al millor exercici dins dels tres últims anys disponibles en funció de les dates de constitució o d’inici d’activitats de l’empresari i de presentació de l’oferta per un import d’almenys una vegada i mitja el valor anual mitjà del contracte (1.562.895,18 €).</w:t>
            </w:r>
          </w:p>
          <w:p>
            <w:pPr>
              <w:pStyle w:val="Normal"/>
              <w:widowControl w:val="false"/>
              <w:jc w:val="both"/>
              <w:rPr>
                <w:shd w:fill="auto" w:val="clear"/>
              </w:rPr>
            </w:pPr>
            <w:r>
              <w:rPr>
                <w:shd w:fill="auto" w:val="clear"/>
              </w:rPr>
            </w:r>
          </w:p>
          <w:p>
            <w:pPr>
              <w:pStyle w:val="Normal"/>
              <w:widowControl w:val="false"/>
              <w:jc w:val="both"/>
              <w:rPr>
                <w:shd w:fill="auto" w:val="clear"/>
              </w:rPr>
            </w:pPr>
            <w:r>
              <w:rPr>
                <w:shd w:fill="auto" w:val="clear"/>
              </w:rPr>
              <w:t>Valor estimat del contracte: 4.167.720,48 €</w:t>
            </w:r>
          </w:p>
          <w:p>
            <w:pPr>
              <w:pStyle w:val="Normal"/>
              <w:widowControl w:val="false"/>
              <w:jc w:val="both"/>
              <w:rPr>
                <w:shd w:fill="auto" w:val="clear"/>
              </w:rPr>
            </w:pPr>
            <w:r>
              <w:rPr>
                <w:shd w:fill="auto" w:val="clear"/>
              </w:rPr>
              <w:t>Valor anual mitjá del contracte: 1.041.930,12 €</w:t>
            </w:r>
          </w:p>
          <w:p>
            <w:pPr>
              <w:pStyle w:val="Normal"/>
              <w:widowControl w:val="false"/>
              <w:jc w:val="both"/>
              <w:rPr>
                <w:shd w:fill="auto" w:val="clear"/>
              </w:rPr>
            </w:pPr>
            <w:r>
              <w:rPr>
                <w:shd w:fill="auto" w:val="clear"/>
              </w:rPr>
              <w:t>1,5 x Valor anual mitjá del contracte: 1.562.895,18 €</w:t>
            </w:r>
          </w:p>
          <w:p>
            <w:pPr>
              <w:pStyle w:val="Normal"/>
              <w:widowControl w:val="false"/>
              <w:jc w:val="both"/>
              <w:rPr>
                <w:shd w:fill="auto" w:val="clear"/>
              </w:rPr>
            </w:pPr>
            <w:r>
              <w:rPr>
                <w:shd w:fill="auto" w:val="clear"/>
              </w:rPr>
            </w:r>
          </w:p>
          <w:p>
            <w:pPr>
              <w:pStyle w:val="Normal"/>
              <w:widowControl w:val="false"/>
              <w:jc w:val="both"/>
              <w:rPr>
                <w:shd w:fill="auto" w:val="clear"/>
              </w:rPr>
            </w:pPr>
            <w:r>
              <w:rPr>
                <w:shd w:fill="auto" w:val="clear"/>
              </w:rPr>
              <w:t>El requeriment de solvència econòmica i financera té caràcter selectiu.</w:t>
            </w:r>
          </w:p>
          <w:p>
            <w:pPr>
              <w:pStyle w:val="Normal"/>
              <w:widowControl w:val="false"/>
              <w:jc w:val="both"/>
              <w:rPr>
                <w:shd w:fill="auto" w:val="clear"/>
              </w:rPr>
            </w:pPr>
            <w:r>
              <w:rPr>
                <w:shd w:fill="auto" w:val="clear"/>
              </w:rPr>
            </w:r>
          </w:p>
          <w:p>
            <w:pPr>
              <w:pStyle w:val="Normal"/>
              <w:widowControl w:val="false"/>
              <w:jc w:val="both"/>
              <w:rPr>
                <w:shd w:fill="auto" w:val="clear"/>
              </w:rPr>
            </w:pPr>
            <w:r>
              <w:rPr>
                <w:shd w:fill="auto" w:val="clear"/>
              </w:rPr>
              <w:t>La solvència econòmica i financera s’acredita pels següents mitjans:</w:t>
            </w:r>
          </w:p>
          <w:p>
            <w:pPr>
              <w:pStyle w:val="Normal"/>
              <w:widowControl w:val="false"/>
              <w:jc w:val="both"/>
              <w:rPr>
                <w:shd w:fill="auto" w:val="clear"/>
              </w:rPr>
            </w:pPr>
            <w:r>
              <w:rPr>
                <w:shd w:fill="auto" w:val="clear"/>
              </w:rPr>
            </w:r>
          </w:p>
          <w:p>
            <w:pPr>
              <w:pStyle w:val="Normal"/>
              <w:widowControl w:val="false"/>
              <w:jc w:val="both"/>
              <w:rPr>
                <w:shd w:fill="auto" w:val="clear"/>
              </w:rPr>
            </w:pPr>
            <w:r>
              <w:rPr>
                <w:shd w:fill="auto" w:val="clear"/>
              </w:rPr>
              <w:t xml:space="preserve">    </w:t>
            </w:r>
            <w:r>
              <w:rPr>
                <w:shd w:fill="auto" w:val="clear"/>
              </w:rPr>
              <w:t>a) Comptes anuals i declaració de l’empresari indicant el volum de negocis global de l’empresa.</w:t>
            </w:r>
          </w:p>
          <w:p>
            <w:pPr>
              <w:pStyle w:val="Normal"/>
              <w:widowControl w:val="false"/>
              <w:jc w:val="both"/>
              <w:rPr>
                <w:shd w:fill="auto" w:val="clear"/>
              </w:rPr>
            </w:pPr>
            <w:r>
              <w:rPr>
                <w:shd w:fill="auto" w:val="clear"/>
              </w:rPr>
            </w:r>
          </w:p>
          <w:p>
            <w:pPr>
              <w:pStyle w:val="Normal"/>
              <w:widowControl w:val="false"/>
              <w:jc w:val="both"/>
              <w:rPr>
                <w:shd w:fill="auto" w:val="clear"/>
              </w:rPr>
            </w:pPr>
            <w:r>
              <w:rPr>
                <w:shd w:fill="auto" w:val="clear"/>
              </w:rPr>
              <w:t>Es podrà acreditar la solvència econòmica i financera per qualsevol dels altres mitjans previstos a l’article 87 de la LCSP.</w:t>
            </w:r>
          </w:p>
          <w:p>
            <w:pPr>
              <w:pStyle w:val="Normal"/>
              <w:widowControl w:val="false"/>
              <w:jc w:val="both"/>
              <w:rPr>
                <w:shd w:fill="auto" w:val="clear"/>
              </w:rPr>
            </w:pPr>
            <w:r>
              <w:rPr>
                <w:shd w:fill="auto" w:val="clear"/>
              </w:rPr>
            </w:r>
          </w:p>
          <w:p>
            <w:pPr>
              <w:pStyle w:val="Normal"/>
              <w:widowControl w:val="false"/>
              <w:jc w:val="both"/>
              <w:rPr/>
            </w:pPr>
            <w:r>
              <w:rPr>
                <w:shd w:fill="auto" w:val="clear"/>
              </w:rPr>
              <w:t>La inscripció en el Registre Oficial de Licitadors i Empreses Classificades de l’Estat (ROLECE) i/o en el Registre Electrònic de Licitadors (RELI) acredita, segons el que hi estigui reflectit, les condicions d’aptitud de l’empresari quant a la seva solvència econòmica i financera.</w:t>
            </w:r>
          </w:p>
          <w:p>
            <w:pPr>
              <w:pStyle w:val="Normal"/>
              <w:widowControl w:val="false"/>
              <w:jc w:val="both"/>
              <w:rPr>
                <w:bCs/>
                <w:i/>
                <w:i/>
              </w:rPr>
            </w:pPr>
            <w:r>
              <w:rPr>
                <w:bCs/>
                <w:i/>
              </w:rPr>
            </w:r>
          </w:p>
        </w:tc>
      </w:tr>
      <w:tr>
        <w:trPr>
          <w:trHeight w:val="564"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SOLVÈNCIA TÈCNICA I PROFESSIONAL</w:t>
            </w:r>
          </w:p>
          <w:p>
            <w:pPr>
              <w:pStyle w:val="Normal"/>
              <w:widowControl w:val="false"/>
              <w:rPr>
                <w:b/>
                <w:b/>
              </w:rPr>
            </w:pPr>
            <w:r>
              <w:rPr>
                <w:b/>
              </w:rPr>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rPr>
                <w:shd w:fill="auto" w:val="clear"/>
              </w:rPr>
            </w:pPr>
            <w:r>
              <w:rPr>
                <w:shd w:fill="auto" w:val="clear"/>
              </w:rPr>
              <w:t>D’acord amb l’article  90  de la LCSP, i en relació amb la tipologia i característiques dels treballs a realitzar, per participar en aquest procediment els licitadors hauran d’acreditar els mitjans mínims següents, quant a la seva solvència tècnica i professional (clàusula 21):</w:t>
            </w:r>
          </w:p>
          <w:p>
            <w:pPr>
              <w:pStyle w:val="Normal"/>
              <w:widowControl w:val="false"/>
              <w:tabs>
                <w:tab w:val="clear" w:pos="720"/>
                <w:tab w:val="left" w:pos="48" w:leader="none"/>
                <w:tab w:val="left" w:pos="426" w:leader="none"/>
              </w:tabs>
              <w:ind w:left="426" w:hanging="426"/>
              <w:jc w:val="both"/>
              <w:rPr>
                <w:bCs/>
                <w:shd w:fill="auto" w:val="clear"/>
              </w:rPr>
            </w:pPr>
            <w:r>
              <w:rPr>
                <w:bCs/>
                <w:shd w:fill="auto" w:val="clear"/>
              </w:rPr>
            </w:r>
          </w:p>
          <w:p>
            <w:pPr>
              <w:pStyle w:val="Normal"/>
              <w:widowControl w:val="false"/>
              <w:jc w:val="both"/>
              <w:rPr>
                <w:shd w:fill="auto" w:val="clear"/>
              </w:rPr>
            </w:pPr>
            <w:r>
              <w:rPr>
                <w:shd w:fill="auto" w:val="clear"/>
              </w:rPr>
              <w:t>La solvència tècnica o professional dels empresaris ha de ser la següent:</w:t>
            </w:r>
          </w:p>
          <w:p>
            <w:pPr>
              <w:pStyle w:val="Normal"/>
              <w:widowControl w:val="false"/>
              <w:jc w:val="both"/>
              <w:rPr>
                <w:shd w:fill="auto" w:val="clear"/>
              </w:rPr>
            </w:pPr>
            <w:r>
              <w:rPr>
                <w:shd w:fill="auto" w:val="clear"/>
              </w:rPr>
            </w:r>
          </w:p>
          <w:p>
            <w:pPr>
              <w:pStyle w:val="Normal"/>
              <w:widowControl w:val="false"/>
              <w:jc w:val="both"/>
              <w:rPr>
                <w:shd w:fill="auto" w:val="clear"/>
              </w:rPr>
            </w:pPr>
            <w:r>
              <w:rPr>
                <w:shd w:fill="auto" w:val="clear"/>
              </w:rPr>
              <w:t>a)</w:t>
              <w:tab/>
              <w:t>Haver realitzat serveis de la mateixa o similar naturalesa als que constitueixen l’objecte del contracte en el curs de, com a màxim, els últims tres anys.</w:t>
            </w:r>
          </w:p>
          <w:p>
            <w:pPr>
              <w:pStyle w:val="Normal"/>
              <w:widowControl w:val="false"/>
              <w:jc w:val="both"/>
              <w:rPr>
                <w:shd w:fill="auto" w:val="clear"/>
              </w:rPr>
            </w:pPr>
            <w:r>
              <w:rPr>
                <w:shd w:fill="auto" w:val="clear"/>
              </w:rPr>
            </w:r>
          </w:p>
          <w:p>
            <w:pPr>
              <w:pStyle w:val="Normal"/>
              <w:widowControl w:val="false"/>
              <w:jc w:val="both"/>
              <w:rPr>
                <w:shd w:fill="auto" w:val="clear"/>
              </w:rPr>
            </w:pPr>
            <w:r>
              <w:rPr>
                <w:shd w:fill="auto" w:val="clear"/>
              </w:rPr>
              <w:t>El requeriment de solvència tècnica o professional té caràcter selectiu.</w:t>
            </w:r>
          </w:p>
          <w:p>
            <w:pPr>
              <w:pStyle w:val="Normal"/>
              <w:widowControl w:val="false"/>
              <w:jc w:val="both"/>
              <w:rPr>
                <w:shd w:fill="auto" w:val="clear"/>
              </w:rPr>
            </w:pPr>
            <w:r>
              <w:rPr>
                <w:shd w:fill="auto" w:val="clear"/>
              </w:rPr>
            </w:r>
          </w:p>
          <w:p>
            <w:pPr>
              <w:pStyle w:val="Normal"/>
              <w:widowControl w:val="false"/>
              <w:jc w:val="both"/>
              <w:rPr>
                <w:shd w:fill="auto" w:val="clear"/>
              </w:rPr>
            </w:pPr>
            <w:r>
              <w:rPr>
                <w:shd w:fill="auto" w:val="clear"/>
              </w:rPr>
              <w:t>La solvència tècnica o professional dels empresaris s'acreditarà pels següents mitjans:</w:t>
            </w:r>
          </w:p>
          <w:p>
            <w:pPr>
              <w:pStyle w:val="Normal"/>
              <w:widowControl w:val="false"/>
              <w:jc w:val="both"/>
              <w:rPr>
                <w:shd w:fill="auto" w:val="clear"/>
              </w:rPr>
            </w:pPr>
            <w:r>
              <w:rPr>
                <w:shd w:fill="auto" w:val="clear"/>
              </w:rPr>
            </w:r>
          </w:p>
          <w:p>
            <w:pPr>
              <w:pStyle w:val="Normal"/>
              <w:widowControl w:val="false"/>
              <w:jc w:val="both"/>
              <w:rPr>
                <w:shd w:fill="auto" w:val="clear"/>
              </w:rPr>
            </w:pPr>
            <w:r>
              <w:rPr>
                <w:shd w:fill="auto" w:val="clear"/>
              </w:rPr>
            </w:r>
          </w:p>
          <w:p>
            <w:pPr>
              <w:pStyle w:val="Normal"/>
              <w:widowControl w:val="false"/>
              <w:jc w:val="both"/>
              <w:rPr>
                <w:shd w:fill="auto" w:val="clear"/>
              </w:rPr>
            </w:pPr>
            <w:r>
              <w:rPr>
                <w:shd w:fill="auto" w:val="clear"/>
              </w:rPr>
              <w:t>a)</w:t>
              <w:tab/>
              <w:t>Una relació dels principals serveis o treballs efectuats de la mateixa o similar naturalesa que els que constitueixen l’objecte del contracte en el curs de, com a màxim, els tres últims anys, en la qual se n’indiqui l’import, la data i el destinatari, públic o privat. Quan li ho requereixin els serveis que depenen de l’òrgan de contractació, els serveis o treballs efectuats s’han d’acreditar mitjançant certificats expedits o visats per l’òrgan competent, quan el destinatari sigui una entitat del sector públic; quan el destinatari sigui un subjecte privat, mitjançant un certificat expedit per aquest o, a falta d’aquest certificat, mitjançant una declaració de l’empresari, acompanyada dels documents en poder seu que acreditin la realització de la prestació.</w:t>
            </w:r>
          </w:p>
          <w:p>
            <w:pPr>
              <w:pStyle w:val="Normal"/>
              <w:widowControl w:val="false"/>
              <w:jc w:val="both"/>
              <w:rPr>
                <w:shd w:fill="auto" w:val="clear"/>
              </w:rPr>
            </w:pPr>
            <w:r>
              <w:rPr>
                <w:shd w:fill="auto" w:val="clear"/>
              </w:rPr>
            </w:r>
          </w:p>
          <w:p>
            <w:pPr>
              <w:pStyle w:val="Normal"/>
              <w:widowControl w:val="false"/>
              <w:jc w:val="both"/>
              <w:rPr>
                <w:shd w:fill="auto" w:val="clear"/>
              </w:rPr>
            </w:pPr>
            <w:r>
              <w:rPr>
                <w:shd w:fill="auto" w:val="clear"/>
              </w:rPr>
              <w:t>Es podrà acreditar la solvència tècnica i professional per qualsevol dels altres mitjans previstos a l’article 90 de la LCSP.</w:t>
            </w:r>
          </w:p>
          <w:p>
            <w:pPr>
              <w:pStyle w:val="Normal"/>
              <w:widowControl w:val="false"/>
              <w:jc w:val="both"/>
              <w:rPr>
                <w:shd w:fill="auto" w:val="clear"/>
              </w:rPr>
            </w:pPr>
            <w:r>
              <w:rPr>
                <w:shd w:fill="auto" w:val="clear"/>
              </w:rPr>
            </w:r>
          </w:p>
          <w:p>
            <w:pPr>
              <w:pStyle w:val="Normal"/>
              <w:widowControl w:val="false"/>
              <w:jc w:val="both"/>
              <w:rPr>
                <w:shd w:fill="auto" w:val="clear"/>
              </w:rPr>
            </w:pPr>
            <w:r>
              <w:rPr>
                <w:shd w:fill="auto" w:val="clear"/>
              </w:rPr>
              <w:t>El moment decisiu per apreciar la concurrència dels requisits de solvència exigits per contractar amb l'Administració serà la data de finalització de la presentació d’ofertes.</w:t>
            </w:r>
          </w:p>
          <w:p>
            <w:pPr>
              <w:pStyle w:val="Normal"/>
              <w:widowControl w:val="false"/>
              <w:jc w:val="both"/>
              <w:rPr>
                <w:shd w:fill="auto" w:val="clear"/>
              </w:rPr>
            </w:pPr>
            <w:r>
              <w:rPr>
                <w:shd w:fill="auto" w:val="clear"/>
              </w:rPr>
            </w:r>
          </w:p>
          <w:p>
            <w:pPr>
              <w:pStyle w:val="Normal"/>
              <w:widowControl w:val="false"/>
              <w:jc w:val="both"/>
              <w:rPr/>
            </w:pPr>
            <w:r>
              <w:rPr>
                <w:shd w:fill="auto" w:val="clear"/>
              </w:rPr>
              <w:t>La inscripció en el Registre Oficial de Licitadors i Empreses Classificades de l’Estat (ROLECE) i/o en el Registre Electrònic de Licitadors (RELI) acredita, segons el que hi estigui reflectit, les condicions d’aptitud de l’empresari quant a la seva solvència tècnica o professional.</w:t>
            </w:r>
          </w:p>
        </w:tc>
      </w:tr>
      <w:tr>
        <w:trPr>
          <w:trHeight w:val="401"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color w:val="auto"/>
              </w:rPr>
              <w:t>GARANTIA EXIGIBLE</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tabs>
                <w:tab w:val="clear" w:pos="720"/>
                <w:tab w:val="left" w:pos="426" w:leader="none"/>
              </w:tabs>
              <w:ind w:left="426" w:hanging="426"/>
              <w:jc w:val="both"/>
              <w:rPr>
                <w:bCs/>
                <w:highlight w:val="yellow"/>
              </w:rPr>
            </w:pPr>
            <w:r>
              <w:rPr>
                <w:bCs/>
                <w:highlight w:val="yellow"/>
              </w:rPr>
            </w:r>
          </w:p>
          <w:p>
            <w:pPr>
              <w:pStyle w:val="ListParagraph"/>
              <w:widowControl w:val="false"/>
              <w:numPr>
                <w:ilvl w:val="0"/>
                <w:numId w:val="21"/>
              </w:numPr>
              <w:tabs>
                <w:tab w:val="clear" w:pos="720"/>
                <w:tab w:val="left" w:pos="742" w:leader="none"/>
              </w:tabs>
              <w:ind w:left="720" w:right="176" w:hanging="360"/>
              <w:jc w:val="both"/>
              <w:rPr>
                <w:sz w:val="20"/>
                <w:szCs w:val="20"/>
                <w:shd w:fill="auto" w:val="clear"/>
              </w:rPr>
            </w:pPr>
            <w:r>
              <w:rPr>
                <w:rFonts w:cs="Arial" w:ascii="Arial" w:hAnsi="Arial"/>
                <w:sz w:val="20"/>
                <w:szCs w:val="20"/>
                <w:shd w:fill="auto" w:val="clear"/>
              </w:rPr>
              <w:t>Garantia definitiva</w:t>
            </w:r>
            <w:r>
              <w:rPr>
                <w:sz w:val="20"/>
                <w:szCs w:val="20"/>
                <w:shd w:fill="auto" w:val="clear"/>
              </w:rPr>
              <w:t>:</w:t>
            </w:r>
          </w:p>
          <w:p>
            <w:pPr>
              <w:pStyle w:val="Normal"/>
              <w:widowControl w:val="false"/>
              <w:ind w:left="402" w:hanging="0"/>
              <w:jc w:val="both"/>
              <w:rPr/>
            </w:pPr>
            <w:r>
              <w:rPr>
                <w:shd w:fill="auto" w:val="clear"/>
              </w:rPr>
              <w:t xml:space="preserve">Una garantia d’un 5 per 100 del pressupost base de licitació, </w:t>
            </w:r>
            <w:r>
              <w:rPr/>
              <w:t>IVA exclòs</w:t>
            </w:r>
          </w:p>
          <w:p>
            <w:pPr>
              <w:pStyle w:val="Normal"/>
              <w:widowControl w:val="false"/>
              <w:jc w:val="both"/>
              <w:rPr/>
            </w:pPr>
            <w:r>
              <w:rPr/>
            </w:r>
          </w:p>
          <w:p>
            <w:pPr>
              <w:pStyle w:val="ListParagraph"/>
              <w:widowControl w:val="false"/>
              <w:numPr>
                <w:ilvl w:val="0"/>
                <w:numId w:val="21"/>
              </w:numPr>
              <w:jc w:val="both"/>
              <w:rPr>
                <w:sz w:val="20"/>
                <w:szCs w:val="20"/>
              </w:rPr>
            </w:pPr>
            <w:r>
              <w:rPr>
                <w:rFonts w:cs="Arial" w:ascii="Arial" w:hAnsi="Arial"/>
                <w:sz w:val="20"/>
                <w:szCs w:val="20"/>
              </w:rPr>
              <w:t>Garantia provisional:  no és procedent</w:t>
            </w:r>
            <w:r>
              <w:rPr>
                <w:sz w:val="20"/>
                <w:szCs w:val="20"/>
              </w:rPr>
              <w:t>.</w:t>
            </w:r>
          </w:p>
          <w:p>
            <w:pPr>
              <w:pStyle w:val="ListParagraph"/>
              <w:widowControl w:val="false"/>
              <w:numPr>
                <w:ilvl w:val="0"/>
                <w:numId w:val="21"/>
              </w:numPr>
              <w:spacing w:before="0" w:after="200"/>
              <w:contextualSpacing/>
              <w:jc w:val="both"/>
              <w:rPr>
                <w:rFonts w:ascii="Arial" w:hAnsi="Arial" w:cs="Arial"/>
                <w:sz w:val="20"/>
                <w:szCs w:val="20"/>
              </w:rPr>
            </w:pPr>
            <w:r>
              <w:rPr>
                <w:rFonts w:cs="Arial" w:ascii="Arial" w:hAnsi="Arial"/>
                <w:sz w:val="20"/>
                <w:szCs w:val="20"/>
              </w:rPr>
              <w:t xml:space="preserve">Garantia complementària: En casos especials, </w:t>
            </w:r>
            <w:r>
              <w:rPr>
                <w:rFonts w:cs="Arial" w:ascii="Arial" w:hAnsi="Arial"/>
                <w:color w:val="242424"/>
                <w:sz w:val="20"/>
                <w:szCs w:val="20"/>
                <w:shd w:fill="FFFFFF" w:val="clear"/>
              </w:rPr>
              <w:t>5% de l’import d’adjudicació del contracte.</w:t>
            </w:r>
          </w:p>
        </w:tc>
      </w:tr>
      <w:tr>
        <w:trPr>
          <w:trHeight w:val="401"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shd w:fill="auto" w:val="clear"/>
              </w:rPr>
            </w:pPr>
            <w:r>
              <w:rPr>
                <w:b/>
                <w:shd w:fill="auto" w:val="clear"/>
              </w:rPr>
              <w:t>CLASSIFICACIÓ DEL CONTRACTISTA</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jc w:val="both"/>
              <w:rPr>
                <w:shd w:fill="auto" w:val="clear"/>
              </w:rPr>
            </w:pPr>
            <w:r>
              <w:rPr>
                <w:shd w:fill="auto" w:val="clear"/>
              </w:rPr>
              <w:t>No obligatòria</w:t>
            </w:r>
          </w:p>
        </w:tc>
      </w:tr>
      <w:tr>
        <w:trPr>
          <w:trHeight w:val="401"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CONDICIONS ESPECIALS D’EXECUCIÓ</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snapToGrid w:val="false"/>
              <w:ind w:right="176" w:hanging="0"/>
              <w:rPr>
                <w:sz w:val="16"/>
                <w:szCs w:val="16"/>
              </w:rPr>
            </w:pPr>
            <w:r>
              <w:rPr>
                <w:sz w:val="16"/>
                <w:szCs w:val="16"/>
              </w:rPr>
            </w:r>
          </w:p>
          <w:p>
            <w:pPr>
              <w:pStyle w:val="Normal"/>
              <w:widowControl w:val="false"/>
              <w:ind w:right="176" w:hanging="0"/>
              <w:rPr>
                <w:shd w:fill="auto" w:val="clear"/>
              </w:rPr>
            </w:pPr>
            <w:r>
              <w:rPr>
                <w:shd w:fill="auto" w:val="clear"/>
              </w:rPr>
              <w:t>D’acord amb la clàusula 22</w:t>
            </w:r>
          </w:p>
          <w:p>
            <w:pPr>
              <w:pStyle w:val="Normal"/>
              <w:widowControl w:val="false"/>
              <w:ind w:right="176" w:hanging="0"/>
              <w:rPr>
                <w:sz w:val="16"/>
                <w:szCs w:val="16"/>
              </w:rPr>
            </w:pPr>
            <w:r>
              <w:rPr>
                <w:sz w:val="16"/>
                <w:szCs w:val="16"/>
              </w:rPr>
            </w:r>
          </w:p>
        </w:tc>
      </w:tr>
      <w:tr>
        <w:trPr>
          <w:trHeight w:val="433"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shd w:fill="auto" w:val="clear"/>
              </w:rPr>
            </w:pPr>
            <w:r>
              <w:rPr>
                <w:b/>
                <w:shd w:fill="auto" w:val="clear"/>
              </w:rPr>
              <w:t>REVISIÓ DE PREUS</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ind w:right="176" w:hanging="0"/>
              <w:rPr>
                <w:shd w:fill="auto" w:val="clear"/>
              </w:rPr>
            </w:pPr>
            <w:r>
              <w:rPr>
                <w:shd w:fill="auto" w:val="clear"/>
              </w:rPr>
              <w:t>No procedeix (clàusula 36)</w:t>
            </w:r>
          </w:p>
        </w:tc>
      </w:tr>
      <w:tr>
        <w:trPr>
          <w:trHeight w:val="433"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shd w:fill="auto" w:val="clear"/>
              </w:rPr>
            </w:pPr>
            <w:r>
              <w:rPr>
                <w:b/>
                <w:shd w:fill="auto" w:val="clear"/>
              </w:rPr>
              <w:t>RÈGIM DE PAGAMENT DEL PREU</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ind w:right="176" w:hanging="0"/>
              <w:rPr>
                <w:shd w:fill="auto" w:val="clear"/>
              </w:rPr>
            </w:pPr>
            <w:r>
              <w:rPr>
                <w:shd w:fill="auto" w:val="clear"/>
              </w:rPr>
              <w:t>Clàusula 37</w:t>
            </w:r>
          </w:p>
        </w:tc>
      </w:tr>
      <w:tr>
        <w:trPr>
          <w:trHeight w:val="433"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CAUSES DE RESOLUCIÓ DE CONTRACTE</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ind w:right="176" w:hanging="0"/>
              <w:rPr>
                <w:shd w:fill="auto" w:val="clear"/>
              </w:rPr>
            </w:pPr>
            <w:r>
              <w:rPr>
                <w:shd w:fill="auto" w:val="clear"/>
              </w:rPr>
              <w:t xml:space="preserve">Clàusula </w:t>
            </w:r>
            <w:r>
              <w:rPr>
                <w:rFonts w:eastAsia="SimSun;宋体" w:cs="Arial"/>
                <w:color w:val="00000A"/>
                <w:kern w:val="0"/>
                <w:sz w:val="20"/>
                <w:szCs w:val="20"/>
                <w:shd w:fill="auto" w:val="clear"/>
                <w:lang w:val="ca-ES" w:eastAsia="zh-CN" w:bidi="ar-SA"/>
              </w:rPr>
              <w:t>40</w:t>
            </w:r>
          </w:p>
        </w:tc>
      </w:tr>
      <w:tr>
        <w:trPr>
          <w:trHeight w:val="433"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rPr>
            </w:pPr>
            <w:r>
              <w:rPr>
                <w:b/>
              </w:rPr>
              <w:t>PENALITATS PER INCOMPLIMENT</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ind w:right="176" w:hanging="0"/>
              <w:rPr>
                <w:shd w:fill="auto" w:val="clear"/>
              </w:rPr>
            </w:pPr>
            <w:r>
              <w:rPr>
                <w:shd w:fill="auto" w:val="clear"/>
              </w:rPr>
              <w:t>Clàusula 42</w:t>
            </w:r>
          </w:p>
        </w:tc>
      </w:tr>
      <w:tr>
        <w:trPr>
          <w:trHeight w:val="397" w:hRule="atLeast"/>
        </w:trPr>
        <w:tc>
          <w:tcPr>
            <w:tcW w:w="3796" w:type="dxa"/>
            <w:tcBorders>
              <w:top w:val="single" w:sz="4" w:space="0" w:color="000000"/>
              <w:left w:val="threeDEngrave" w:sz="24" w:space="0" w:color="000000"/>
              <w:bottom w:val="single" w:sz="4" w:space="0" w:color="000000"/>
            </w:tcBorders>
            <w:shd w:color="auto" w:fill="E0E0E0" w:val="clear"/>
            <w:vAlign w:val="center"/>
          </w:tcPr>
          <w:p>
            <w:pPr>
              <w:pStyle w:val="Normal"/>
              <w:widowControl w:val="false"/>
              <w:rPr>
                <w:b/>
                <w:b/>
                <w:shd w:fill="auto" w:val="clear"/>
              </w:rPr>
            </w:pPr>
            <w:r>
              <w:rPr>
                <w:b/>
                <w:shd w:fill="auto" w:val="clear"/>
              </w:rPr>
              <w:t>CESSIÓ  DEL CONTRACTE</w:t>
            </w:r>
          </w:p>
        </w:tc>
        <w:tc>
          <w:tcPr>
            <w:tcW w:w="7320" w:type="dxa"/>
            <w:gridSpan w:val="2"/>
            <w:tcBorders>
              <w:top w:val="single" w:sz="4" w:space="0" w:color="000000"/>
              <w:left w:val="single" w:sz="4" w:space="0" w:color="000000"/>
              <w:bottom w:val="single" w:sz="4" w:space="0" w:color="000000"/>
              <w:right w:val="threeDEmboss" w:sz="24" w:space="0" w:color="000000"/>
            </w:tcBorders>
            <w:vAlign w:val="center"/>
          </w:tcPr>
          <w:p>
            <w:pPr>
              <w:pStyle w:val="Normal"/>
              <w:widowControl w:val="false"/>
              <w:jc w:val="both"/>
              <w:rPr>
                <w:shd w:fill="auto" w:val="clear"/>
              </w:rPr>
            </w:pPr>
            <w:r>
              <w:rPr>
                <w:shd w:fill="auto" w:val="clear"/>
              </w:rPr>
              <w:t>Procedeix</w:t>
            </w:r>
          </w:p>
        </w:tc>
      </w:tr>
    </w:tbl>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p>
      <w:pPr>
        <w:pStyle w:val="Normal"/>
        <w:jc w:val="both"/>
        <w:rPr>
          <w:b/>
          <w:b/>
          <w:sz w:val="24"/>
          <w:szCs w:val="24"/>
          <w:lang w:val="es-ES"/>
        </w:rPr>
      </w:pPr>
      <w:r>
        <w:rPr>
          <w:b/>
          <w:sz w:val="24"/>
          <w:szCs w:val="24"/>
          <w:lang w:val="es-ES"/>
        </w:rPr>
      </w:r>
    </w:p>
    <w:tbl>
      <w:tblPr>
        <w:tblW w:w="9978" w:type="dxa"/>
        <w:jc w:val="center"/>
        <w:tblInd w:w="0" w:type="dxa"/>
        <w:tblLayout w:type="fixed"/>
        <w:tblCellMar>
          <w:top w:w="0" w:type="dxa"/>
          <w:left w:w="70" w:type="dxa"/>
          <w:bottom w:w="0" w:type="dxa"/>
          <w:right w:w="70" w:type="dxa"/>
        </w:tblCellMar>
        <w:tblLook w:firstRow="0" w:noVBand="0" w:lastRow="0" w:firstColumn="0" w:lastColumn="0" w:noHBand="0" w:val="0000"/>
      </w:tblPr>
      <w:tblGrid>
        <w:gridCol w:w="4989"/>
        <w:gridCol w:w="4988"/>
      </w:tblGrid>
      <w:tr>
        <w:trPr>
          <w:trHeight w:val="284" w:hRule="atLeast"/>
        </w:trPr>
        <w:tc>
          <w:tcPr>
            <w:tcW w:w="9977" w:type="dxa"/>
            <w:gridSpan w:val="2"/>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widowControl w:val="false"/>
              <w:jc w:val="center"/>
              <w:rPr/>
            </w:pPr>
            <w:r>
              <w:rPr>
                <w:sz w:val="22"/>
              </w:rPr>
              <w:t>Aclariments i informació addicional:</w:t>
            </w:r>
          </w:p>
        </w:tc>
      </w:tr>
      <w:tr>
        <w:trPr>
          <w:trHeight w:val="1698" w:hRule="atLeast"/>
        </w:trPr>
        <w:tc>
          <w:tcPr>
            <w:tcW w:w="4989" w:type="dxa"/>
            <w:tcBorders>
              <w:top w:val="single" w:sz="4" w:space="0" w:color="000000"/>
              <w:left w:val="single" w:sz="4" w:space="0" w:color="000000"/>
              <w:bottom w:val="single" w:sz="4" w:space="0" w:color="000000"/>
            </w:tcBorders>
            <w:shd w:color="auto" w:fill="auto" w:val="clear"/>
          </w:tcPr>
          <w:p>
            <w:pPr>
              <w:pStyle w:val="Normal"/>
              <w:widowControl w:val="false"/>
              <w:snapToGrid w:val="false"/>
              <w:ind w:left="356" w:hanging="0"/>
              <w:jc w:val="both"/>
              <w:rPr>
                <w:rFonts w:ascii="Liberation Serif" w:hAnsi="Liberation Serif" w:cs="Liberation Serif"/>
                <w:b/>
                <w:b/>
                <w:kern w:val="2"/>
                <w:sz w:val="24"/>
                <w:szCs w:val="24"/>
                <w:lang w:bidi="hi-IN"/>
              </w:rPr>
            </w:pPr>
            <w:r>
              <w:rPr>
                <w:rFonts w:cs="Liberation Serif" w:ascii="Liberation Serif" w:hAnsi="Liberation Serif"/>
                <w:b/>
                <w:kern w:val="2"/>
                <w:sz w:val="24"/>
                <w:szCs w:val="24"/>
                <w:lang w:bidi="hi-IN"/>
              </w:rPr>
            </w:r>
          </w:p>
          <w:p>
            <w:pPr>
              <w:pStyle w:val="Normal"/>
              <w:widowControl w:val="false"/>
              <w:ind w:left="356" w:hanging="0"/>
              <w:jc w:val="both"/>
              <w:rPr/>
            </w:pPr>
            <w:r>
              <w:rPr>
                <w:b/>
                <w:sz w:val="22"/>
              </w:rPr>
              <w:t>Plec de prescripcions tècniques (PPT)</w:t>
            </w:r>
            <w:r>
              <w:rPr>
                <w:rFonts w:cs="Times New Roman"/>
                <w:b/>
                <w:kern w:val="2"/>
                <w:szCs w:val="24"/>
                <w:lang w:bidi="hi-IN"/>
              </w:rPr>
              <w:t>:</w:t>
            </w:r>
          </w:p>
          <w:p>
            <w:pPr>
              <w:pStyle w:val="Normal"/>
              <w:widowControl w:val="false"/>
              <w:ind w:left="356" w:hanging="0"/>
              <w:jc w:val="both"/>
              <w:rPr>
                <w:rFonts w:ascii="Liberation Serif" w:hAnsi="Liberation Serif" w:cs="Liberation Serif"/>
                <w:b/>
                <w:b/>
                <w:kern w:val="2"/>
                <w:sz w:val="24"/>
                <w:szCs w:val="24"/>
                <w:u w:val="single"/>
                <w:lang w:bidi="hi-IN"/>
              </w:rPr>
            </w:pPr>
            <w:r>
              <w:rPr>
                <w:rFonts w:cs="Liberation Serif" w:ascii="Liberation Serif" w:hAnsi="Liberation Serif"/>
                <w:b/>
                <w:kern w:val="2"/>
                <w:sz w:val="24"/>
                <w:szCs w:val="24"/>
                <w:u w:val="single"/>
                <w:lang w:bidi="hi-IN"/>
              </w:rPr>
            </w:r>
          </w:p>
          <w:p>
            <w:pPr>
              <w:pStyle w:val="Normal"/>
              <w:widowControl w:val="false"/>
              <w:ind w:left="356" w:hanging="0"/>
              <w:jc w:val="both"/>
              <w:rPr>
                <w:rFonts w:ascii="Arial" w:hAnsi="Arial" w:eastAsia="SimSun;宋体" w:cs="Arial"/>
                <w:b/>
                <w:b/>
                <w:color w:val="00000A"/>
                <w:kern w:val="0"/>
                <w:sz w:val="22"/>
                <w:szCs w:val="20"/>
                <w:shd w:fill="auto" w:val="clear"/>
                <w:lang w:val="ca-ES" w:eastAsia="zh-CN" w:bidi="ar-SA"/>
              </w:rPr>
            </w:pPr>
            <w:r>
              <w:rPr>
                <w:rFonts w:eastAsia="SimSun;宋体" w:cs="Arial"/>
                <w:b/>
                <w:color w:val="00000A"/>
                <w:kern w:val="0"/>
                <w:sz w:val="22"/>
                <w:szCs w:val="20"/>
                <w:shd w:fill="auto" w:val="clear"/>
                <w:lang w:val="ca-ES" w:eastAsia="zh-CN" w:bidi="ar-SA"/>
              </w:rPr>
              <w:t>Gemma López García</w:t>
            </w:r>
          </w:p>
          <w:p>
            <w:pPr>
              <w:pStyle w:val="Normal"/>
              <w:widowControl w:val="false"/>
              <w:ind w:left="356" w:hanging="0"/>
              <w:jc w:val="both"/>
              <w:rPr>
                <w:rFonts w:ascii="Arial" w:hAnsi="Arial" w:eastAsia="SimSun;宋体" w:cs="Arial"/>
                <w:color w:val="00000A"/>
                <w:kern w:val="0"/>
                <w:sz w:val="22"/>
                <w:szCs w:val="20"/>
                <w:shd w:fill="auto" w:val="clear"/>
                <w:lang w:val="ca-ES" w:eastAsia="zh-CN" w:bidi="ar-SA"/>
              </w:rPr>
            </w:pPr>
            <w:r>
              <w:rPr>
                <w:rFonts w:eastAsia="SimSun;宋体" w:cs="Arial"/>
                <w:color w:val="00000A"/>
                <w:kern w:val="0"/>
                <w:sz w:val="22"/>
                <w:szCs w:val="20"/>
                <w:shd w:fill="auto" w:val="clear"/>
                <w:lang w:val="ca-ES" w:eastAsia="zh-CN" w:bidi="ar-SA"/>
              </w:rPr>
              <w:t>Directora de Serveis d’Educació</w:t>
            </w:r>
          </w:p>
          <w:p>
            <w:pPr>
              <w:pStyle w:val="Normal"/>
              <w:widowControl w:val="false"/>
              <w:ind w:left="356" w:hanging="0"/>
              <w:jc w:val="both"/>
              <w:rPr>
                <w:shd w:fill="auto" w:val="clear"/>
              </w:rPr>
            </w:pPr>
            <w:r>
              <w:rPr>
                <w:rFonts w:cs="Times New Roman"/>
                <w:kern w:val="2"/>
                <w:sz w:val="22"/>
                <w:szCs w:val="22"/>
                <w:shd w:fill="auto" w:val="clear"/>
                <w:lang w:bidi="hi-IN"/>
              </w:rPr>
              <w:t>Ajuntament de Terrassa</w:t>
            </w:r>
          </w:p>
          <w:p>
            <w:pPr>
              <w:pStyle w:val="Normal"/>
              <w:widowControl w:val="false"/>
              <w:ind w:left="356" w:hanging="0"/>
              <w:jc w:val="both"/>
              <w:rPr>
                <w:shd w:fill="auto" w:val="clear"/>
              </w:rPr>
            </w:pPr>
            <w:r>
              <w:rPr>
                <w:sz w:val="22"/>
                <w:shd w:fill="auto" w:val="clear"/>
              </w:rPr>
              <w:t xml:space="preserve">Tel. 93 739 70 00 Ext. </w:t>
            </w:r>
            <w:bookmarkStart w:id="2" w:name="__Fieldmark__670_653265421"/>
            <w:bookmarkEnd w:id="2"/>
            <w:r>
              <w:rPr>
                <w:sz w:val="22"/>
                <w:shd w:fill="auto" w:val="clear"/>
              </w:rPr>
              <w:t>7641</w:t>
            </w:r>
          </w:p>
          <w:p>
            <w:pPr>
              <w:pStyle w:val="Normal"/>
              <w:widowControl w:val="false"/>
              <w:ind w:left="356" w:hanging="0"/>
              <w:jc w:val="both"/>
              <w:rPr/>
            </w:pPr>
            <w:r>
              <w:rPr>
                <w:rStyle w:val="EnlladInternet"/>
                <w:rFonts w:cs="Arial"/>
                <w:sz w:val="22"/>
                <w:shd w:fill="auto" w:val="clear"/>
              </w:rPr>
              <w:t>Gemma.Lopez@terrassa.cat</w:t>
            </w:r>
          </w:p>
        </w:tc>
        <w:tc>
          <w:tcPr>
            <w:tcW w:w="498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napToGrid w:val="false"/>
              <w:ind w:left="465" w:hanging="0"/>
              <w:jc w:val="both"/>
              <w:rPr>
                <w:rFonts w:ascii="Liberation Serif" w:hAnsi="Liberation Serif" w:cs="Liberation Serif"/>
                <w:b/>
                <w:b/>
                <w:kern w:val="2"/>
                <w:sz w:val="22"/>
                <w:szCs w:val="24"/>
                <w:highlight w:val="yellow"/>
                <w:lang w:bidi="hi-IN"/>
              </w:rPr>
            </w:pPr>
            <w:r>
              <w:rPr>
                <w:rFonts w:cs="Liberation Serif" w:ascii="Liberation Serif" w:hAnsi="Liberation Serif"/>
                <w:b/>
                <w:kern w:val="2"/>
                <w:sz w:val="22"/>
                <w:szCs w:val="24"/>
                <w:highlight w:val="yellow"/>
                <w:lang w:bidi="hi-IN"/>
              </w:rPr>
            </w:r>
          </w:p>
          <w:p>
            <w:pPr>
              <w:pStyle w:val="Normal"/>
              <w:widowControl w:val="false"/>
              <w:ind w:left="356" w:hanging="0"/>
              <w:jc w:val="both"/>
              <w:rPr/>
            </w:pPr>
            <w:r>
              <w:rPr>
                <w:b/>
                <w:sz w:val="22"/>
              </w:rPr>
              <w:t>Plec de clàusules administratives:</w:t>
            </w:r>
          </w:p>
          <w:p>
            <w:pPr>
              <w:pStyle w:val="Normal"/>
              <w:widowControl w:val="false"/>
              <w:ind w:left="465" w:hanging="0"/>
              <w:jc w:val="both"/>
              <w:rPr>
                <w:rFonts w:cs="Times New Roman"/>
                <w:b/>
                <w:b/>
                <w:kern w:val="2"/>
                <w:sz w:val="22"/>
                <w:szCs w:val="24"/>
                <w:lang w:bidi="hi-IN"/>
              </w:rPr>
            </w:pPr>
            <w:r>
              <w:rPr>
                <w:rFonts w:cs="Times New Roman"/>
                <w:b/>
                <w:kern w:val="2"/>
                <w:sz w:val="22"/>
                <w:szCs w:val="24"/>
                <w:lang w:bidi="hi-IN"/>
              </w:rPr>
            </w:r>
          </w:p>
          <w:p>
            <w:pPr>
              <w:pStyle w:val="Normal"/>
              <w:widowControl w:val="false"/>
              <w:ind w:left="356" w:hanging="0"/>
              <w:jc w:val="both"/>
              <w:rPr/>
            </w:pPr>
            <w:r>
              <w:rPr>
                <w:sz w:val="22"/>
                <w:szCs w:val="22"/>
              </w:rPr>
              <w:t>Servei de Contractació</w:t>
            </w:r>
          </w:p>
          <w:p>
            <w:pPr>
              <w:pStyle w:val="Normal"/>
              <w:widowControl w:val="false"/>
              <w:ind w:left="356" w:hanging="0"/>
              <w:jc w:val="both"/>
              <w:rPr/>
            </w:pPr>
            <w:r>
              <w:rPr>
                <w:sz w:val="22"/>
                <w:szCs w:val="22"/>
              </w:rPr>
              <w:t>Ajuntament de Terrassa</w:t>
            </w:r>
          </w:p>
          <w:p>
            <w:pPr>
              <w:pStyle w:val="Normal"/>
              <w:widowControl w:val="false"/>
              <w:ind w:left="356" w:hanging="0"/>
              <w:jc w:val="both"/>
              <w:rPr/>
            </w:pPr>
            <w:r>
              <w:rPr>
                <w:sz w:val="22"/>
                <w:szCs w:val="22"/>
              </w:rPr>
              <w:t>Tel. 93 739 70 00 Ext. 7075</w:t>
            </w:r>
          </w:p>
          <w:p>
            <w:pPr>
              <w:pStyle w:val="Normal"/>
              <w:widowControl w:val="false"/>
              <w:ind w:left="356" w:hanging="0"/>
              <w:jc w:val="both"/>
              <w:rPr>
                <w:sz w:val="22"/>
                <w:szCs w:val="22"/>
              </w:rPr>
            </w:pPr>
            <w:hyperlink r:id="rId2">
              <w:r>
                <w:rPr>
                  <w:rStyle w:val="EnlladInternet"/>
                  <w:rFonts w:cs="Arial"/>
                  <w:sz w:val="22"/>
                  <w:szCs w:val="22"/>
                </w:rPr>
                <w:t>contractacio@terrassa.cat</w:t>
              </w:r>
            </w:hyperlink>
          </w:p>
          <w:p>
            <w:pPr>
              <w:pStyle w:val="Normal"/>
              <w:widowControl w:val="false"/>
              <w:ind w:left="356" w:hanging="0"/>
              <w:jc w:val="both"/>
              <w:rPr/>
            </w:pPr>
            <w:r>
              <w:rPr>
                <w:sz w:val="22"/>
                <w:szCs w:val="22"/>
              </w:rPr>
              <w:t>Horari d’atenció: dilluns a divendres, de 8:00 a 14:00h.</w:t>
            </w:r>
          </w:p>
          <w:p>
            <w:pPr>
              <w:pStyle w:val="Normal"/>
              <w:widowControl w:val="false"/>
              <w:jc w:val="both"/>
              <w:rPr>
                <w:rFonts w:cs="Times New Roman"/>
                <w:kern w:val="2"/>
                <w:sz w:val="22"/>
                <w:szCs w:val="24"/>
                <w:highlight w:val="yellow"/>
                <w:lang w:bidi="hi-IN"/>
              </w:rPr>
            </w:pPr>
            <w:r>
              <w:rPr>
                <w:rFonts w:cs="Times New Roman"/>
                <w:kern w:val="2"/>
                <w:sz w:val="22"/>
                <w:szCs w:val="24"/>
                <w:highlight w:val="yellow"/>
                <w:lang w:bidi="hi-IN"/>
              </w:rPr>
            </w:r>
          </w:p>
          <w:p>
            <w:pPr>
              <w:pStyle w:val="Normal"/>
              <w:widowControl w:val="false"/>
              <w:jc w:val="both"/>
              <w:rPr>
                <w:rFonts w:cs="Times New Roman"/>
                <w:kern w:val="2"/>
                <w:sz w:val="22"/>
                <w:szCs w:val="24"/>
                <w:highlight w:val="yellow"/>
                <w:lang w:bidi="hi-IN"/>
              </w:rPr>
            </w:pPr>
            <w:r>
              <w:rPr>
                <w:rFonts w:cs="Times New Roman"/>
                <w:kern w:val="2"/>
                <w:sz w:val="22"/>
                <w:szCs w:val="24"/>
                <w:highlight w:val="yellow"/>
                <w:lang w:bidi="hi-IN"/>
              </w:rPr>
            </w:r>
          </w:p>
        </w:tc>
      </w:tr>
      <w:tr>
        <w:trPr>
          <w:trHeight w:val="2100" w:hRule="atLeast"/>
        </w:trPr>
        <w:tc>
          <w:tcPr>
            <w:tcW w:w="9977"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snapToGrid w:val="false"/>
              <w:ind w:left="356" w:hanging="0"/>
              <w:jc w:val="both"/>
              <w:rPr>
                <w:rFonts w:cs="Times New Roman"/>
                <w:b/>
                <w:b/>
                <w:kern w:val="2"/>
                <w:sz w:val="22"/>
                <w:szCs w:val="24"/>
                <w:highlight w:val="yellow"/>
                <w:lang w:bidi="hi-IN"/>
              </w:rPr>
            </w:pPr>
            <w:r>
              <w:rPr>
                <w:rFonts w:cs="Times New Roman"/>
                <w:b/>
                <w:kern w:val="2"/>
                <w:sz w:val="22"/>
                <w:szCs w:val="24"/>
                <w:highlight w:val="yellow"/>
                <w:lang w:bidi="hi-IN"/>
              </w:rPr>
            </w:r>
          </w:p>
          <w:p>
            <w:pPr>
              <w:pStyle w:val="Normal"/>
              <w:widowControl w:val="false"/>
              <w:tabs>
                <w:tab w:val="clear" w:pos="720"/>
                <w:tab w:val="left" w:pos="8152" w:leader="none"/>
              </w:tabs>
              <w:ind w:left="465" w:right="72" w:hanging="0"/>
              <w:rPr>
                <w:b/>
                <w:b/>
                <w:color w:val="auto"/>
                <w:sz w:val="22"/>
                <w:szCs w:val="22"/>
                <w:u w:val="single"/>
              </w:rPr>
            </w:pPr>
            <w:r>
              <w:rPr>
                <w:b/>
                <w:color w:val="auto"/>
                <w:sz w:val="22"/>
                <w:szCs w:val="22"/>
                <w:u w:val="single"/>
              </w:rPr>
            </w:r>
          </w:p>
          <w:p>
            <w:pPr>
              <w:pStyle w:val="Normal"/>
              <w:widowControl w:val="false"/>
              <w:tabs>
                <w:tab w:val="clear" w:pos="720"/>
                <w:tab w:val="left" w:pos="8152" w:leader="none"/>
              </w:tabs>
              <w:ind w:left="465" w:right="72" w:hanging="0"/>
              <w:jc w:val="both"/>
              <w:rPr>
                <w:b/>
                <w:b/>
                <w:color w:val="auto"/>
                <w:sz w:val="22"/>
                <w:szCs w:val="22"/>
                <w:u w:val="single"/>
              </w:rPr>
            </w:pPr>
            <w:r>
              <w:rPr>
                <w:b/>
                <w:color w:val="auto"/>
                <w:sz w:val="22"/>
                <w:szCs w:val="22"/>
                <w:u w:val="single"/>
              </w:rPr>
              <w:t>Presentació oferta electrònica a la plataforma de serveis de contractació pública (PSCP-eLicita):</w:t>
            </w:r>
          </w:p>
          <w:p>
            <w:pPr>
              <w:pStyle w:val="Default"/>
              <w:widowControl w:val="false"/>
              <w:tabs>
                <w:tab w:val="clear" w:pos="720"/>
                <w:tab w:val="left" w:pos="8152" w:leader="none"/>
              </w:tabs>
              <w:ind w:left="427" w:hanging="0"/>
              <w:jc w:val="both"/>
              <w:rPr>
                <w:color w:val="auto"/>
                <w:sz w:val="22"/>
                <w:szCs w:val="22"/>
                <w:lang w:val="ca-ES"/>
              </w:rPr>
            </w:pPr>
            <w:r>
              <w:rPr>
                <w:color w:val="auto"/>
                <w:sz w:val="22"/>
                <w:szCs w:val="22"/>
                <w:lang w:val="ca-ES"/>
              </w:rPr>
            </w:r>
          </w:p>
          <w:p>
            <w:pPr>
              <w:pStyle w:val="Default"/>
              <w:widowControl w:val="false"/>
              <w:tabs>
                <w:tab w:val="clear" w:pos="720"/>
                <w:tab w:val="left" w:pos="8152" w:leader="none"/>
              </w:tabs>
              <w:ind w:left="427" w:hanging="0"/>
              <w:jc w:val="both"/>
              <w:rPr>
                <w:color w:val="auto"/>
                <w:sz w:val="22"/>
                <w:szCs w:val="22"/>
                <w:lang w:val="ca-ES"/>
              </w:rPr>
            </w:pPr>
            <w:r>
              <w:rPr>
                <w:color w:val="auto"/>
                <w:sz w:val="22"/>
                <w:szCs w:val="22"/>
                <w:lang w:val="ca-ES"/>
              </w:rPr>
              <w:t>Servei d’atenció a l’usuari SAU TIC. Horari: dilluns a divendres, de 8:00 a 20:00h, mitjançant els següents canals:</w:t>
            </w:r>
          </w:p>
          <w:p>
            <w:pPr>
              <w:pStyle w:val="Normal"/>
              <w:widowControl w:val="false"/>
              <w:numPr>
                <w:ilvl w:val="0"/>
                <w:numId w:val="18"/>
              </w:numPr>
              <w:tabs>
                <w:tab w:val="clear" w:pos="720"/>
                <w:tab w:val="left" w:pos="781" w:leader="none"/>
                <w:tab w:val="left" w:pos="8152" w:leader="none"/>
              </w:tabs>
              <w:suppressAutoHyphens w:val="false"/>
              <w:spacing w:before="120" w:after="0"/>
              <w:ind w:left="777" w:hanging="357"/>
              <w:rPr>
                <w:color w:val="auto"/>
              </w:rPr>
            </w:pPr>
            <w:r>
              <w:rPr>
                <w:b/>
                <w:color w:val="auto"/>
                <w:sz w:val="22"/>
                <w:szCs w:val="22"/>
              </w:rPr>
              <w:t xml:space="preserve">Bústia de correu electrònic </w:t>
            </w:r>
            <w:hyperlink r:id="rId3">
              <w:r>
                <w:rPr>
                  <w:rStyle w:val="EnlladInternet"/>
                  <w:b/>
                  <w:color w:val="auto"/>
                  <w:sz w:val="22"/>
                  <w:szCs w:val="22"/>
                </w:rPr>
                <w:t>sau.tic@pautic.gencat.cat</w:t>
              </w:r>
            </w:hyperlink>
            <w:r>
              <w:rPr>
                <w:b/>
                <w:color w:val="auto"/>
                <w:sz w:val="22"/>
                <w:szCs w:val="22"/>
              </w:rPr>
              <w:t>.</w:t>
            </w:r>
          </w:p>
          <w:p>
            <w:pPr>
              <w:pStyle w:val="Normal"/>
              <w:widowControl w:val="false"/>
              <w:tabs>
                <w:tab w:val="clear" w:pos="720"/>
                <w:tab w:val="left" w:pos="8152" w:leader="none"/>
              </w:tabs>
              <w:suppressAutoHyphens w:val="false"/>
              <w:ind w:left="781" w:right="72" w:hanging="0"/>
              <w:jc w:val="both"/>
              <w:rPr>
                <w:color w:val="auto"/>
              </w:rPr>
            </w:pPr>
            <w:r>
              <w:rPr>
                <w:color w:val="auto"/>
              </w:rPr>
              <w:t>Indiqueu en l’assumpte del correu “</w:t>
            </w:r>
            <w:r>
              <w:rPr>
                <w:i/>
                <w:color w:val="auto"/>
              </w:rPr>
              <w:t>Codi 31: PSCP-eines de licitació electrònica</w:t>
            </w:r>
            <w:r>
              <w:rPr>
                <w:color w:val="auto"/>
              </w:rPr>
              <w:t xml:space="preserve">” i en el missatge la informació següent: </w:t>
            </w:r>
            <w:r>
              <w:rPr>
                <w:i/>
                <w:color w:val="auto"/>
              </w:rPr>
              <w:t>Data i hora de la incidència; Codi d’expedient i òrgan de contractació; Data i hora límit de presentació de l’oferta; Nom de l’empresa i dades de contacte; Captura de pantalla amb el missatge d’error; Descripció de les operacions realitzades i del problema sorgit.</w:t>
            </w:r>
          </w:p>
          <w:p>
            <w:pPr>
              <w:pStyle w:val="Normal"/>
              <w:widowControl w:val="false"/>
              <w:numPr>
                <w:ilvl w:val="0"/>
                <w:numId w:val="18"/>
              </w:numPr>
              <w:tabs>
                <w:tab w:val="clear" w:pos="720"/>
                <w:tab w:val="left" w:pos="781" w:leader="none"/>
                <w:tab w:val="left" w:pos="8152" w:leader="none"/>
              </w:tabs>
              <w:suppressAutoHyphens w:val="false"/>
              <w:spacing w:before="120" w:after="0"/>
              <w:ind w:left="783" w:right="74" w:hanging="284"/>
              <w:jc w:val="both"/>
              <w:rPr>
                <w:color w:val="auto"/>
              </w:rPr>
            </w:pPr>
            <w:r>
              <w:rPr>
                <w:b/>
                <w:color w:val="auto"/>
                <w:sz w:val="22"/>
                <w:szCs w:val="22"/>
              </w:rPr>
              <w:t>Telèfon 900 924 009 + extensió 1</w:t>
            </w:r>
            <w:r>
              <w:rPr>
                <w:color w:val="auto"/>
                <w:sz w:val="22"/>
                <w:szCs w:val="22"/>
              </w:rPr>
              <w:t xml:space="preserve"> (canal preferent per incidències que es produeixin en les últimes 24 h del termini de presentació d’ofertes)</w:t>
            </w:r>
          </w:p>
          <w:p>
            <w:pPr>
              <w:pStyle w:val="Normal"/>
              <w:widowControl w:val="false"/>
              <w:ind w:left="356" w:right="72" w:hanging="0"/>
              <w:jc w:val="both"/>
              <w:rPr>
                <w:rFonts w:ascii="Liberation Serif" w:hAnsi="Liberation Serif" w:cs="Liberation Serif"/>
                <w:kern w:val="2"/>
                <w:sz w:val="22"/>
                <w:szCs w:val="24"/>
                <w:lang w:bidi="hi-IN"/>
              </w:rPr>
            </w:pPr>
            <w:r>
              <w:rPr>
                <w:rFonts w:cs="Liberation Serif" w:ascii="Liberation Serif" w:hAnsi="Liberation Serif"/>
                <w:kern w:val="2"/>
                <w:sz w:val="22"/>
                <w:szCs w:val="24"/>
                <w:lang w:bidi="hi-IN"/>
              </w:rPr>
            </w:r>
          </w:p>
        </w:tc>
      </w:tr>
    </w:tbl>
    <w:p>
      <w:pPr>
        <w:pStyle w:val="Normal"/>
        <w:pBdr>
          <w:bottom w:val="single" w:sz="12" w:space="1" w:color="000001"/>
        </w:pBdr>
        <w:jc w:val="both"/>
        <w:rPr>
          <w:b/>
          <w:b/>
          <w:sz w:val="24"/>
          <w:szCs w:val="24"/>
        </w:rPr>
      </w:pPr>
      <w:r>
        <w:rPr>
          <w:b/>
          <w:sz w:val="24"/>
          <w:szCs w:val="24"/>
        </w:rPr>
      </w:r>
    </w:p>
    <w:p>
      <w:pPr>
        <w:pStyle w:val="Normal"/>
        <w:pBdr>
          <w:bottom w:val="single" w:sz="12" w:space="1" w:color="000001"/>
        </w:pBdr>
        <w:jc w:val="both"/>
        <w:rPr>
          <w:b/>
          <w:b/>
          <w:sz w:val="24"/>
          <w:szCs w:val="24"/>
        </w:rPr>
      </w:pPr>
      <w:r>
        <w:rPr>
          <w:b/>
          <w:sz w:val="24"/>
          <w:szCs w:val="24"/>
        </w:rPr>
      </w:r>
    </w:p>
    <w:p>
      <w:pPr>
        <w:pStyle w:val="Normal"/>
        <w:pBdr>
          <w:bottom w:val="single" w:sz="12" w:space="1" w:color="000001"/>
        </w:pBdr>
        <w:jc w:val="both"/>
        <w:rPr>
          <w:shd w:fill="auto" w:val="clear"/>
        </w:rPr>
      </w:pPr>
      <w:r>
        <w:rPr>
          <w:b/>
          <w:sz w:val="24"/>
          <w:szCs w:val="24"/>
          <w:shd w:fill="auto" w:val="clear"/>
        </w:rPr>
        <w:t>PLEC DE CLÀUSULES ADMINISTRATIVES PARTICULARS (PCAP) QUE REGEIX EL CONTRACTE DE SERVEIS DE MENJADOR PER A LES ESCOLES BRESSOL MUNICIPALS I LES ESCOLES D’EDUCACIÓ ESPECIAL MUNICIPALS DE TERRASSA AMB CRITERIS DE CONTRACTACIÓ PÚBLICA ECOLÒGICA</w:t>
      </w:r>
    </w:p>
    <w:p>
      <w:pPr>
        <w:pStyle w:val="Normal"/>
        <w:jc w:val="both"/>
        <w:rPr>
          <w:b/>
          <w:b/>
          <w:bCs/>
          <w:sz w:val="24"/>
          <w:szCs w:val="24"/>
        </w:rPr>
      </w:pPr>
      <w:r>
        <w:rPr>
          <w:b/>
          <w:bCs/>
          <w:sz w:val="24"/>
          <w:szCs w:val="24"/>
        </w:rPr>
      </w:r>
    </w:p>
    <w:p>
      <w:pPr>
        <w:pStyle w:val="Normal"/>
        <w:jc w:val="both"/>
        <w:rPr>
          <w:b/>
          <w:b/>
          <w:sz w:val="22"/>
        </w:rPr>
      </w:pPr>
      <w:r>
        <w:rPr>
          <w:b/>
          <w:sz w:val="22"/>
        </w:rPr>
      </w:r>
    </w:p>
    <w:p>
      <w:pPr>
        <w:pStyle w:val="Normal"/>
        <w:jc w:val="both"/>
        <w:rPr/>
      </w:pPr>
      <w:r>
        <w:rPr>
          <w:b/>
          <w:sz w:val="22"/>
        </w:rPr>
        <w:t>PRIMERA.- Objecte del contracte</w:t>
      </w:r>
    </w:p>
    <w:p>
      <w:pPr>
        <w:pStyle w:val="Normal"/>
        <w:jc w:val="both"/>
        <w:rPr>
          <w:b/>
          <w:b/>
          <w:sz w:val="22"/>
          <w:szCs w:val="24"/>
          <w:u w:val="single"/>
        </w:rPr>
      </w:pPr>
      <w:r>
        <w:rPr>
          <w:b/>
          <w:sz w:val="22"/>
          <w:szCs w:val="24"/>
          <w:u w:val="single"/>
        </w:rPr>
      </w:r>
    </w:p>
    <w:p>
      <w:pPr>
        <w:pStyle w:val="Normal"/>
        <w:jc w:val="both"/>
        <w:rPr/>
      </w:pPr>
      <w:r>
        <w:rPr>
          <w:sz w:val="22"/>
          <w:szCs w:val="22"/>
        </w:rPr>
        <w:t xml:space="preserve">L’objecte del contracte és el servei de menjador </w:t>
      </w:r>
      <w:r>
        <w:rPr>
          <w:rFonts w:eastAsia="SimSun;宋体"/>
          <w:color w:val="00000A"/>
          <w:sz w:val="22"/>
          <w:szCs w:val="22"/>
          <w:lang w:val="ca-ES" w:eastAsia="zh-CN"/>
        </w:rPr>
        <w:t>per a</w:t>
      </w:r>
      <w:r>
        <w:rPr>
          <w:sz w:val="22"/>
          <w:szCs w:val="22"/>
        </w:rPr>
        <w:t xml:space="preserve"> les escoles bressol municipals  i les escoles municipals d’educació especial dependents del Servei d’Educació de l’Ajuntament de Terrassa amb criteris de contractació pública ecològica.</w:t>
      </w:r>
    </w:p>
    <w:p>
      <w:pPr>
        <w:pStyle w:val="Normal"/>
        <w:jc w:val="both"/>
        <w:rPr>
          <w:rFonts w:ascii="Arial" w:hAnsi="Arial"/>
          <w:sz w:val="22"/>
          <w:szCs w:val="22"/>
          <w:lang w:val="ca-ES" w:eastAsia="zh-CN"/>
        </w:rPr>
      </w:pPr>
      <w:r>
        <w:rPr>
          <w:sz w:val="22"/>
          <w:szCs w:val="22"/>
          <w:lang w:val="ca-ES" w:eastAsia="zh-CN"/>
        </w:rPr>
      </w:r>
    </w:p>
    <w:p>
      <w:pPr>
        <w:pStyle w:val="Cosdeltext"/>
        <w:jc w:val="both"/>
        <w:rPr>
          <w:rFonts w:ascii="Arial" w:hAnsi="Arial"/>
          <w:sz w:val="22"/>
          <w:szCs w:val="22"/>
          <w:lang w:val="ca-ES" w:eastAsia="zh-CN"/>
        </w:rPr>
      </w:pPr>
      <w:r>
        <w:rPr>
          <w:rFonts w:ascii="Arial" w:hAnsi="Arial"/>
          <w:sz w:val="22"/>
          <w:szCs w:val="22"/>
          <w:lang w:val="ca-ES" w:eastAsia="zh-CN"/>
        </w:rPr>
        <w:t>El servei inclou, entre d'altres, l'elaboració dels menús, el subministrament de les matèries primeres, l’elaboració dels àpats en les cuines de cada centre i la seva distribució a la taula, i el manteniment i reposició dels electrodomèstics i del parament de cuina i menjador.</w:t>
      </w:r>
    </w:p>
    <w:p>
      <w:pPr>
        <w:pStyle w:val="Normal"/>
        <w:rPr>
          <w:rFonts w:ascii="Arial" w:hAnsi="Arial"/>
          <w:sz w:val="22"/>
          <w:szCs w:val="22"/>
          <w:lang w:val="ca-ES" w:eastAsia="zh-CN"/>
        </w:rPr>
      </w:pPr>
      <w:r>
        <w:rPr>
          <w:sz w:val="22"/>
          <w:szCs w:val="22"/>
          <w:lang w:val="ca-ES" w:eastAsia="zh-CN"/>
        </w:rPr>
      </w:r>
    </w:p>
    <w:p>
      <w:pPr>
        <w:pStyle w:val="Cosdeltext"/>
        <w:rPr>
          <w:rFonts w:ascii="Arial" w:hAnsi="Arial"/>
          <w:sz w:val="22"/>
          <w:szCs w:val="22"/>
        </w:rPr>
      </w:pPr>
      <w:r>
        <w:rPr>
          <w:rFonts w:ascii="Arial" w:hAnsi="Arial"/>
          <w:sz w:val="22"/>
          <w:szCs w:val="22"/>
        </w:rPr>
        <w:t>En cas que puntualment les escoles no puguin fer ús de la cuina, el servei de menjador, pel que fa als menús, serà subministrat per l’empresa adjudicatària del servei en forma de càtering. En aquest cas es validarà amb l'Ajuntament les condicions del subministrament.</w:t>
      </w:r>
    </w:p>
    <w:p>
      <w:pPr>
        <w:pStyle w:val="Normal"/>
        <w:rPr>
          <w:rFonts w:ascii="Arial" w:hAnsi="Arial"/>
          <w:sz w:val="22"/>
          <w:szCs w:val="22"/>
          <w:lang w:val="ca-ES" w:eastAsia="zh-CN"/>
        </w:rPr>
      </w:pPr>
      <w:r>
        <w:rPr>
          <w:sz w:val="22"/>
          <w:szCs w:val="22"/>
          <w:lang w:val="ca-ES" w:eastAsia="zh-CN"/>
        </w:rPr>
      </w:r>
    </w:p>
    <w:p>
      <w:pPr>
        <w:pStyle w:val="Cosdeltext"/>
        <w:jc w:val="both"/>
        <w:rPr>
          <w:rFonts w:ascii="Arial" w:hAnsi="Arial" w:eastAsia="SimSun;宋体"/>
          <w:color w:val="00000A"/>
          <w:sz w:val="22"/>
          <w:szCs w:val="22"/>
          <w:lang w:val="ca-ES" w:eastAsia="zh-CN"/>
        </w:rPr>
      </w:pPr>
      <w:r>
        <w:rPr>
          <w:rFonts w:eastAsia="SimSun;宋体" w:ascii="Arial" w:hAnsi="Arial"/>
          <w:color w:val="00000A"/>
          <w:sz w:val="22"/>
          <w:szCs w:val="22"/>
          <w:lang w:val="ca-ES" w:eastAsia="zh-CN"/>
        </w:rPr>
        <w:t>La relació d'escoles és la següent:</w:t>
      </w:r>
    </w:p>
    <w:p>
      <w:pPr>
        <w:pStyle w:val="Cosdeltext"/>
        <w:rPr>
          <w:rFonts w:ascii="Arial" w:hAnsi="Arial" w:eastAsia="SimSun;宋体"/>
          <w:color w:val="00000A"/>
          <w:sz w:val="22"/>
          <w:szCs w:val="22"/>
          <w:lang w:val="ca-ES" w:eastAsia="zh-CN"/>
        </w:rPr>
      </w:pPr>
      <w:r>
        <w:rPr>
          <w:rFonts w:eastAsia="SimSun;宋体" w:ascii="Arial" w:hAnsi="Arial"/>
          <w:color w:val="00000A"/>
          <w:sz w:val="22"/>
          <w:szCs w:val="22"/>
          <w:lang w:val="ca-ES" w:eastAsia="zh-CN"/>
        </w:rPr>
      </w:r>
    </w:p>
    <w:tbl>
      <w:tblPr>
        <w:tblW w:w="6976" w:type="dxa"/>
        <w:jc w:val="left"/>
        <w:tblInd w:w="1094" w:type="dxa"/>
        <w:tblLayout w:type="fixed"/>
        <w:tblCellMar>
          <w:top w:w="0" w:type="dxa"/>
          <w:left w:w="2" w:type="dxa"/>
          <w:bottom w:w="0" w:type="dxa"/>
          <w:right w:w="2" w:type="dxa"/>
        </w:tblCellMar>
        <w:tblLook w:val="01e0"/>
      </w:tblPr>
      <w:tblGrid>
        <w:gridCol w:w="3070"/>
        <w:gridCol w:w="3905"/>
      </w:tblGrid>
      <w:tr>
        <w:trPr>
          <w:trHeight w:val="306" w:hRule="atLeast"/>
        </w:trPr>
        <w:tc>
          <w:tcPr>
            <w:tcW w:w="3070" w:type="dxa"/>
            <w:tcBorders>
              <w:top w:val="single" w:sz="2" w:space="0" w:color="000000"/>
              <w:left w:val="single" w:sz="2" w:space="0" w:color="000000"/>
              <w:bottom w:val="single" w:sz="2" w:space="0" w:color="000000"/>
              <w:right w:val="single" w:sz="2" w:space="0" w:color="000000"/>
            </w:tcBorders>
            <w:shd w:color="auto" w:fill="DCDCDC" w:val="clear"/>
          </w:tcPr>
          <w:p>
            <w:pPr>
              <w:pStyle w:val="TableParagraph"/>
              <w:widowControl w:val="false"/>
              <w:spacing w:before="26" w:after="0"/>
              <w:ind w:left="28" w:right="0" w:hanging="0"/>
              <w:rPr>
                <w:sz w:val="22"/>
              </w:rPr>
            </w:pPr>
            <w:r>
              <w:rPr>
                <w:sz w:val="22"/>
              </w:rPr>
              <w:t>Escoles</w:t>
            </w:r>
            <w:r>
              <w:rPr>
                <w:spacing w:val="-4"/>
                <w:sz w:val="22"/>
              </w:rPr>
              <w:t xml:space="preserve"> </w:t>
            </w:r>
            <w:r>
              <w:rPr>
                <w:spacing w:val="-2"/>
                <w:sz w:val="22"/>
              </w:rPr>
              <w:t>bressol</w:t>
            </w:r>
          </w:p>
        </w:tc>
        <w:tc>
          <w:tcPr>
            <w:tcW w:w="3905" w:type="dxa"/>
            <w:tcBorders>
              <w:top w:val="single" w:sz="2" w:space="0" w:color="000000"/>
              <w:left w:val="single" w:sz="2" w:space="0" w:color="000000"/>
              <w:bottom w:val="single" w:sz="2" w:space="0" w:color="000000"/>
              <w:right w:val="single" w:sz="2" w:space="0" w:color="000000"/>
            </w:tcBorders>
            <w:shd w:color="auto" w:fill="DCDCDC" w:val="clear"/>
          </w:tcPr>
          <w:p>
            <w:pPr>
              <w:pStyle w:val="TableParagraph"/>
              <w:widowControl w:val="false"/>
              <w:spacing w:before="26" w:after="0"/>
              <w:ind w:left="28" w:right="0" w:hanging="0"/>
              <w:rPr>
                <w:sz w:val="22"/>
              </w:rPr>
            </w:pPr>
            <w:r>
              <w:rPr>
                <w:spacing w:val="-2"/>
                <w:sz w:val="22"/>
              </w:rPr>
              <w:t>Adreça</w:t>
            </w:r>
          </w:p>
        </w:tc>
      </w:tr>
      <w:tr>
        <w:trPr>
          <w:trHeight w:val="307" w:hRule="atLeast"/>
        </w:trPr>
        <w:tc>
          <w:tcPr>
            <w:tcW w:w="3070"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EBM</w:t>
            </w:r>
            <w:r>
              <w:rPr>
                <w:spacing w:val="-1"/>
                <w:sz w:val="22"/>
              </w:rPr>
              <w:t xml:space="preserve"> </w:t>
            </w:r>
            <w:r>
              <w:rPr>
                <w:spacing w:val="-2"/>
                <w:sz w:val="22"/>
              </w:rPr>
              <w:t>Coloraines</w:t>
            </w:r>
          </w:p>
        </w:tc>
        <w:tc>
          <w:tcPr>
            <w:tcW w:w="3905"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C/</w:t>
            </w:r>
            <w:r>
              <w:rPr>
                <w:spacing w:val="-5"/>
                <w:sz w:val="22"/>
              </w:rPr>
              <w:t xml:space="preserve"> </w:t>
            </w:r>
            <w:r>
              <w:rPr>
                <w:sz w:val="22"/>
              </w:rPr>
              <w:t>dels</w:t>
            </w:r>
            <w:r>
              <w:rPr>
                <w:spacing w:val="-3"/>
                <w:sz w:val="22"/>
              </w:rPr>
              <w:t xml:space="preserve"> </w:t>
            </w:r>
            <w:r>
              <w:rPr>
                <w:sz w:val="22"/>
              </w:rPr>
              <w:t>Jocs</w:t>
            </w:r>
            <w:r>
              <w:rPr>
                <w:spacing w:val="-3"/>
                <w:sz w:val="22"/>
              </w:rPr>
              <w:t xml:space="preserve"> </w:t>
            </w:r>
            <w:r>
              <w:rPr>
                <w:sz w:val="22"/>
              </w:rPr>
              <w:t>Olímpics,</w:t>
            </w:r>
            <w:r>
              <w:rPr>
                <w:spacing w:val="-2"/>
                <w:sz w:val="22"/>
              </w:rPr>
              <w:t xml:space="preserve"> </w:t>
            </w:r>
            <w:r>
              <w:rPr>
                <w:spacing w:val="-5"/>
                <w:sz w:val="22"/>
              </w:rPr>
              <w:t>56</w:t>
            </w:r>
          </w:p>
        </w:tc>
      </w:tr>
      <w:tr>
        <w:trPr>
          <w:trHeight w:val="307" w:hRule="atLeast"/>
        </w:trPr>
        <w:tc>
          <w:tcPr>
            <w:tcW w:w="3070"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EBM</w:t>
            </w:r>
            <w:r>
              <w:rPr>
                <w:spacing w:val="-1"/>
                <w:sz w:val="22"/>
              </w:rPr>
              <w:t xml:space="preserve"> </w:t>
            </w:r>
            <w:r>
              <w:rPr>
                <w:spacing w:val="-2"/>
                <w:sz w:val="22"/>
              </w:rPr>
              <w:t>Espígol</w:t>
            </w:r>
          </w:p>
        </w:tc>
        <w:tc>
          <w:tcPr>
            <w:tcW w:w="3905"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C/</w:t>
            </w:r>
            <w:r>
              <w:rPr>
                <w:spacing w:val="-2"/>
                <w:sz w:val="22"/>
              </w:rPr>
              <w:t xml:space="preserve"> </w:t>
            </w:r>
            <w:r>
              <w:rPr>
                <w:sz w:val="22"/>
              </w:rPr>
              <w:t>dels</w:t>
            </w:r>
            <w:r>
              <w:rPr>
                <w:spacing w:val="-3"/>
                <w:sz w:val="22"/>
              </w:rPr>
              <w:t xml:space="preserve"> </w:t>
            </w:r>
            <w:r>
              <w:rPr>
                <w:sz w:val="22"/>
              </w:rPr>
              <w:t>Ceps,</w:t>
            </w:r>
            <w:r>
              <w:rPr>
                <w:spacing w:val="-1"/>
                <w:sz w:val="22"/>
              </w:rPr>
              <w:t xml:space="preserve"> </w:t>
            </w:r>
            <w:r>
              <w:rPr>
                <w:spacing w:val="-10"/>
                <w:sz w:val="22"/>
              </w:rPr>
              <w:t>3</w:t>
            </w:r>
          </w:p>
        </w:tc>
      </w:tr>
      <w:tr>
        <w:trPr>
          <w:trHeight w:val="306" w:hRule="atLeast"/>
        </w:trPr>
        <w:tc>
          <w:tcPr>
            <w:tcW w:w="3070"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EBM</w:t>
            </w:r>
            <w:r>
              <w:rPr>
                <w:spacing w:val="-1"/>
                <w:sz w:val="22"/>
              </w:rPr>
              <w:t xml:space="preserve"> </w:t>
            </w:r>
            <w:r>
              <w:rPr>
                <w:spacing w:val="-2"/>
                <w:sz w:val="22"/>
              </w:rPr>
              <w:t>Ginesta</w:t>
            </w:r>
          </w:p>
        </w:tc>
        <w:tc>
          <w:tcPr>
            <w:tcW w:w="3905"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C/</w:t>
            </w:r>
            <w:r>
              <w:rPr>
                <w:spacing w:val="-3"/>
                <w:sz w:val="22"/>
              </w:rPr>
              <w:t xml:space="preserve"> </w:t>
            </w:r>
            <w:r>
              <w:rPr>
                <w:sz w:val="22"/>
              </w:rPr>
              <w:t>de</w:t>
            </w:r>
            <w:r>
              <w:rPr>
                <w:spacing w:val="-3"/>
                <w:sz w:val="22"/>
              </w:rPr>
              <w:t xml:space="preserve"> </w:t>
            </w:r>
            <w:r>
              <w:rPr>
                <w:sz w:val="22"/>
              </w:rPr>
              <w:t xml:space="preserve">Badalona, </w:t>
            </w:r>
            <w:r>
              <w:rPr>
                <w:spacing w:val="-10"/>
                <w:sz w:val="22"/>
              </w:rPr>
              <w:t>5</w:t>
            </w:r>
          </w:p>
        </w:tc>
      </w:tr>
      <w:tr>
        <w:trPr>
          <w:trHeight w:val="307" w:hRule="atLeast"/>
        </w:trPr>
        <w:tc>
          <w:tcPr>
            <w:tcW w:w="3070"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EBM</w:t>
            </w:r>
            <w:r>
              <w:rPr>
                <w:spacing w:val="-3"/>
                <w:sz w:val="22"/>
              </w:rPr>
              <w:t xml:space="preserve"> </w:t>
            </w:r>
            <w:r>
              <w:rPr>
                <w:spacing w:val="-2"/>
                <w:sz w:val="22"/>
              </w:rPr>
              <w:t>Giravolt</w:t>
            </w:r>
          </w:p>
        </w:tc>
        <w:tc>
          <w:tcPr>
            <w:tcW w:w="3905"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C/</w:t>
            </w:r>
            <w:r>
              <w:rPr>
                <w:spacing w:val="-3"/>
                <w:sz w:val="22"/>
              </w:rPr>
              <w:t xml:space="preserve"> </w:t>
            </w:r>
            <w:r>
              <w:rPr>
                <w:sz w:val="22"/>
              </w:rPr>
              <w:t>de</w:t>
            </w:r>
            <w:r>
              <w:rPr>
                <w:spacing w:val="-4"/>
                <w:sz w:val="22"/>
              </w:rPr>
              <w:t xml:space="preserve"> </w:t>
            </w:r>
            <w:r>
              <w:rPr>
                <w:sz w:val="22"/>
              </w:rPr>
              <w:t>Maria</w:t>
            </w:r>
            <w:r>
              <w:rPr>
                <w:spacing w:val="-4"/>
                <w:sz w:val="22"/>
              </w:rPr>
              <w:t xml:space="preserve"> </w:t>
            </w:r>
            <w:r>
              <w:rPr>
                <w:sz w:val="22"/>
              </w:rPr>
              <w:t xml:space="preserve">Auxiliadora, </w:t>
            </w:r>
            <w:r>
              <w:rPr>
                <w:spacing w:val="-5"/>
                <w:sz w:val="22"/>
              </w:rPr>
              <w:t>245</w:t>
            </w:r>
          </w:p>
        </w:tc>
      </w:tr>
      <w:tr>
        <w:trPr>
          <w:trHeight w:val="306" w:hRule="atLeast"/>
        </w:trPr>
        <w:tc>
          <w:tcPr>
            <w:tcW w:w="3070"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EBM</w:t>
            </w:r>
            <w:r>
              <w:rPr>
                <w:spacing w:val="-1"/>
                <w:sz w:val="22"/>
              </w:rPr>
              <w:t xml:space="preserve"> </w:t>
            </w:r>
            <w:r>
              <w:rPr>
                <w:sz w:val="22"/>
              </w:rPr>
              <w:t>La</w:t>
            </w:r>
            <w:r>
              <w:rPr>
                <w:spacing w:val="-1"/>
                <w:sz w:val="22"/>
              </w:rPr>
              <w:t xml:space="preserve"> </w:t>
            </w:r>
            <w:r>
              <w:rPr>
                <w:spacing w:val="-2"/>
                <w:sz w:val="22"/>
              </w:rPr>
              <w:t>Casona</w:t>
            </w:r>
          </w:p>
        </w:tc>
        <w:tc>
          <w:tcPr>
            <w:tcW w:w="3905"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C/</w:t>
            </w:r>
            <w:r>
              <w:rPr>
                <w:spacing w:val="-5"/>
                <w:sz w:val="22"/>
              </w:rPr>
              <w:t xml:space="preserve"> </w:t>
            </w:r>
            <w:r>
              <w:rPr>
                <w:sz w:val="22"/>
              </w:rPr>
              <w:t>Icària,</w:t>
            </w:r>
            <w:r>
              <w:rPr>
                <w:spacing w:val="-2"/>
                <w:sz w:val="22"/>
              </w:rPr>
              <w:t xml:space="preserve"> </w:t>
            </w:r>
            <w:r>
              <w:rPr>
                <w:spacing w:val="-5"/>
                <w:sz w:val="22"/>
              </w:rPr>
              <w:t>44</w:t>
            </w:r>
          </w:p>
        </w:tc>
      </w:tr>
      <w:tr>
        <w:trPr>
          <w:trHeight w:val="307" w:hRule="atLeast"/>
        </w:trPr>
        <w:tc>
          <w:tcPr>
            <w:tcW w:w="3070"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EBM</w:t>
            </w:r>
            <w:r>
              <w:rPr>
                <w:spacing w:val="-1"/>
                <w:sz w:val="22"/>
              </w:rPr>
              <w:t xml:space="preserve"> </w:t>
            </w:r>
            <w:r>
              <w:rPr>
                <w:spacing w:val="-2"/>
                <w:sz w:val="22"/>
              </w:rPr>
              <w:t>L’Esquitx</w:t>
            </w:r>
          </w:p>
        </w:tc>
        <w:tc>
          <w:tcPr>
            <w:tcW w:w="3905"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C/</w:t>
            </w:r>
            <w:r>
              <w:rPr>
                <w:spacing w:val="-3"/>
                <w:sz w:val="22"/>
              </w:rPr>
              <w:t xml:space="preserve"> </w:t>
            </w:r>
            <w:r>
              <w:rPr>
                <w:sz w:val="22"/>
              </w:rPr>
              <w:t>Alemanya,</w:t>
            </w:r>
            <w:r>
              <w:rPr>
                <w:spacing w:val="-3"/>
                <w:sz w:val="22"/>
              </w:rPr>
              <w:t xml:space="preserve"> </w:t>
            </w:r>
            <w:r>
              <w:rPr>
                <w:spacing w:val="-5"/>
                <w:sz w:val="22"/>
              </w:rPr>
              <w:t>110</w:t>
            </w:r>
          </w:p>
        </w:tc>
      </w:tr>
      <w:tr>
        <w:trPr>
          <w:trHeight w:val="307" w:hRule="atLeast"/>
        </w:trPr>
        <w:tc>
          <w:tcPr>
            <w:tcW w:w="3070"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EBM</w:t>
            </w:r>
            <w:r>
              <w:rPr>
                <w:spacing w:val="-1"/>
                <w:sz w:val="22"/>
              </w:rPr>
              <w:t xml:space="preserve"> </w:t>
            </w:r>
            <w:r>
              <w:rPr>
                <w:spacing w:val="-2"/>
                <w:sz w:val="22"/>
              </w:rPr>
              <w:t>Soleia</w:t>
            </w:r>
          </w:p>
        </w:tc>
        <w:tc>
          <w:tcPr>
            <w:tcW w:w="3905"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C/</w:t>
            </w:r>
            <w:r>
              <w:rPr>
                <w:spacing w:val="-3"/>
                <w:sz w:val="22"/>
              </w:rPr>
              <w:t xml:space="preserve"> </w:t>
            </w:r>
            <w:r>
              <w:rPr>
                <w:sz w:val="22"/>
              </w:rPr>
              <w:t>Jacint</w:t>
            </w:r>
            <w:r>
              <w:rPr>
                <w:spacing w:val="-2"/>
                <w:sz w:val="22"/>
              </w:rPr>
              <w:t xml:space="preserve"> </w:t>
            </w:r>
            <w:r>
              <w:rPr>
                <w:sz w:val="22"/>
              </w:rPr>
              <w:t>Elíes,</w:t>
            </w:r>
            <w:r>
              <w:rPr>
                <w:spacing w:val="-4"/>
                <w:sz w:val="22"/>
              </w:rPr>
              <w:t xml:space="preserve"> </w:t>
            </w:r>
            <w:r>
              <w:rPr>
                <w:spacing w:val="-5"/>
                <w:sz w:val="22"/>
              </w:rPr>
              <w:t>141</w:t>
            </w:r>
          </w:p>
        </w:tc>
      </w:tr>
      <w:tr>
        <w:trPr>
          <w:trHeight w:val="306" w:hRule="atLeast"/>
        </w:trPr>
        <w:tc>
          <w:tcPr>
            <w:tcW w:w="3070"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EBM</w:t>
            </w:r>
            <w:r>
              <w:rPr>
                <w:spacing w:val="-1"/>
                <w:sz w:val="22"/>
              </w:rPr>
              <w:t xml:space="preserve"> </w:t>
            </w:r>
            <w:r>
              <w:rPr>
                <w:spacing w:val="-2"/>
                <w:sz w:val="22"/>
              </w:rPr>
              <w:t>Somriures</w:t>
            </w:r>
          </w:p>
        </w:tc>
        <w:tc>
          <w:tcPr>
            <w:tcW w:w="3905"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C/</w:t>
            </w:r>
            <w:r>
              <w:rPr>
                <w:spacing w:val="-3"/>
                <w:sz w:val="22"/>
              </w:rPr>
              <w:t xml:space="preserve"> </w:t>
            </w:r>
            <w:r>
              <w:rPr>
                <w:sz w:val="22"/>
              </w:rPr>
              <w:t>Camí</w:t>
            </w:r>
            <w:r>
              <w:rPr>
                <w:spacing w:val="-4"/>
                <w:sz w:val="22"/>
              </w:rPr>
              <w:t xml:space="preserve"> </w:t>
            </w:r>
            <w:r>
              <w:rPr>
                <w:sz w:val="22"/>
              </w:rPr>
              <w:t>dels</w:t>
            </w:r>
            <w:r>
              <w:rPr>
                <w:spacing w:val="-1"/>
                <w:sz w:val="22"/>
              </w:rPr>
              <w:t xml:space="preserve"> </w:t>
            </w:r>
            <w:r>
              <w:rPr>
                <w:sz w:val="22"/>
              </w:rPr>
              <w:t>Monjos,</w:t>
            </w:r>
            <w:r>
              <w:rPr>
                <w:spacing w:val="-2"/>
                <w:sz w:val="22"/>
              </w:rPr>
              <w:t xml:space="preserve"> </w:t>
            </w:r>
            <w:r>
              <w:rPr>
                <w:spacing w:val="-5"/>
                <w:sz w:val="22"/>
              </w:rPr>
              <w:t>112</w:t>
            </w:r>
          </w:p>
        </w:tc>
      </w:tr>
      <w:tr>
        <w:trPr>
          <w:trHeight w:val="307" w:hRule="atLeast"/>
        </w:trPr>
        <w:tc>
          <w:tcPr>
            <w:tcW w:w="3070"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EBM</w:t>
            </w:r>
            <w:r>
              <w:rPr>
                <w:spacing w:val="-1"/>
                <w:sz w:val="22"/>
              </w:rPr>
              <w:t xml:space="preserve"> </w:t>
            </w:r>
            <w:r>
              <w:rPr>
                <w:spacing w:val="-2"/>
                <w:sz w:val="22"/>
              </w:rPr>
              <w:t>Tabalet</w:t>
            </w:r>
          </w:p>
        </w:tc>
        <w:tc>
          <w:tcPr>
            <w:tcW w:w="3905"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Ctra.</w:t>
            </w:r>
            <w:r>
              <w:rPr>
                <w:spacing w:val="-5"/>
                <w:sz w:val="22"/>
              </w:rPr>
              <w:t xml:space="preserve"> </w:t>
            </w:r>
            <w:r>
              <w:rPr>
                <w:sz w:val="22"/>
              </w:rPr>
              <w:t>de</w:t>
            </w:r>
            <w:r>
              <w:rPr>
                <w:spacing w:val="-3"/>
                <w:sz w:val="22"/>
              </w:rPr>
              <w:t xml:space="preserve"> </w:t>
            </w:r>
            <w:r>
              <w:rPr>
                <w:sz w:val="22"/>
              </w:rPr>
              <w:t>Castellar,</w:t>
            </w:r>
            <w:r>
              <w:rPr>
                <w:spacing w:val="-2"/>
                <w:sz w:val="22"/>
              </w:rPr>
              <w:t xml:space="preserve"> </w:t>
            </w:r>
            <w:r>
              <w:rPr>
                <w:spacing w:val="-5"/>
                <w:sz w:val="22"/>
              </w:rPr>
              <w:t>410</w:t>
            </w:r>
          </w:p>
        </w:tc>
      </w:tr>
      <w:tr>
        <w:trPr>
          <w:trHeight w:val="306" w:hRule="atLeast"/>
        </w:trPr>
        <w:tc>
          <w:tcPr>
            <w:tcW w:w="3070"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EBM</w:t>
            </w:r>
            <w:r>
              <w:rPr>
                <w:spacing w:val="-1"/>
                <w:sz w:val="22"/>
              </w:rPr>
              <w:t xml:space="preserve"> </w:t>
            </w:r>
            <w:r>
              <w:rPr>
                <w:spacing w:val="-2"/>
                <w:sz w:val="22"/>
              </w:rPr>
              <w:t>Vallparadís</w:t>
            </w:r>
          </w:p>
        </w:tc>
        <w:tc>
          <w:tcPr>
            <w:tcW w:w="3905"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Pl.</w:t>
            </w:r>
            <w:r>
              <w:rPr>
                <w:spacing w:val="-4"/>
                <w:sz w:val="22"/>
              </w:rPr>
              <w:t xml:space="preserve"> </w:t>
            </w:r>
            <w:r>
              <w:rPr>
                <w:sz w:val="22"/>
              </w:rPr>
              <w:t>de</w:t>
            </w:r>
            <w:r>
              <w:rPr>
                <w:spacing w:val="-2"/>
                <w:sz w:val="22"/>
              </w:rPr>
              <w:t xml:space="preserve"> </w:t>
            </w:r>
            <w:r>
              <w:rPr>
                <w:sz w:val="22"/>
              </w:rPr>
              <w:t>Marta</w:t>
            </w:r>
            <w:r>
              <w:rPr>
                <w:spacing w:val="-3"/>
                <w:sz w:val="22"/>
              </w:rPr>
              <w:t xml:space="preserve"> </w:t>
            </w:r>
            <w:r>
              <w:rPr>
                <w:sz w:val="22"/>
              </w:rPr>
              <w:t>Mata,</w:t>
            </w:r>
            <w:r>
              <w:rPr>
                <w:spacing w:val="-1"/>
                <w:sz w:val="22"/>
              </w:rPr>
              <w:t xml:space="preserve"> </w:t>
            </w:r>
            <w:r>
              <w:rPr>
                <w:spacing w:val="-10"/>
                <w:sz w:val="22"/>
              </w:rPr>
              <w:t>5</w:t>
            </w:r>
          </w:p>
        </w:tc>
      </w:tr>
      <w:tr>
        <w:trPr>
          <w:trHeight w:val="191" w:hRule="atLeast"/>
        </w:trPr>
        <w:tc>
          <w:tcPr>
            <w:tcW w:w="3070"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0" w:after="0"/>
              <w:rPr>
                <w:rFonts w:ascii="Times New Roman" w:hAnsi="Times New Roman"/>
                <w:sz w:val="12"/>
              </w:rPr>
            </w:pPr>
            <w:r>
              <w:rPr>
                <w:rFonts w:ascii="Times New Roman" w:hAnsi="Times New Roman"/>
                <w:sz w:val="12"/>
              </w:rPr>
            </w:r>
          </w:p>
        </w:tc>
        <w:tc>
          <w:tcPr>
            <w:tcW w:w="3905"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0" w:after="0"/>
              <w:rPr>
                <w:rFonts w:ascii="Times New Roman" w:hAnsi="Times New Roman"/>
                <w:sz w:val="12"/>
              </w:rPr>
            </w:pPr>
            <w:r>
              <w:rPr>
                <w:rFonts w:ascii="Times New Roman" w:hAnsi="Times New Roman"/>
                <w:sz w:val="12"/>
              </w:rPr>
            </w:r>
          </w:p>
        </w:tc>
      </w:tr>
      <w:tr>
        <w:trPr>
          <w:trHeight w:val="307" w:hRule="atLeast"/>
        </w:trPr>
        <w:tc>
          <w:tcPr>
            <w:tcW w:w="3070" w:type="dxa"/>
            <w:tcBorders>
              <w:top w:val="single" w:sz="2" w:space="0" w:color="000000"/>
              <w:left w:val="single" w:sz="2" w:space="0" w:color="000000"/>
              <w:bottom w:val="single" w:sz="2" w:space="0" w:color="000000"/>
              <w:right w:val="single" w:sz="2" w:space="0" w:color="000000"/>
            </w:tcBorders>
            <w:shd w:color="auto" w:fill="DCDCDC" w:val="clear"/>
          </w:tcPr>
          <w:p>
            <w:pPr>
              <w:pStyle w:val="TableParagraph"/>
              <w:widowControl w:val="false"/>
              <w:spacing w:before="26" w:after="0"/>
              <w:ind w:left="28" w:right="0" w:hanging="0"/>
              <w:rPr>
                <w:sz w:val="22"/>
              </w:rPr>
            </w:pPr>
            <w:r>
              <w:rPr>
                <w:sz w:val="22"/>
              </w:rPr>
              <w:t>Escoles</w:t>
            </w:r>
            <w:r>
              <w:rPr>
                <w:spacing w:val="-6"/>
                <w:sz w:val="22"/>
              </w:rPr>
              <w:t xml:space="preserve"> </w:t>
            </w:r>
            <w:r>
              <w:rPr>
                <w:sz w:val="22"/>
              </w:rPr>
              <w:t>d'educació</w:t>
            </w:r>
            <w:r>
              <w:rPr>
                <w:spacing w:val="-5"/>
                <w:sz w:val="22"/>
              </w:rPr>
              <w:t xml:space="preserve"> </w:t>
            </w:r>
            <w:r>
              <w:rPr>
                <w:spacing w:val="-2"/>
                <w:sz w:val="22"/>
              </w:rPr>
              <w:t>especial</w:t>
            </w:r>
          </w:p>
        </w:tc>
        <w:tc>
          <w:tcPr>
            <w:tcW w:w="3905" w:type="dxa"/>
            <w:tcBorders>
              <w:top w:val="single" w:sz="2" w:space="0" w:color="000000"/>
              <w:left w:val="single" w:sz="2" w:space="0" w:color="000000"/>
              <w:bottom w:val="single" w:sz="2" w:space="0" w:color="000000"/>
              <w:right w:val="single" w:sz="2" w:space="0" w:color="000000"/>
            </w:tcBorders>
            <w:shd w:color="auto" w:fill="DCDCDC" w:val="clear"/>
          </w:tcPr>
          <w:p>
            <w:pPr>
              <w:pStyle w:val="TableParagraph"/>
              <w:widowControl w:val="false"/>
              <w:spacing w:before="0" w:after="0"/>
              <w:rPr>
                <w:rFonts w:ascii="Times New Roman" w:hAnsi="Times New Roman"/>
                <w:sz w:val="22"/>
              </w:rPr>
            </w:pPr>
            <w:r>
              <w:rPr>
                <w:rFonts w:ascii="Times New Roman" w:hAnsi="Times New Roman"/>
                <w:sz w:val="22"/>
              </w:rPr>
            </w:r>
          </w:p>
        </w:tc>
      </w:tr>
      <w:tr>
        <w:trPr>
          <w:trHeight w:val="306" w:hRule="atLeast"/>
        </w:trPr>
        <w:tc>
          <w:tcPr>
            <w:tcW w:w="3070"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 xml:space="preserve">El </w:t>
            </w:r>
            <w:r>
              <w:rPr>
                <w:spacing w:val="-5"/>
                <w:sz w:val="22"/>
              </w:rPr>
              <w:t>Pi</w:t>
            </w:r>
          </w:p>
        </w:tc>
        <w:tc>
          <w:tcPr>
            <w:tcW w:w="3905"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Ds.</w:t>
            </w:r>
            <w:r>
              <w:rPr>
                <w:spacing w:val="-3"/>
                <w:sz w:val="22"/>
              </w:rPr>
              <w:t xml:space="preserve"> </w:t>
            </w:r>
            <w:r>
              <w:rPr>
                <w:sz w:val="22"/>
              </w:rPr>
              <w:t>Mossèn</w:t>
            </w:r>
            <w:r>
              <w:rPr>
                <w:spacing w:val="-3"/>
                <w:sz w:val="22"/>
              </w:rPr>
              <w:t xml:space="preserve"> </w:t>
            </w:r>
            <w:r>
              <w:rPr>
                <w:sz w:val="22"/>
              </w:rPr>
              <w:t>Homs,</w:t>
            </w:r>
            <w:r>
              <w:rPr>
                <w:spacing w:val="-2"/>
                <w:sz w:val="22"/>
              </w:rPr>
              <w:t xml:space="preserve"> </w:t>
            </w:r>
            <w:r>
              <w:rPr>
                <w:spacing w:val="-10"/>
                <w:sz w:val="22"/>
              </w:rPr>
              <w:t>2</w:t>
            </w:r>
          </w:p>
        </w:tc>
      </w:tr>
      <w:tr>
        <w:trPr>
          <w:trHeight w:val="307" w:hRule="atLeast"/>
        </w:trPr>
        <w:tc>
          <w:tcPr>
            <w:tcW w:w="3070"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pacing w:val="-2"/>
                <w:sz w:val="22"/>
              </w:rPr>
              <w:t>FATIMA</w:t>
            </w:r>
          </w:p>
        </w:tc>
        <w:tc>
          <w:tcPr>
            <w:tcW w:w="3905" w:type="dxa"/>
            <w:tcBorders>
              <w:top w:val="single" w:sz="2" w:space="0" w:color="000000"/>
              <w:left w:val="single" w:sz="2" w:space="0" w:color="000000"/>
              <w:bottom w:val="single" w:sz="2" w:space="0" w:color="000000"/>
              <w:right w:val="single" w:sz="2" w:space="0" w:color="000000"/>
            </w:tcBorders>
          </w:tcPr>
          <w:p>
            <w:pPr>
              <w:pStyle w:val="TableParagraph"/>
              <w:widowControl w:val="false"/>
              <w:spacing w:before="26" w:after="0"/>
              <w:ind w:left="28" w:right="0" w:hanging="0"/>
              <w:rPr>
                <w:sz w:val="22"/>
              </w:rPr>
            </w:pPr>
            <w:r>
              <w:rPr>
                <w:sz w:val="22"/>
              </w:rPr>
              <w:t>C/</w:t>
            </w:r>
            <w:r>
              <w:rPr>
                <w:spacing w:val="-4"/>
                <w:sz w:val="22"/>
              </w:rPr>
              <w:t xml:space="preserve"> </w:t>
            </w:r>
            <w:r>
              <w:rPr>
                <w:sz w:val="22"/>
              </w:rPr>
              <w:t>Vacarisses,</w:t>
            </w:r>
            <w:r>
              <w:rPr>
                <w:spacing w:val="-4"/>
                <w:sz w:val="22"/>
              </w:rPr>
              <w:t xml:space="preserve"> </w:t>
            </w:r>
            <w:r>
              <w:rPr>
                <w:spacing w:val="-10"/>
                <w:sz w:val="22"/>
              </w:rPr>
              <w:t>2</w:t>
            </w:r>
          </w:p>
        </w:tc>
      </w:tr>
    </w:tbl>
    <w:p>
      <w:pPr>
        <w:pStyle w:val="Cosdeltext"/>
        <w:spacing w:before="1" w:after="0"/>
        <w:jc w:val="both"/>
        <w:rPr>
          <w:sz w:val="22"/>
          <w:szCs w:val="22"/>
        </w:rPr>
      </w:pPr>
      <w:r>
        <w:rPr>
          <w:sz w:val="22"/>
          <w:szCs w:val="22"/>
        </w:rPr>
      </w:r>
    </w:p>
    <w:p>
      <w:pPr>
        <w:pStyle w:val="Normal"/>
        <w:jc w:val="both"/>
        <w:rPr>
          <w:sz w:val="22"/>
          <w:szCs w:val="22"/>
        </w:rPr>
      </w:pPr>
      <w:r>
        <w:rPr>
          <w:sz w:val="22"/>
          <w:szCs w:val="22"/>
        </w:rPr>
        <w:t>La principal raó per la que s’ha decidit no dividir el contracte en lots és perquè es planteja el contracte com una gestió unificada per a la totalitat dels menjadors de les escoles municipals de Terrassa, tant pel que fa a la prestació del servei com a les condicions econòmiques. D’altra banda, també es formula com un servei solidari entre els diferents centres educatius, en el qual es col·labora i coopera en la sostenibilitat de tots i cada un dels menjadors, de forma que aquells centres que tenen un nombre considerable d’usuaris del servei contribueixin en el manteniment dels que en tenen pocs.</w:t>
      </w:r>
    </w:p>
    <w:p>
      <w:pPr>
        <w:pStyle w:val="Normal"/>
        <w:jc w:val="both"/>
        <w:rPr>
          <w:sz w:val="22"/>
          <w:szCs w:val="22"/>
        </w:rPr>
      </w:pPr>
      <w:r>
        <w:rPr>
          <w:sz w:val="22"/>
          <w:szCs w:val="22"/>
        </w:rPr>
      </w:r>
    </w:p>
    <w:p>
      <w:pPr>
        <w:pStyle w:val="Normal"/>
        <w:jc w:val="both"/>
        <w:rPr>
          <w:sz w:val="22"/>
          <w:szCs w:val="22"/>
        </w:rPr>
      </w:pPr>
      <w:r>
        <w:rPr>
          <w:sz w:val="22"/>
          <w:szCs w:val="22"/>
        </w:rPr>
        <w:t>En termes de control, seguiment, avaluació i governança del servei, el fet de comptar amb una única empresa contractista i un únic paquet de prestacions permetrà garantir que se serveixi el mateix menú al mateix preu per a tots els infants escolaritzats en les escoles municipals de la ciutat i agilitzar la interlocució i el funcionament dels dispositius de seguiment per part del Servei d’Educació de l’Ajuntament.</w:t>
      </w:r>
    </w:p>
    <w:p>
      <w:pPr>
        <w:pStyle w:val="Normal"/>
        <w:jc w:val="both"/>
        <w:rPr>
          <w:color w:val="000000"/>
          <w:sz w:val="18"/>
          <w:szCs w:val="18"/>
          <w:highlight w:val="cyan"/>
          <w:lang w:val="es-ES"/>
        </w:rPr>
      </w:pPr>
      <w:r>
        <w:rPr>
          <w:color w:val="000000"/>
          <w:sz w:val="18"/>
          <w:szCs w:val="18"/>
          <w:highlight w:val="cyan"/>
          <w:lang w:val="es-ES"/>
        </w:rPr>
      </w:r>
    </w:p>
    <w:p>
      <w:pPr>
        <w:pStyle w:val="Normal"/>
        <w:jc w:val="both"/>
        <w:rPr>
          <w:sz w:val="22"/>
        </w:rPr>
      </w:pPr>
      <w:r>
        <w:rPr>
          <w:sz w:val="22"/>
        </w:rPr>
        <w:t xml:space="preserve">L’objecte del contracte es detalla en el plec de prescripcions tècniques (PPT). </w:t>
      </w:r>
    </w:p>
    <w:p>
      <w:pPr>
        <w:pStyle w:val="Normal"/>
        <w:rPr>
          <w:sz w:val="22"/>
          <w:szCs w:val="22"/>
        </w:rPr>
      </w:pPr>
      <w:r>
        <w:rPr>
          <w:sz w:val="22"/>
          <w:szCs w:val="22"/>
        </w:rPr>
      </w:r>
    </w:p>
    <w:p>
      <w:pPr>
        <w:pStyle w:val="Normal"/>
        <w:jc w:val="both"/>
        <w:rPr>
          <w:szCs w:val="22"/>
          <w:lang w:val="es-ES"/>
        </w:rPr>
      </w:pPr>
      <w:r>
        <w:rPr>
          <w:szCs w:val="22"/>
          <w:lang w:val="es-ES"/>
        </w:rPr>
      </w:r>
    </w:p>
    <w:p>
      <w:pPr>
        <w:pStyle w:val="Encapalament7"/>
        <w:rPr>
          <w:i/>
          <w:i/>
          <w:iCs/>
          <w:color w:val="0066B3"/>
          <w:szCs w:val="24"/>
          <w:highlight w:val="cyan"/>
          <w:u w:val="single"/>
          <w:lang w:val="es-ES"/>
        </w:rPr>
      </w:pPr>
      <w:r>
        <w:rPr/>
        <w:t xml:space="preserve">SEGONA.- Codificació de l’objecte del contracte </w:t>
      </w:r>
    </w:p>
    <w:p>
      <w:pPr>
        <w:pStyle w:val="Normal"/>
        <w:rPr>
          <w:highlight w:val="cyan"/>
          <w:lang w:val="es-ES"/>
        </w:rPr>
      </w:pPr>
      <w:r>
        <w:rPr>
          <w:highlight w:val="cyan"/>
          <w:lang w:val="es-ES"/>
        </w:rPr>
      </w:r>
    </w:p>
    <w:p>
      <w:pPr>
        <w:pStyle w:val="Normal"/>
        <w:jc w:val="both"/>
        <w:rPr/>
      </w:pPr>
      <w:r>
        <w:rPr>
          <w:sz w:val="22"/>
        </w:rPr>
        <w:t xml:space="preserve">Vocabulari comú de contractes públics – CPV, segons el Reglament (CE) núm. 213/2008 de la Comissió, de 28 de novembre de 2007, que modifica el Reglament (CE) núm. 2195/2002 del Parlament Europeu i del Consell, pel qual s’aprova el Vocabulari comú de contractes públics (CPV), i de les Directives 2004/17/CE i 2004/18/CE del Parlament Europeu i del Consell sobre els procediments dels contractes públics, en allò referent a la </w:t>
      </w:r>
      <w:r>
        <w:rPr>
          <w:sz w:val="22"/>
          <w:szCs w:val="22"/>
        </w:rPr>
        <w:t xml:space="preserve">CPV: </w:t>
      </w:r>
    </w:p>
    <w:p>
      <w:pPr>
        <w:pStyle w:val="Normal"/>
        <w:jc w:val="both"/>
        <w:rPr>
          <w:sz w:val="22"/>
          <w:szCs w:val="22"/>
        </w:rPr>
      </w:pPr>
      <w:r>
        <w:rPr>
          <w:sz w:val="22"/>
          <w:szCs w:val="22"/>
        </w:rPr>
      </w:r>
    </w:p>
    <w:p>
      <w:pPr>
        <w:pStyle w:val="Normal"/>
        <w:jc w:val="both"/>
        <w:rPr>
          <w:sz w:val="22"/>
          <w:szCs w:val="22"/>
        </w:rPr>
      </w:pPr>
      <w:r>
        <w:rPr>
          <w:sz w:val="22"/>
          <w:szCs w:val="22"/>
        </w:rPr>
        <w:t>Codi número: 55523100-3 Serveis de menjadors escolars</w:t>
      </w:r>
    </w:p>
    <w:p>
      <w:pPr>
        <w:pStyle w:val="Normal"/>
        <w:jc w:val="both"/>
        <w:rPr>
          <w:sz w:val="22"/>
          <w:szCs w:val="22"/>
        </w:rPr>
      </w:pPr>
      <w:r>
        <w:rPr>
          <w:sz w:val="22"/>
          <w:szCs w:val="22"/>
        </w:rPr>
        <w:t>Codi número: 55524000-9 Serveis d’àpats per a escoles</w:t>
      </w:r>
    </w:p>
    <w:p>
      <w:pPr>
        <w:pStyle w:val="Normal"/>
        <w:jc w:val="both"/>
        <w:rPr>
          <w:sz w:val="22"/>
          <w:szCs w:val="22"/>
        </w:rPr>
      </w:pPr>
      <w:r>
        <w:rPr>
          <w:sz w:val="22"/>
          <w:szCs w:val="22"/>
        </w:rPr>
      </w:r>
    </w:p>
    <w:p>
      <w:pPr>
        <w:pStyle w:val="Normal"/>
        <w:jc w:val="both"/>
        <w:rPr>
          <w:sz w:val="22"/>
          <w:szCs w:val="22"/>
        </w:rPr>
      </w:pPr>
      <w:r>
        <w:rPr>
          <w:sz w:val="22"/>
          <w:szCs w:val="22"/>
        </w:rPr>
      </w:r>
    </w:p>
    <w:p>
      <w:pPr>
        <w:pStyle w:val="Encapalament7"/>
        <w:rPr>
          <w:i/>
          <w:i/>
          <w:iCs/>
          <w:color w:val="0066B3"/>
          <w:szCs w:val="24"/>
          <w:highlight w:val="cyan"/>
          <w:u w:val="single"/>
          <w:lang w:val="es-ES"/>
        </w:rPr>
      </w:pPr>
      <w:r>
        <w:rPr>
          <w:szCs w:val="22"/>
        </w:rPr>
        <w:t xml:space="preserve">TERCERA.- Necessitat i idoneïtat del contracte </w:t>
      </w:r>
    </w:p>
    <w:p>
      <w:pPr>
        <w:pStyle w:val="Normal"/>
        <w:rPr>
          <w:highlight w:val="cyan"/>
          <w:lang w:val="es-ES"/>
        </w:rPr>
      </w:pPr>
      <w:r>
        <w:rPr>
          <w:highlight w:val="cyan"/>
          <w:lang w:val="es-ES"/>
        </w:rPr>
      </w:r>
    </w:p>
    <w:p>
      <w:pPr>
        <w:pStyle w:val="Normal"/>
        <w:jc w:val="both"/>
        <w:rPr/>
      </w:pPr>
      <w:r>
        <w:rPr>
          <w:sz w:val="22"/>
        </w:rPr>
        <w:t>Als efectes del que disposa l’article 28 de la LCSP</w:t>
      </w:r>
      <w:r>
        <w:rPr>
          <w:sz w:val="22"/>
          <w:szCs w:val="22"/>
        </w:rPr>
        <w:t xml:space="preserve">, el contracte és necessari per al compliment i la realització dels fins institucionals de l’Ajuntament de Terrassa. </w:t>
      </w:r>
    </w:p>
    <w:p>
      <w:pPr>
        <w:pStyle w:val="Normal"/>
        <w:jc w:val="both"/>
        <w:rPr>
          <w:sz w:val="22"/>
          <w:szCs w:val="22"/>
        </w:rPr>
      </w:pPr>
      <w:r>
        <w:rPr>
          <w:sz w:val="22"/>
          <w:szCs w:val="22"/>
        </w:rPr>
      </w:r>
    </w:p>
    <w:p>
      <w:pPr>
        <w:pStyle w:val="Normal"/>
        <w:jc w:val="both"/>
        <w:rPr/>
      </w:pPr>
      <w:r>
        <w:rPr>
          <w:sz w:val="22"/>
          <w:szCs w:val="22"/>
        </w:rPr>
        <w:t>La naturalesa i extensió de les necessitats que pretenen cobrir-se mitjançant el contracte projectat, així com la idoneïtat del seu objecte i contingut per satisfer-les, es concreten</w:t>
      </w:r>
      <w:r>
        <w:rPr>
          <w:i w:val="false"/>
          <w:iCs w:val="false"/>
          <w:sz w:val="22"/>
          <w:szCs w:val="22"/>
          <w:shd w:fill="auto" w:val="clear"/>
        </w:rPr>
        <w:t xml:space="preserve"> en la necessitat de contractar la gestió del servei de menjador de les escoles municipals mitjançant l’adjudicació a una empresa del sector, per garantir un servei equilibrat i de qualitat als usuaris i famílies.</w:t>
      </w:r>
    </w:p>
    <w:p>
      <w:pPr>
        <w:pStyle w:val="Normal"/>
        <w:jc w:val="both"/>
        <w:rPr>
          <w:b/>
          <w:b/>
          <w:i/>
          <w:i/>
          <w:iCs/>
          <w:sz w:val="22"/>
          <w:szCs w:val="22"/>
        </w:rPr>
      </w:pPr>
      <w:r>
        <w:rPr>
          <w:b/>
          <w:i/>
          <w:iCs/>
          <w:sz w:val="22"/>
          <w:szCs w:val="22"/>
        </w:rPr>
      </w:r>
    </w:p>
    <w:p>
      <w:pPr>
        <w:pStyle w:val="Normal"/>
        <w:jc w:val="both"/>
        <w:rPr>
          <w:b/>
          <w:b/>
          <w:i/>
          <w:i/>
          <w:iCs/>
          <w:sz w:val="22"/>
          <w:szCs w:val="22"/>
        </w:rPr>
      </w:pPr>
      <w:r>
        <w:rPr>
          <w:b/>
          <w:i/>
          <w:iCs/>
          <w:sz w:val="22"/>
          <w:szCs w:val="22"/>
        </w:rPr>
      </w:r>
    </w:p>
    <w:p>
      <w:pPr>
        <w:pStyle w:val="Normal"/>
        <w:jc w:val="both"/>
        <w:rPr>
          <w:b/>
          <w:b/>
          <w:sz w:val="22"/>
          <w:szCs w:val="22"/>
        </w:rPr>
      </w:pPr>
      <w:r>
        <w:rPr>
          <w:b/>
          <w:sz w:val="22"/>
          <w:szCs w:val="22"/>
        </w:rPr>
        <w:t>QUARTA.- Règim jurídic</w:t>
      </w:r>
    </w:p>
    <w:p>
      <w:pPr>
        <w:pStyle w:val="PlainText"/>
        <w:jc w:val="both"/>
        <w:rPr>
          <w:rFonts w:ascii="Arial" w:hAnsi="Arial" w:cs="Arial"/>
          <w:sz w:val="22"/>
        </w:rPr>
      </w:pPr>
      <w:r>
        <w:rPr>
          <w:rFonts w:cs="Arial" w:ascii="Arial" w:hAnsi="Arial"/>
          <w:sz w:val="22"/>
        </w:rPr>
      </w:r>
    </w:p>
    <w:p>
      <w:pPr>
        <w:pStyle w:val="PlainText"/>
        <w:jc w:val="both"/>
        <w:rPr>
          <w:shd w:fill="auto" w:val="clear"/>
        </w:rPr>
      </w:pPr>
      <w:r>
        <w:rPr>
          <w:rFonts w:cs="Arial" w:ascii="Arial" w:hAnsi="Arial"/>
          <w:sz w:val="22"/>
          <w:shd w:fill="auto" w:val="clear"/>
        </w:rPr>
        <w:t xml:space="preserve">El contracte es tipifica de </w:t>
      </w:r>
      <w:r>
        <w:rPr>
          <w:rFonts w:cs="Arial" w:ascii="Arial" w:hAnsi="Arial"/>
          <w:color w:val="000000"/>
          <w:sz w:val="22"/>
          <w:shd w:fill="auto" w:val="clear"/>
        </w:rPr>
        <w:t>serveis</w:t>
      </w:r>
      <w:r>
        <w:rPr>
          <w:rFonts w:cs="Arial" w:ascii="Arial" w:hAnsi="Arial"/>
          <w:sz w:val="22"/>
          <w:shd w:fill="auto" w:val="clear"/>
        </w:rPr>
        <w:t>, segons el que estableixen l’article 17 de la LCSP, per a la determinació de les normes que s’han d’observar en la seva adjudicació.</w:t>
      </w:r>
    </w:p>
    <w:p>
      <w:pPr>
        <w:pStyle w:val="PlainText"/>
        <w:jc w:val="both"/>
        <w:rPr>
          <w:rFonts w:ascii="Arial" w:hAnsi="Arial" w:cs="Arial"/>
          <w:sz w:val="22"/>
          <w:shd w:fill="auto" w:val="clear"/>
        </w:rPr>
      </w:pPr>
      <w:r>
        <w:rPr>
          <w:rFonts w:cs="Arial" w:ascii="Arial" w:hAnsi="Arial"/>
          <w:sz w:val="22"/>
          <w:shd w:fill="auto" w:val="clear"/>
        </w:rPr>
      </w:r>
    </w:p>
    <w:p>
      <w:pPr>
        <w:pStyle w:val="Normal"/>
        <w:suppressAutoHyphens w:val="false"/>
        <w:jc w:val="both"/>
        <w:rPr/>
      </w:pPr>
      <w:r>
        <w:rPr>
          <w:sz w:val="22"/>
        </w:rPr>
        <w:t>El contracte té caràcter administratiu i es regeix per aquest plec de clàusules administratives particulars (PCAP) i plec de prescripcions tècniques (PPT), les clàusules dels quals es consideren part integrant del contracte</w:t>
      </w:r>
      <w:r>
        <w:rPr>
          <w:color w:val="auto"/>
          <w:sz w:val="22"/>
        </w:rPr>
        <w:t xml:space="preserve">; per la </w:t>
      </w:r>
      <w:r>
        <w:rPr>
          <w:color w:val="auto"/>
          <w:sz w:val="22"/>
          <w:szCs w:val="22"/>
        </w:rPr>
        <w:t>Directiva 2014/24/UE de contractació pública, en tots aquells aspectes en què sigui d’aplicació directa</w:t>
      </w:r>
      <w:r>
        <w:rPr>
          <w:color w:val="auto"/>
          <w:sz w:val="22"/>
        </w:rPr>
        <w:t xml:space="preserve">; per la </w:t>
      </w:r>
      <w:r>
        <w:rPr>
          <w:color w:val="auto"/>
          <w:sz w:val="22"/>
          <w:szCs w:val="22"/>
        </w:rPr>
        <w:t xml:space="preserve">Llei 9/2017, de 8 de novembre, de contractes del sector públic, (d’ara endavant LCSP), per la qual es transposen </w:t>
      </w:r>
      <w:r>
        <w:rPr>
          <w:sz w:val="22"/>
          <w:szCs w:val="22"/>
        </w:rPr>
        <w:t>a l’ordenament jurídic espanyol les directives del Parlament Europeu i del Consell 2014/23/UE y 2014/24/UE de 26 de febrer de 2014</w:t>
      </w:r>
      <w:r>
        <w:rPr>
          <w:sz w:val="22"/>
        </w:rPr>
        <w:t>; en allò que no estigui derogat per la Llei pel Reglament general de la Llei de contractes de les administracions públiques (RGLCAP) 1098/2001, de 12 d’octubre, en tot allò no modificat ni derogat; pel Decret llei 3/2016, de 31 de maig, de mesures urgents en matèria de contractació pública; pel Reial decret 817/2009, de 8 de maig, pel qual es desenvolupa parcialment la Llei 30/2007, de 30 d’octubre, de contractes del sector públic; per la Llei 16/2015, de 21 de juliol, de simplificació de l’activitat administrativa de l’Administració de la Generalitat i dels governs locals de Catalunya i d’impuls de l’activitat econòmica; pel Decret 179/1995, de 13 de juny, pel que s’aprova el Reglament d’obres, activitats i serveis de les corporacions locals (ROAS).</w:t>
      </w:r>
      <w:r>
        <w:rPr>
          <w:rFonts w:eastAsia="ArialNarrow;MS Mincho" w:cs="ArialNarrow;MS Mincho" w:ascii="ArialNarrow;MS Mincho" w:hAnsi="ArialNarrow;MS Mincho"/>
          <w:color w:val="000000"/>
          <w:sz w:val="17"/>
          <w:szCs w:val="17"/>
          <w:lang w:eastAsia="es-ES"/>
        </w:rPr>
        <w:t xml:space="preserve"> </w:t>
      </w:r>
    </w:p>
    <w:p>
      <w:pPr>
        <w:pStyle w:val="Normal"/>
        <w:suppressAutoHyphens w:val="false"/>
        <w:jc w:val="both"/>
        <w:rPr>
          <w:rFonts w:ascii="ArialNarrow;MS Mincho" w:hAnsi="ArialNarrow;MS Mincho" w:cs="ArialNarrow;MS Mincho"/>
          <w:color w:val="000000"/>
          <w:sz w:val="22"/>
          <w:szCs w:val="17"/>
          <w:lang w:eastAsia="es-ES"/>
        </w:rPr>
      </w:pPr>
      <w:r>
        <w:rPr>
          <w:rFonts w:cs="ArialNarrow;MS Mincho" w:ascii="ArialNarrow;MS Mincho" w:hAnsi="ArialNarrow;MS Mincho"/>
          <w:color w:val="000000"/>
          <w:sz w:val="22"/>
          <w:szCs w:val="17"/>
          <w:lang w:eastAsia="es-ES"/>
        </w:rPr>
      </w:r>
    </w:p>
    <w:p>
      <w:pPr>
        <w:pStyle w:val="Normal"/>
        <w:jc w:val="both"/>
        <w:rPr>
          <w:sz w:val="22"/>
          <w:szCs w:val="22"/>
        </w:rPr>
      </w:pPr>
      <w:r>
        <w:rPr>
          <w:sz w:val="22"/>
          <w:szCs w:val="22"/>
        </w:rPr>
        <w:t xml:space="preserve">Addicionalment, també es regeix per les normes aplicables als contractes del sector públic en l’àmbit de Catalunya i per la seva normativa sectorial que resulti d’aplicació. Supletòriament al contracte li resulten d’aplicació la resta de normes de dret administratiu, i, supletòriament, de dret privat aplicables en el seu cas.  </w:t>
      </w:r>
    </w:p>
    <w:p>
      <w:pPr>
        <w:pStyle w:val="Normal"/>
        <w:widowControl w:val="false"/>
        <w:jc w:val="both"/>
        <w:rPr>
          <w:b/>
          <w:b/>
          <w:sz w:val="22"/>
          <w:szCs w:val="22"/>
        </w:rPr>
      </w:pPr>
      <w:r>
        <w:rPr>
          <w:b/>
          <w:sz w:val="22"/>
          <w:szCs w:val="22"/>
        </w:rPr>
      </w:r>
    </w:p>
    <w:p>
      <w:pPr>
        <w:pStyle w:val="Normal"/>
        <w:jc w:val="both"/>
        <w:rPr>
          <w:sz w:val="22"/>
          <w:szCs w:val="22"/>
        </w:rPr>
      </w:pPr>
      <w:r>
        <w:rPr>
          <w:sz w:val="22"/>
          <w:szCs w:val="22"/>
        </w:rPr>
        <w:t>En cas de contradicció entre aquest plec i la normativa vigent, s’aplicarà preferentment la normativa vigent, la qual també suplirà les omissions, mancances o deficiències d’aquest plec.</w:t>
      </w:r>
    </w:p>
    <w:p>
      <w:pPr>
        <w:pStyle w:val="Normal"/>
        <w:jc w:val="both"/>
        <w:rPr>
          <w:sz w:val="22"/>
          <w:szCs w:val="22"/>
        </w:rPr>
      </w:pPr>
      <w:r>
        <w:rPr>
          <w:sz w:val="22"/>
          <w:szCs w:val="22"/>
        </w:rPr>
      </w:r>
    </w:p>
    <w:p>
      <w:pPr>
        <w:pStyle w:val="Normal"/>
        <w:jc w:val="both"/>
        <w:rPr>
          <w:sz w:val="22"/>
          <w:szCs w:val="22"/>
        </w:rPr>
      </w:pPr>
      <w:r>
        <w:rPr>
          <w:sz w:val="22"/>
          <w:szCs w:val="22"/>
        </w:rPr>
        <w:t>El desconeixement de les clàusules del contracte en qualsevol dels seus termes, dels altres documents contractuals que en formen part i també de les instruccions o altres normes que resultin d’aplicació en l’execució de la cosa pactada, no eximeix l’empresa adjudicatària de l'obligació de complir-les.</w:t>
      </w:r>
    </w:p>
    <w:p>
      <w:pPr>
        <w:pStyle w:val="Normal"/>
        <w:jc w:val="both"/>
        <w:rPr>
          <w:sz w:val="22"/>
          <w:szCs w:val="22"/>
          <w:lang w:val="es-ES"/>
        </w:rPr>
      </w:pPr>
      <w:r>
        <w:rPr>
          <w:sz w:val="22"/>
          <w:szCs w:val="22"/>
          <w:lang w:val="es-ES"/>
        </w:rPr>
      </w:r>
    </w:p>
    <w:p>
      <w:pPr>
        <w:pStyle w:val="Normal"/>
        <w:widowControl w:val="false"/>
        <w:jc w:val="both"/>
        <w:rPr>
          <w:sz w:val="22"/>
          <w:szCs w:val="22"/>
        </w:rPr>
      </w:pPr>
      <w:r>
        <w:rPr>
          <w:sz w:val="22"/>
          <w:szCs w:val="22"/>
        </w:rPr>
        <w:t>El contingut del plec de prescripcions tècniques (PPT) forma part del PCAP. En cas que hi hagi contradiccions entre les clàusules del PPT i del PCAP, prevaldrà el que disposi aquest últim.</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shd w:fill="auto" w:val="clear"/>
        </w:rPr>
        <w:t xml:space="preserve">En tractar-se d’un contracte que tè per objecte serveis espicífics enumerats a l’annex IV de la LCSP i un valor estimat superior a </w:t>
      </w:r>
      <w:r>
        <w:rPr>
          <w:b w:val="false"/>
          <w:i w:val="false"/>
          <w:caps w:val="false"/>
          <w:smallCaps w:val="false"/>
          <w:color w:val="000000"/>
          <w:spacing w:val="0"/>
          <w:sz w:val="22"/>
          <w:szCs w:val="22"/>
          <w:shd w:fill="auto" w:val="clear"/>
        </w:rPr>
        <w:t>750.000 €, exclòs l’IVA,  d</w:t>
      </w:r>
      <w:r>
        <w:rPr>
          <w:rFonts w:eastAsia="MS Mincho;ＭＳ 明朝"/>
          <w:sz w:val="22"/>
          <w:szCs w:val="22"/>
          <w:shd w:fill="auto" w:val="clear"/>
          <w:lang w:eastAsia="ja-JP"/>
        </w:rPr>
        <w:t>e conformitat amb el que estableix l’article 19 i 22. 1 c) de la LCSP, el contracte està subjecte a regulació harmonitzada</w:t>
      </w:r>
      <w:r>
        <w:rPr>
          <w:sz w:val="22"/>
          <w:szCs w:val="22"/>
          <w:shd w:fill="auto" w:val="clear"/>
        </w:rPr>
        <w:t>.</w:t>
      </w:r>
    </w:p>
    <w:p>
      <w:pPr>
        <w:pStyle w:val="Normal"/>
        <w:widowControl w:val="false"/>
        <w:jc w:val="both"/>
        <w:rPr>
          <w:sz w:val="22"/>
          <w:szCs w:val="22"/>
          <w:shd w:fill="auto" w:val="clear"/>
        </w:rPr>
      </w:pPr>
      <w:r>
        <w:rPr>
          <w:sz w:val="22"/>
          <w:szCs w:val="22"/>
          <w:shd w:fill="auto" w:val="clear"/>
        </w:rPr>
      </w:r>
    </w:p>
    <w:p>
      <w:pPr>
        <w:pStyle w:val="Normal"/>
        <w:widowControl w:val="false"/>
        <w:jc w:val="both"/>
        <w:rPr>
          <w:color w:val="000000"/>
          <w:sz w:val="22"/>
          <w:szCs w:val="22"/>
          <w:lang w:eastAsia="es-ES"/>
        </w:rPr>
      </w:pPr>
      <w:r>
        <w:rPr>
          <w:color w:val="000000"/>
          <w:sz w:val="22"/>
          <w:szCs w:val="22"/>
          <w:lang w:eastAsia="es-ES"/>
        </w:rPr>
        <w:t>La normativa identificada en el PCAP i en el PPT és la que vigeix actualment en tot cas, de  mode que en cas de modificació, substitució i/o derogació, s'haurà d'entendre que ha estat modificada, substituïda i/o derogada respectivament per la norma concreta corresponent</w:t>
      </w:r>
      <w:r>
        <w:rPr>
          <w:color w:val="000000"/>
          <w:sz w:val="22"/>
          <w:szCs w:val="22"/>
          <w:lang w:val="es-ES" w:eastAsia="es-ES"/>
        </w:rPr>
        <w:t xml:space="preserve">. </w:t>
      </w:r>
    </w:p>
    <w:p>
      <w:pPr>
        <w:pStyle w:val="Normal"/>
        <w:widowControl w:val="false"/>
        <w:jc w:val="both"/>
        <w:rPr>
          <w:color w:val="000000"/>
          <w:sz w:val="22"/>
          <w:szCs w:val="22"/>
          <w:lang w:val="es-ES" w:eastAsia="es-ES"/>
        </w:rPr>
      </w:pPr>
      <w:r>
        <w:rPr>
          <w:color w:val="000000"/>
          <w:sz w:val="22"/>
          <w:szCs w:val="22"/>
          <w:lang w:val="es-ES" w:eastAsia="es-ES"/>
        </w:rPr>
      </w:r>
    </w:p>
    <w:p>
      <w:pPr>
        <w:pStyle w:val="Normal"/>
        <w:jc w:val="both"/>
        <w:rPr/>
      </w:pPr>
      <w:r>
        <w:rPr>
          <w:sz w:val="22"/>
          <w:szCs w:val="22"/>
        </w:rPr>
        <w:t>De conformitat amb la LCSP, en aquesta licitació serà obligatori l’ús de mitjans electrònics, informàtics o telemàtics per desenvolupar totes les fases del procediment de contractació, incloses les que corresponen realitzar als licitadors i/o candidats, entre d’altres la presentació de les ofertes.</w:t>
      </w:r>
    </w:p>
    <w:p>
      <w:pPr>
        <w:pStyle w:val="Normal"/>
        <w:rPr>
          <w:color w:val="000000"/>
          <w:sz w:val="22"/>
          <w:szCs w:val="22"/>
          <w:lang w:eastAsia="es-ES"/>
        </w:rPr>
      </w:pPr>
      <w:r>
        <w:rPr>
          <w:color w:val="000000"/>
          <w:sz w:val="22"/>
          <w:szCs w:val="22"/>
          <w:lang w:eastAsia="es-ES"/>
        </w:rPr>
      </w:r>
    </w:p>
    <w:p>
      <w:pPr>
        <w:pStyle w:val="Encapalament7"/>
        <w:rPr/>
      </w:pPr>
      <w:r>
        <w:rPr/>
      </w:r>
    </w:p>
    <w:p>
      <w:pPr>
        <w:pStyle w:val="Encapalament7"/>
        <w:rPr/>
      </w:pPr>
      <w:r>
        <w:rPr/>
        <w:t xml:space="preserve">CINQUENA.- L’òrgan de contractació </w:t>
      </w:r>
    </w:p>
    <w:p>
      <w:pPr>
        <w:pStyle w:val="Normal"/>
        <w:jc w:val="both"/>
        <w:rPr>
          <w:b/>
          <w:b/>
          <w:sz w:val="22"/>
        </w:rPr>
      </w:pPr>
      <w:r>
        <w:rPr>
          <w:b/>
          <w:sz w:val="22"/>
        </w:rPr>
      </w:r>
    </w:p>
    <w:p>
      <w:pPr>
        <w:pStyle w:val="Normal"/>
        <w:jc w:val="both"/>
        <w:rPr>
          <w:color w:val="auto"/>
        </w:rPr>
      </w:pPr>
      <w:r>
        <w:rPr>
          <w:color w:val="000000"/>
          <w:sz w:val="22"/>
          <w:szCs w:val="18"/>
          <w:shd w:fill="auto" w:val="clear"/>
        </w:rPr>
        <w:t>De conformitat amb el que estableix la disposició addicional segona de la LCSP, correspon a l'alcalde la competència com a òrgan de contractació respecte del contracte. L’òrgan de contractació és la tinenta d’alcalde de Serveis Generals i Govern Obert, de conformitat amb el que disposa el Decret d’Alcaldia Presidència amb número 6284/2025, de data  26 febrer de 2025, de delegacions d’Alcaldia.</w:t>
      </w:r>
    </w:p>
    <w:p>
      <w:pPr>
        <w:pStyle w:val="Normal"/>
        <w:jc w:val="both"/>
        <w:rPr>
          <w:shd w:fill="auto" w:val="clear"/>
        </w:rPr>
      </w:pPr>
      <w:r>
        <w:rPr>
          <w:shd w:fill="auto" w:val="clear"/>
        </w:rPr>
      </w:r>
    </w:p>
    <w:p>
      <w:pPr>
        <w:pStyle w:val="Normal"/>
        <w:jc w:val="both"/>
        <w:rPr>
          <w:sz w:val="22"/>
        </w:rPr>
      </w:pPr>
      <w:r>
        <w:rPr>
          <w:sz w:val="22"/>
        </w:rPr>
      </w:r>
    </w:p>
    <w:p>
      <w:pPr>
        <w:pStyle w:val="Normal"/>
        <w:jc w:val="both"/>
        <w:rPr>
          <w:b/>
          <w:b/>
          <w:i/>
          <w:i/>
          <w:iCs/>
          <w:color w:val="0066B3"/>
          <w:sz w:val="22"/>
          <w:szCs w:val="24"/>
          <w:u w:val="single"/>
          <w:lang w:val="es-ES"/>
        </w:rPr>
      </w:pPr>
      <w:r>
        <w:rPr>
          <w:b/>
          <w:sz w:val="22"/>
        </w:rPr>
        <w:t xml:space="preserve">SISENA.- Responsable del contracte </w:t>
      </w:r>
    </w:p>
    <w:p>
      <w:pPr>
        <w:pStyle w:val="Normal"/>
        <w:jc w:val="both"/>
        <w:rPr>
          <w:b/>
          <w:b/>
          <w:sz w:val="22"/>
        </w:rPr>
      </w:pPr>
      <w:r>
        <w:rPr>
          <w:b/>
          <w:sz w:val="22"/>
        </w:rPr>
      </w:r>
    </w:p>
    <w:p>
      <w:pPr>
        <w:pStyle w:val="Normal"/>
        <w:jc w:val="both"/>
        <w:rPr>
          <w:shd w:fill="auto" w:val="clear"/>
        </w:rPr>
      </w:pPr>
      <w:r>
        <w:rPr>
          <w:sz w:val="22"/>
          <w:shd w:fill="auto" w:val="clear"/>
        </w:rPr>
        <w:t xml:space="preserve">La responsable del contracte a què es refereix l’article 62 de la LCSP és la directora de Serveis d’Educació, </w:t>
      </w:r>
      <w:r>
        <w:rPr>
          <w:color w:val="000000"/>
          <w:sz w:val="22"/>
          <w:shd w:fill="auto" w:val="clear"/>
        </w:rPr>
        <w:t xml:space="preserve">a la  </w:t>
      </w:r>
      <w:r>
        <w:rPr>
          <w:sz w:val="22"/>
          <w:shd w:fill="auto" w:val="clear"/>
        </w:rPr>
        <w:t xml:space="preserve">qual correspondrà supervisar-ne l’execució i adoptar les decisions i dictar les instruccions necessàries amb la finalitat d’assegurar que la prestació pactada es realitza correctament, sempre dins de les facultats que li atorgui l’òrgan de contractació; adoptar la proposta sobre la imposició de penalitats i emetre un informe on determini si el retard en l’execució és produït per motius imputables al contractista. </w:t>
      </w:r>
    </w:p>
    <w:p>
      <w:pPr>
        <w:pStyle w:val="Normal"/>
        <w:jc w:val="both"/>
        <w:rPr>
          <w:sz w:val="22"/>
        </w:rPr>
      </w:pPr>
      <w:r>
        <w:rPr>
          <w:sz w:val="22"/>
        </w:rPr>
      </w:r>
    </w:p>
    <w:p>
      <w:pPr>
        <w:pStyle w:val="Normal"/>
        <w:jc w:val="both"/>
        <w:rPr>
          <w:color w:val="000000"/>
          <w:sz w:val="22"/>
        </w:rPr>
      </w:pPr>
      <w:r>
        <w:rPr>
          <w:color w:val="000000"/>
          <w:sz w:val="22"/>
        </w:rPr>
        <w:t>Les instruccions donades per la persona responsable del contracte configuren les obligacions d’execució del contracte juntament amb el seu clausulat i els plecs.</w:t>
      </w:r>
    </w:p>
    <w:p>
      <w:pPr>
        <w:pStyle w:val="Normal"/>
        <w:jc w:val="both"/>
        <w:rPr>
          <w:color w:val="000000"/>
          <w:sz w:val="22"/>
        </w:rPr>
      </w:pPr>
      <w:r>
        <w:rPr>
          <w:color w:val="000000"/>
          <w:sz w:val="22"/>
        </w:rPr>
      </w:r>
    </w:p>
    <w:p>
      <w:pPr>
        <w:pStyle w:val="Normal"/>
        <w:jc w:val="both"/>
        <w:rPr>
          <w:i/>
          <w:i/>
          <w:iCs/>
          <w:color w:val="000000"/>
          <w:sz w:val="18"/>
          <w:szCs w:val="18"/>
          <w:highlight w:val="green"/>
        </w:rPr>
      </w:pPr>
      <w:r>
        <w:rPr>
          <w:i/>
          <w:iCs/>
          <w:color w:val="000000"/>
          <w:sz w:val="18"/>
          <w:szCs w:val="18"/>
          <w:highlight w:val="green"/>
        </w:rPr>
      </w:r>
    </w:p>
    <w:p>
      <w:pPr>
        <w:pStyle w:val="Encapalament7"/>
        <w:rPr/>
      </w:pPr>
      <w:r>
        <w:rPr/>
        <w:t>SETENA.- Perfil de contractant de l’Ajuntament</w:t>
      </w:r>
    </w:p>
    <w:p>
      <w:pPr>
        <w:pStyle w:val="Normal"/>
        <w:rPr>
          <w:highlight w:val="magenta"/>
        </w:rPr>
      </w:pPr>
      <w:r>
        <w:rPr>
          <w:highlight w:val="magenta"/>
        </w:rPr>
      </w:r>
    </w:p>
    <w:p>
      <w:pPr>
        <w:pStyle w:val="Normal"/>
        <w:suppressAutoHyphens w:val="false"/>
        <w:jc w:val="both"/>
        <w:rPr/>
      </w:pPr>
      <w:r>
        <w:rPr>
          <w:rFonts w:eastAsia="MS Mincho;ＭＳ 明朝"/>
          <w:sz w:val="22"/>
          <w:szCs w:val="22"/>
          <w:lang w:eastAsia="ja-JP"/>
        </w:rPr>
        <w:t xml:space="preserve">La forma d’accés públic al perfil de contractant de l’Ajuntament és a través de la Plataforma </w:t>
      </w:r>
      <w:r>
        <w:rPr>
          <w:sz w:val="22"/>
          <w:szCs w:val="22"/>
        </w:rPr>
        <w:t xml:space="preserve">de Serveis de Contractació Pública </w:t>
      </w:r>
      <w:hyperlink r:id="rId4">
        <w:r>
          <w:rPr>
            <w:rStyle w:val="EnlladInternet"/>
            <w:bCs/>
          </w:rPr>
          <w:t>https://contractaciopublica.cat/ca/perfils-contractant/detall/terrassa</w:t>
        </w:r>
      </w:hyperlink>
      <w:r>
        <w:rPr>
          <w:rStyle w:val="CarCar7"/>
          <w:color w:val="000000"/>
          <w:sz w:val="22"/>
          <w:szCs w:val="22"/>
        </w:rPr>
        <w:t>.</w:t>
      </w:r>
      <w:r>
        <w:rPr>
          <w:rStyle w:val="Hps"/>
          <w:color w:val="000000"/>
          <w:sz w:val="22"/>
          <w:szCs w:val="22"/>
        </w:rPr>
        <w:t>A través del perfil de contractant l’òrgan de contractació</w:t>
      </w:r>
      <w:r>
        <w:rPr>
          <w:color w:val="000000"/>
          <w:sz w:val="22"/>
          <w:szCs w:val="22"/>
        </w:rPr>
        <w:t xml:space="preserve"> </w:t>
      </w:r>
      <w:r>
        <w:rPr>
          <w:rStyle w:val="Hps"/>
          <w:color w:val="000000"/>
          <w:sz w:val="22"/>
          <w:szCs w:val="22"/>
        </w:rPr>
        <w:t>facilitarà a tots els interessats en el procediment de licitació, a tot tardar 6 dies abans que finalitzi el termini fixat per a la presentació d’ofertes</w:t>
      </w:r>
      <w:r>
        <w:rPr>
          <w:rStyle w:val="Hps"/>
          <w:i/>
          <w:color w:val="000000"/>
          <w:sz w:val="22"/>
          <w:szCs w:val="22"/>
          <w:shd w:fill="auto" w:val="clear"/>
        </w:rPr>
        <w:t>,</w:t>
      </w:r>
      <w:r>
        <w:rPr>
          <w:rStyle w:val="Hps"/>
          <w:color w:val="000000"/>
          <w:sz w:val="22"/>
          <w:szCs w:val="22"/>
          <w:shd w:fill="auto" w:val="clear"/>
        </w:rPr>
        <w:t xml:space="preserve"> </w:t>
      </w:r>
      <w:r>
        <w:rPr>
          <w:rStyle w:val="Hps"/>
          <w:color w:val="000000"/>
          <w:sz w:val="22"/>
          <w:szCs w:val="22"/>
        </w:rPr>
        <w:t>la</w:t>
      </w:r>
      <w:r>
        <w:rPr>
          <w:rStyle w:val="Hps"/>
        </w:rPr>
        <w:t xml:space="preserve"> </w:t>
      </w:r>
      <w:r>
        <w:rPr>
          <w:rStyle w:val="Hps"/>
          <w:color w:val="000000"/>
          <w:sz w:val="22"/>
          <w:szCs w:val="22"/>
        </w:rPr>
        <w:t>informació</w:t>
      </w:r>
      <w:r>
        <w:rPr>
          <w:rStyle w:val="Hps"/>
        </w:rPr>
        <w:t xml:space="preserve"> </w:t>
      </w:r>
      <w:r>
        <w:rPr>
          <w:rStyle w:val="Hps"/>
          <w:color w:val="000000"/>
          <w:sz w:val="22"/>
          <w:szCs w:val="22"/>
        </w:rPr>
        <w:t>addicional sobre els</w:t>
      </w:r>
      <w:r>
        <w:rPr>
          <w:rStyle w:val="Hps"/>
        </w:rPr>
        <w:t xml:space="preserve"> </w:t>
      </w:r>
      <w:r>
        <w:rPr>
          <w:rStyle w:val="Hps"/>
          <w:color w:val="000000"/>
          <w:sz w:val="22"/>
          <w:szCs w:val="22"/>
        </w:rPr>
        <w:t>plecs</w:t>
      </w:r>
      <w:r>
        <w:rPr>
          <w:color w:val="000000"/>
          <w:sz w:val="22"/>
          <w:szCs w:val="22"/>
        </w:rPr>
        <w:t xml:space="preserve"> </w:t>
      </w:r>
      <w:r>
        <w:rPr>
          <w:rStyle w:val="Hps"/>
          <w:color w:val="000000"/>
          <w:sz w:val="22"/>
          <w:szCs w:val="22"/>
        </w:rPr>
        <w:t>i</w:t>
      </w:r>
      <w:r>
        <w:rPr>
          <w:color w:val="000000"/>
          <w:sz w:val="22"/>
          <w:szCs w:val="22"/>
        </w:rPr>
        <w:t xml:space="preserve"> </w:t>
      </w:r>
      <w:r>
        <w:rPr>
          <w:rStyle w:val="Hps"/>
          <w:color w:val="000000"/>
          <w:sz w:val="22"/>
          <w:szCs w:val="22"/>
        </w:rPr>
        <w:t>altre documentació</w:t>
      </w:r>
      <w:r>
        <w:rPr>
          <w:color w:val="000000"/>
          <w:sz w:val="22"/>
          <w:szCs w:val="22"/>
        </w:rPr>
        <w:t xml:space="preserve"> </w:t>
      </w:r>
      <w:r>
        <w:rPr>
          <w:rStyle w:val="Hps"/>
          <w:color w:val="000000"/>
          <w:sz w:val="22"/>
          <w:szCs w:val="22"/>
        </w:rPr>
        <w:t xml:space="preserve">complementària que aquests sol·licitin </w:t>
      </w:r>
      <w:r>
        <w:rPr>
          <w:sz w:val="22"/>
          <w:szCs w:val="22"/>
        </w:rPr>
        <w:t>fins a la data límit de recepció d'ofertes</w:t>
      </w:r>
      <w:r>
        <w:rPr>
          <w:rStyle w:val="Hps"/>
          <w:color w:val="000000"/>
          <w:sz w:val="22"/>
          <w:szCs w:val="22"/>
        </w:rPr>
        <w:t>, a condició que l’hagin demanat almenys 12 dies abans del transcurs del termini de presentació de les proposicions</w:t>
      </w:r>
      <w:r>
        <w:rPr>
          <w:sz w:val="22"/>
          <w:szCs w:val="22"/>
        </w:rPr>
        <w:t>.</w:t>
      </w:r>
    </w:p>
    <w:p>
      <w:pPr>
        <w:pStyle w:val="Normal"/>
        <w:suppressAutoHyphens w:val="false"/>
        <w:jc w:val="both"/>
        <w:rPr>
          <w:sz w:val="22"/>
          <w:szCs w:val="22"/>
        </w:rPr>
      </w:pPr>
      <w:r>
        <w:rPr>
          <w:sz w:val="22"/>
          <w:szCs w:val="22"/>
        </w:rPr>
      </w:r>
    </w:p>
    <w:p>
      <w:pPr>
        <w:pStyle w:val="Normal"/>
        <w:jc w:val="both"/>
        <w:rPr/>
      </w:pPr>
      <w:r>
        <w:rPr>
          <w:sz w:val="22"/>
          <w:szCs w:val="22"/>
        </w:rPr>
        <w:t>Les respostes facilitades tindran caràcter vinculant i s’hauran de fer públiques en els termes que garanteixin la igualtat i la concurrència en el procés de licitació, de conformitat amb el que estableix l'article 138 de la LCSP</w:t>
      </w:r>
      <w:r>
        <w:rPr/>
        <w:t xml:space="preserve">. </w:t>
      </w:r>
    </w:p>
    <w:p>
      <w:pPr>
        <w:pStyle w:val="Normal"/>
        <w:jc w:val="both"/>
        <w:rPr>
          <w:sz w:val="22"/>
        </w:rPr>
      </w:pPr>
      <w:r>
        <w:rPr>
          <w:sz w:val="22"/>
        </w:rPr>
      </w:r>
    </w:p>
    <w:p>
      <w:pPr>
        <w:pStyle w:val="Normal"/>
        <w:jc w:val="both"/>
        <w:rPr>
          <w:sz w:val="22"/>
        </w:rPr>
      </w:pPr>
      <w:r>
        <w:rPr>
          <w:sz w:val="22"/>
        </w:rPr>
      </w:r>
    </w:p>
    <w:p>
      <w:pPr>
        <w:pStyle w:val="Normal"/>
        <w:jc w:val="both"/>
        <w:rPr/>
      </w:pPr>
      <w:r>
        <w:rPr>
          <w:b/>
          <w:sz w:val="22"/>
        </w:rPr>
        <w:t>VUITENA.-</w:t>
      </w:r>
      <w:r>
        <w:rPr>
          <w:sz w:val="22"/>
        </w:rPr>
        <w:t xml:space="preserve"> </w:t>
      </w:r>
      <w:r>
        <w:rPr>
          <w:b/>
          <w:sz w:val="22"/>
        </w:rPr>
        <w:t xml:space="preserve">Pressupost base de licitació </w:t>
      </w:r>
    </w:p>
    <w:p>
      <w:pPr>
        <w:pStyle w:val="Normal"/>
        <w:jc w:val="both"/>
        <w:rPr>
          <w:b/>
          <w:b/>
          <w:sz w:val="22"/>
        </w:rPr>
      </w:pPr>
      <w:r>
        <w:rPr>
          <w:b/>
          <w:sz w:val="22"/>
        </w:rPr>
      </w:r>
    </w:p>
    <w:p>
      <w:pPr>
        <w:pStyle w:val="Normal"/>
        <w:jc w:val="both"/>
        <w:rPr>
          <w:shd w:fill="auto" w:val="clear"/>
        </w:rPr>
      </w:pPr>
      <w:r>
        <w:rPr>
          <w:sz w:val="22"/>
          <w:szCs w:val="22"/>
          <w:shd w:fill="auto" w:val="clear"/>
        </w:rPr>
        <w:t>El pressupost base de licitació és d’1.894.418,40</w:t>
      </w:r>
      <w:r>
        <w:rPr>
          <w:spacing w:val="-3"/>
          <w:sz w:val="22"/>
          <w:szCs w:val="22"/>
          <w:shd w:fill="auto" w:val="clear"/>
        </w:rPr>
        <w:t xml:space="preserve"> </w:t>
      </w:r>
      <w:r>
        <w:rPr>
          <w:sz w:val="22"/>
          <w:szCs w:val="22"/>
          <w:shd w:fill="auto" w:val="clear"/>
        </w:rPr>
        <w:t>euros, exclòs l</w:t>
      </w:r>
      <w:r>
        <w:rPr>
          <w:sz w:val="22"/>
          <w:szCs w:val="22"/>
          <w:shd w:fill="auto" w:val="clear"/>
          <w:lang w:val="af-ZA"/>
        </w:rPr>
        <w:t>’IVA</w:t>
      </w:r>
      <w:r>
        <w:rPr>
          <w:sz w:val="22"/>
          <w:szCs w:val="22"/>
          <w:shd w:fill="auto" w:val="clear"/>
        </w:rPr>
        <w:t xml:space="preserve"> i de </w:t>
      </w:r>
      <w:r>
        <w:rPr>
          <w:color w:val="00000A"/>
          <w:sz w:val="22"/>
          <w:szCs w:val="22"/>
          <w:shd w:fill="auto" w:val="clear"/>
        </w:rPr>
        <w:t xml:space="preserve">2.083.860,24 </w:t>
      </w:r>
      <w:r>
        <w:rPr>
          <w:sz w:val="22"/>
          <w:szCs w:val="22"/>
          <w:shd w:fill="auto" w:val="clear"/>
        </w:rPr>
        <w:t>euros IVA inclòs.</w:t>
      </w:r>
    </w:p>
    <w:p>
      <w:pPr>
        <w:pStyle w:val="Normal"/>
        <w:jc w:val="both"/>
        <w:rPr>
          <w:sz w:val="22"/>
          <w:szCs w:val="22"/>
          <w:highlight w:val="yellow"/>
        </w:rPr>
      </w:pPr>
      <w:r>
        <w:rPr>
          <w:sz w:val="22"/>
          <w:szCs w:val="22"/>
          <w:highlight w:val="yellow"/>
        </w:rPr>
      </w:r>
    </w:p>
    <w:tbl>
      <w:tblPr>
        <w:tblW w:w="8835" w:type="dxa"/>
        <w:jc w:val="left"/>
        <w:tblInd w:w="98" w:type="dxa"/>
        <w:tblLayout w:type="fixed"/>
        <w:tblCellMar>
          <w:top w:w="57" w:type="dxa"/>
          <w:left w:w="98" w:type="dxa"/>
          <w:bottom w:w="57" w:type="dxa"/>
          <w:right w:w="108" w:type="dxa"/>
        </w:tblCellMar>
        <w:tblLook w:firstRow="0" w:noVBand="0" w:lastRow="0" w:firstColumn="0" w:lastColumn="0" w:noHBand="0" w:val="0000"/>
      </w:tblPr>
      <w:tblGrid>
        <w:gridCol w:w="2038"/>
        <w:gridCol w:w="1283"/>
        <w:gridCol w:w="1849"/>
        <w:gridCol w:w="1700"/>
        <w:gridCol w:w="1965"/>
      </w:tblGrid>
      <w:tr>
        <w:trPr>
          <w:trHeight w:val="188" w:hRule="atLeast"/>
        </w:trPr>
        <w:tc>
          <w:tcPr>
            <w:tcW w:w="2038" w:type="dxa"/>
            <w:tcBorders>
              <w:top w:val="single" w:sz="4" w:space="0" w:color="FFFFFF"/>
              <w:left w:val="single" w:sz="4" w:space="0" w:color="FFFFFF"/>
              <w:bottom w:val="single" w:sz="4" w:space="0" w:color="FFFFFF"/>
            </w:tcBorders>
            <w:shd w:color="auto" w:fill="F3F3F3" w:val="clear"/>
            <w:vAlign w:val="center"/>
          </w:tcPr>
          <w:p>
            <w:pPr>
              <w:pStyle w:val="Normal"/>
              <w:widowControl w:val="false"/>
              <w:spacing w:before="60" w:after="60"/>
              <w:jc w:val="center"/>
              <w:rPr>
                <w:rFonts w:ascii="Arial" w:hAnsi="Arial"/>
                <w:sz w:val="22"/>
                <w:szCs w:val="22"/>
                <w:shd w:fill="auto" w:val="clear"/>
              </w:rPr>
            </w:pPr>
            <w:r>
              <w:rPr>
                <w:sz w:val="22"/>
                <w:szCs w:val="22"/>
                <w:shd w:fill="auto" w:val="clear"/>
              </w:rPr>
            </w:r>
          </w:p>
        </w:tc>
        <w:tc>
          <w:tcPr>
            <w:tcW w:w="3132" w:type="dxa"/>
            <w:gridSpan w:val="2"/>
            <w:tcBorders>
              <w:top w:val="single" w:sz="4" w:space="0" w:color="FFFFFF"/>
              <w:left w:val="single" w:sz="4" w:space="0" w:color="FFFFFF"/>
              <w:bottom w:val="single" w:sz="4" w:space="0" w:color="FFFFFF"/>
            </w:tcBorders>
            <w:shd w:color="auto" w:fill="F3F3F3" w:val="clear"/>
          </w:tcPr>
          <w:p>
            <w:pPr>
              <w:pStyle w:val="Normal"/>
              <w:widowControl w:val="false"/>
              <w:spacing w:before="60" w:after="60"/>
              <w:jc w:val="center"/>
              <w:rPr/>
            </w:pPr>
            <w:r>
              <w:rPr>
                <w:rStyle w:val="Muydestacado"/>
                <w:b w:val="false"/>
                <w:color w:val="000000"/>
                <w:sz w:val="22"/>
                <w:szCs w:val="22"/>
                <w:shd w:fill="auto" w:val="clear"/>
              </w:rPr>
              <w:t>Durada inicial</w:t>
            </w:r>
          </w:p>
        </w:tc>
        <w:tc>
          <w:tcPr>
            <w:tcW w:w="3665" w:type="dxa"/>
            <w:gridSpan w:val="2"/>
            <w:tcBorders>
              <w:top w:val="single" w:sz="4" w:space="0" w:color="FFFFFF"/>
              <w:left w:val="single" w:sz="4" w:space="0" w:color="FFFFFF"/>
              <w:bottom w:val="single" w:sz="4" w:space="0" w:color="FFFFFF"/>
              <w:right w:val="single" w:sz="4" w:space="0" w:color="FFFFFF"/>
            </w:tcBorders>
            <w:shd w:color="auto" w:fill="F3F3F3" w:val="clear"/>
          </w:tcPr>
          <w:p>
            <w:pPr>
              <w:pStyle w:val="Normal"/>
              <w:widowControl w:val="false"/>
              <w:spacing w:before="60" w:after="60"/>
              <w:jc w:val="center"/>
              <w:rPr/>
            </w:pPr>
            <w:r>
              <w:rPr>
                <w:rStyle w:val="Muydestacado"/>
                <w:b w:val="false"/>
                <w:color w:val="000000"/>
                <w:sz w:val="22"/>
                <w:szCs w:val="22"/>
                <w:shd w:fill="auto" w:val="clear"/>
              </w:rPr>
              <w:t>Eventuals pròrrogues</w:t>
            </w:r>
          </w:p>
        </w:tc>
      </w:tr>
      <w:tr>
        <w:trPr>
          <w:trHeight w:val="187" w:hRule="atLeast"/>
        </w:trPr>
        <w:tc>
          <w:tcPr>
            <w:tcW w:w="2038" w:type="dxa"/>
            <w:tcBorders>
              <w:left w:val="single" w:sz="4" w:space="0" w:color="FFFFFF"/>
              <w:bottom w:val="single" w:sz="4" w:space="0" w:color="FFFFFF"/>
            </w:tcBorders>
            <w:shd w:color="auto" w:fill="F3F3F3" w:val="clear"/>
            <w:vAlign w:val="center"/>
          </w:tcPr>
          <w:p>
            <w:pPr>
              <w:pStyle w:val="Normal"/>
              <w:widowControl w:val="false"/>
              <w:snapToGrid w:val="false"/>
              <w:spacing w:before="60" w:after="60"/>
              <w:jc w:val="center"/>
              <w:rPr/>
            </w:pPr>
            <w:r>
              <w:rPr>
                <w:rStyle w:val="Muydestacado"/>
                <w:b w:val="false"/>
                <w:color w:val="000000"/>
                <w:sz w:val="22"/>
                <w:szCs w:val="22"/>
                <w:shd w:fill="auto" w:val="clear"/>
              </w:rPr>
              <w:t>Any</w:t>
            </w:r>
          </w:p>
        </w:tc>
        <w:tc>
          <w:tcPr>
            <w:tcW w:w="1283" w:type="dxa"/>
            <w:tcBorders>
              <w:top w:val="single" w:sz="4" w:space="0" w:color="FFFFFF"/>
              <w:left w:val="single" w:sz="4" w:space="0" w:color="FFFFFF"/>
              <w:bottom w:val="single" w:sz="4" w:space="0" w:color="FFFFFF"/>
            </w:tcBorders>
            <w:shd w:color="auto" w:fill="F3F3F3" w:val="clear"/>
          </w:tcPr>
          <w:p>
            <w:pPr>
              <w:pStyle w:val="Normal"/>
              <w:widowControl w:val="false"/>
              <w:spacing w:before="60" w:after="60"/>
              <w:jc w:val="center"/>
              <w:rPr/>
            </w:pPr>
            <w:r>
              <w:rPr>
                <w:rStyle w:val="Muydestacado"/>
                <w:b w:val="false"/>
                <w:color w:val="000000"/>
                <w:sz w:val="22"/>
                <w:szCs w:val="22"/>
                <w:shd w:fill="auto" w:val="clear"/>
              </w:rPr>
              <w:t>Mesos</w:t>
            </w:r>
          </w:p>
        </w:tc>
        <w:tc>
          <w:tcPr>
            <w:tcW w:w="1849" w:type="dxa"/>
            <w:tcBorders>
              <w:top w:val="single" w:sz="4" w:space="0" w:color="FFFFFF"/>
              <w:left w:val="single" w:sz="4" w:space="0" w:color="FFFFFF"/>
              <w:bottom w:val="single" w:sz="4" w:space="0" w:color="FFFFFF"/>
            </w:tcBorders>
            <w:shd w:color="auto" w:fill="F3F3F3" w:val="clear"/>
          </w:tcPr>
          <w:p>
            <w:pPr>
              <w:pStyle w:val="Normal"/>
              <w:widowControl w:val="false"/>
              <w:spacing w:before="60" w:after="60"/>
              <w:jc w:val="center"/>
              <w:rPr/>
            </w:pPr>
            <w:r>
              <w:rPr>
                <w:rStyle w:val="Muydestacado"/>
                <w:b w:val="false"/>
                <w:color w:val="000000"/>
                <w:sz w:val="22"/>
                <w:szCs w:val="22"/>
                <w:shd w:fill="auto" w:val="clear"/>
              </w:rPr>
              <w:t>Despesa</w:t>
            </w:r>
          </w:p>
        </w:tc>
        <w:tc>
          <w:tcPr>
            <w:tcW w:w="1700" w:type="dxa"/>
            <w:tcBorders>
              <w:top w:val="single" w:sz="4" w:space="0" w:color="FFFFFF"/>
              <w:left w:val="single" w:sz="4" w:space="0" w:color="FFFFFF"/>
              <w:bottom w:val="single" w:sz="4" w:space="0" w:color="FFFFFF"/>
            </w:tcBorders>
            <w:shd w:color="auto" w:fill="F3F3F3" w:val="clear"/>
          </w:tcPr>
          <w:p>
            <w:pPr>
              <w:pStyle w:val="Normal"/>
              <w:widowControl w:val="false"/>
              <w:spacing w:before="60" w:after="60"/>
              <w:jc w:val="center"/>
              <w:rPr/>
            </w:pPr>
            <w:r>
              <w:rPr>
                <w:rStyle w:val="Muydestacado"/>
                <w:b w:val="false"/>
                <w:color w:val="000000"/>
                <w:sz w:val="22"/>
                <w:szCs w:val="22"/>
                <w:shd w:fill="auto" w:val="clear"/>
              </w:rPr>
              <w:t>Mesos</w:t>
            </w:r>
          </w:p>
        </w:tc>
        <w:tc>
          <w:tcPr>
            <w:tcW w:w="1965" w:type="dxa"/>
            <w:tcBorders>
              <w:top w:val="single" w:sz="4" w:space="0" w:color="FFFFFF"/>
              <w:left w:val="single" w:sz="4" w:space="0" w:color="FFFFFF"/>
              <w:bottom w:val="single" w:sz="4" w:space="0" w:color="FFFFFF"/>
              <w:right w:val="single" w:sz="4" w:space="0" w:color="FFFFFF"/>
            </w:tcBorders>
            <w:shd w:color="auto" w:fill="F3F3F3" w:val="clear"/>
          </w:tcPr>
          <w:p>
            <w:pPr>
              <w:pStyle w:val="Normal"/>
              <w:widowControl w:val="false"/>
              <w:spacing w:before="60" w:after="60"/>
              <w:jc w:val="center"/>
              <w:rPr/>
            </w:pPr>
            <w:r>
              <w:rPr>
                <w:rStyle w:val="Muydestacado"/>
                <w:b w:val="false"/>
                <w:color w:val="000000"/>
                <w:sz w:val="22"/>
                <w:szCs w:val="22"/>
                <w:shd w:fill="auto" w:val="clear"/>
              </w:rPr>
              <w:t>Despesa</w:t>
            </w:r>
          </w:p>
        </w:tc>
      </w:tr>
      <w:tr>
        <w:trPr/>
        <w:tc>
          <w:tcPr>
            <w:tcW w:w="2038" w:type="dxa"/>
            <w:tcBorders>
              <w:top w:val="single" w:sz="4" w:space="0" w:color="FFFFFF"/>
              <w:left w:val="single" w:sz="4" w:space="0" w:color="FFFFFF"/>
              <w:bottom w:val="single" w:sz="4" w:space="0" w:color="FFFFFF"/>
            </w:tcBorders>
            <w:shd w:color="auto" w:fill="F3F3F3" w:val="clear"/>
          </w:tcPr>
          <w:p>
            <w:pPr>
              <w:pStyle w:val="Normal"/>
              <w:widowControl w:val="false"/>
              <w:spacing w:before="60" w:after="60"/>
              <w:jc w:val="center"/>
              <w:rPr/>
            </w:pPr>
            <w:r>
              <w:rPr>
                <w:rStyle w:val="Muydestacado"/>
                <w:b w:val="false"/>
                <w:color w:val="000000"/>
                <w:sz w:val="22"/>
                <w:szCs w:val="22"/>
                <w:shd w:fill="auto" w:val="clear"/>
              </w:rPr>
              <w:t>2025</w:t>
            </w:r>
          </w:p>
        </w:tc>
        <w:tc>
          <w:tcPr>
            <w:tcW w:w="1283"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center"/>
              <w:rPr>
                <w:rFonts w:ascii="Arial" w:hAnsi="Arial"/>
                <w:color w:val="00000A"/>
                <w:sz w:val="22"/>
                <w:szCs w:val="22"/>
                <w:shd w:fill="auto" w:val="clear"/>
              </w:rPr>
            </w:pPr>
            <w:r>
              <w:rPr>
                <w:color w:val="00000A"/>
                <w:sz w:val="22"/>
                <w:szCs w:val="22"/>
                <w:shd w:fill="auto" w:val="clear"/>
              </w:rPr>
              <w:t>3</w:t>
            </w:r>
          </w:p>
        </w:tc>
        <w:tc>
          <w:tcPr>
            <w:tcW w:w="1849"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right"/>
              <w:rPr>
                <w:rFonts w:ascii="Arial" w:hAnsi="Arial"/>
                <w:color w:val="00000A"/>
                <w:sz w:val="22"/>
                <w:szCs w:val="22"/>
                <w:shd w:fill="auto" w:val="clear"/>
              </w:rPr>
            </w:pPr>
            <w:r>
              <w:rPr>
                <w:color w:val="00000A"/>
                <w:sz w:val="22"/>
                <w:szCs w:val="22"/>
                <w:shd w:fill="auto" w:val="clear"/>
              </w:rPr>
              <w:t>282.121,08 €</w:t>
            </w:r>
          </w:p>
        </w:tc>
        <w:tc>
          <w:tcPr>
            <w:tcW w:w="1700"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center"/>
              <w:rPr>
                <w:rFonts w:ascii="Arial" w:hAnsi="Arial"/>
                <w:color w:val="00000A"/>
                <w:sz w:val="22"/>
                <w:szCs w:val="22"/>
                <w:shd w:fill="auto" w:val="clear"/>
              </w:rPr>
            </w:pPr>
            <w:r>
              <w:rPr>
                <w:color w:val="00000A"/>
                <w:sz w:val="22"/>
                <w:szCs w:val="22"/>
                <w:shd w:fill="auto" w:val="clear"/>
              </w:rPr>
              <w:t>-</w:t>
            </w:r>
          </w:p>
        </w:tc>
        <w:tc>
          <w:tcPr>
            <w:tcW w:w="1965" w:type="dxa"/>
            <w:tcBorders>
              <w:top w:val="single" w:sz="4" w:space="0" w:color="FFFFFF"/>
              <w:left w:val="single" w:sz="4" w:space="0" w:color="FFFFFF"/>
              <w:bottom w:val="single" w:sz="4" w:space="0" w:color="FFFFFF"/>
              <w:right w:val="single" w:sz="4" w:space="0" w:color="FFFFFF"/>
            </w:tcBorders>
            <w:shd w:color="auto" w:fill="F3F3F3" w:val="clear"/>
            <w:vAlign w:val="center"/>
          </w:tcPr>
          <w:p>
            <w:pPr>
              <w:pStyle w:val="Contingutdelataula"/>
              <w:widowControl w:val="false"/>
              <w:rPr>
                <w:rFonts w:ascii="Arial" w:hAnsi="Arial"/>
                <w:sz w:val="22"/>
                <w:szCs w:val="22"/>
                <w:shd w:fill="auto" w:val="clear"/>
              </w:rPr>
            </w:pPr>
            <w:r>
              <w:rPr>
                <w:sz w:val="22"/>
                <w:szCs w:val="22"/>
                <w:shd w:fill="auto" w:val="clear"/>
              </w:rPr>
            </w:r>
          </w:p>
        </w:tc>
      </w:tr>
      <w:tr>
        <w:trPr/>
        <w:tc>
          <w:tcPr>
            <w:tcW w:w="2038" w:type="dxa"/>
            <w:tcBorders>
              <w:top w:val="single" w:sz="4" w:space="0" w:color="FFFFFF"/>
              <w:left w:val="single" w:sz="4" w:space="0" w:color="FFFFFF"/>
              <w:bottom w:val="single" w:sz="4" w:space="0" w:color="FFFFFF"/>
            </w:tcBorders>
            <w:shd w:color="auto" w:fill="F3F3F3" w:val="clear"/>
          </w:tcPr>
          <w:p>
            <w:pPr>
              <w:pStyle w:val="Normal"/>
              <w:widowControl w:val="false"/>
              <w:spacing w:before="60" w:after="60"/>
              <w:jc w:val="center"/>
              <w:rPr/>
            </w:pPr>
            <w:r>
              <w:rPr>
                <w:rStyle w:val="Muydestacado"/>
                <w:b w:val="false"/>
                <w:color w:val="000000"/>
                <w:sz w:val="22"/>
                <w:szCs w:val="22"/>
                <w:shd w:fill="auto" w:val="clear"/>
              </w:rPr>
              <w:t>2026</w:t>
            </w:r>
          </w:p>
        </w:tc>
        <w:tc>
          <w:tcPr>
            <w:tcW w:w="1283"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center"/>
              <w:rPr>
                <w:rFonts w:ascii="Arial" w:hAnsi="Arial"/>
                <w:color w:val="00000A"/>
                <w:sz w:val="22"/>
                <w:szCs w:val="22"/>
                <w:shd w:fill="auto" w:val="clear"/>
              </w:rPr>
            </w:pPr>
            <w:r>
              <w:rPr>
                <w:color w:val="00000A"/>
                <w:sz w:val="22"/>
                <w:szCs w:val="22"/>
                <w:shd w:fill="auto" w:val="clear"/>
              </w:rPr>
              <w:t>10</w:t>
            </w:r>
          </w:p>
        </w:tc>
        <w:tc>
          <w:tcPr>
            <w:tcW w:w="1849"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right"/>
              <w:rPr>
                <w:rFonts w:ascii="Arial" w:hAnsi="Arial"/>
                <w:color w:val="00000A"/>
                <w:sz w:val="22"/>
                <w:szCs w:val="22"/>
                <w:shd w:fill="auto" w:val="clear"/>
              </w:rPr>
            </w:pPr>
            <w:r>
              <w:rPr>
                <w:color w:val="00000A"/>
                <w:sz w:val="22"/>
                <w:szCs w:val="22"/>
                <w:shd w:fill="auto" w:val="clear"/>
              </w:rPr>
              <w:t>947.209,20 €</w:t>
            </w:r>
          </w:p>
        </w:tc>
        <w:tc>
          <w:tcPr>
            <w:tcW w:w="1700"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center"/>
              <w:rPr>
                <w:rFonts w:ascii="Arial" w:hAnsi="Arial"/>
                <w:color w:val="00000A"/>
                <w:sz w:val="22"/>
                <w:szCs w:val="22"/>
                <w:shd w:fill="auto" w:val="clear"/>
              </w:rPr>
            </w:pPr>
            <w:r>
              <w:rPr>
                <w:color w:val="00000A"/>
                <w:sz w:val="22"/>
                <w:szCs w:val="22"/>
                <w:shd w:fill="auto" w:val="clear"/>
              </w:rPr>
              <w:t>-</w:t>
            </w:r>
          </w:p>
        </w:tc>
        <w:tc>
          <w:tcPr>
            <w:tcW w:w="1965" w:type="dxa"/>
            <w:tcBorders>
              <w:top w:val="single" w:sz="4" w:space="0" w:color="FFFFFF"/>
              <w:left w:val="single" w:sz="4" w:space="0" w:color="FFFFFF"/>
              <w:bottom w:val="single" w:sz="4" w:space="0" w:color="FFFFFF"/>
              <w:right w:val="single" w:sz="4" w:space="0" w:color="FFFFFF"/>
            </w:tcBorders>
            <w:shd w:color="auto" w:fill="F3F3F3" w:val="clear"/>
            <w:vAlign w:val="center"/>
          </w:tcPr>
          <w:p>
            <w:pPr>
              <w:pStyle w:val="Contingutdelataula"/>
              <w:widowControl w:val="false"/>
              <w:rPr>
                <w:rFonts w:ascii="Arial" w:hAnsi="Arial"/>
                <w:sz w:val="22"/>
                <w:szCs w:val="22"/>
                <w:shd w:fill="auto" w:val="clear"/>
              </w:rPr>
            </w:pPr>
            <w:r>
              <w:rPr>
                <w:sz w:val="22"/>
                <w:szCs w:val="22"/>
                <w:shd w:fill="auto" w:val="clear"/>
              </w:rPr>
            </w:r>
          </w:p>
        </w:tc>
      </w:tr>
      <w:tr>
        <w:trPr/>
        <w:tc>
          <w:tcPr>
            <w:tcW w:w="2038" w:type="dxa"/>
            <w:tcBorders>
              <w:top w:val="single" w:sz="4" w:space="0" w:color="FFFFFF"/>
              <w:left w:val="single" w:sz="4" w:space="0" w:color="FFFFFF"/>
              <w:bottom w:val="single" w:sz="4" w:space="0" w:color="FFFFFF"/>
            </w:tcBorders>
            <w:shd w:color="auto" w:fill="F3F3F3" w:val="clear"/>
          </w:tcPr>
          <w:p>
            <w:pPr>
              <w:pStyle w:val="Normal"/>
              <w:widowControl w:val="false"/>
              <w:spacing w:before="60" w:after="60"/>
              <w:jc w:val="center"/>
              <w:rPr/>
            </w:pPr>
            <w:r>
              <w:rPr>
                <w:rStyle w:val="Muydestacado"/>
                <w:b w:val="false"/>
                <w:color w:val="000000"/>
                <w:sz w:val="22"/>
                <w:szCs w:val="22"/>
                <w:shd w:fill="auto" w:val="clear"/>
              </w:rPr>
              <w:t>2027</w:t>
            </w:r>
          </w:p>
        </w:tc>
        <w:tc>
          <w:tcPr>
            <w:tcW w:w="1283"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center"/>
              <w:rPr>
                <w:rFonts w:ascii="Arial" w:hAnsi="Arial"/>
                <w:color w:val="00000A"/>
                <w:sz w:val="22"/>
                <w:szCs w:val="22"/>
                <w:shd w:fill="auto" w:val="clear"/>
              </w:rPr>
            </w:pPr>
            <w:r>
              <w:rPr>
                <w:color w:val="00000A"/>
                <w:sz w:val="22"/>
                <w:szCs w:val="22"/>
                <w:shd w:fill="auto" w:val="clear"/>
              </w:rPr>
              <w:t>7</w:t>
            </w:r>
          </w:p>
        </w:tc>
        <w:tc>
          <w:tcPr>
            <w:tcW w:w="1849"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right"/>
              <w:rPr>
                <w:rFonts w:ascii="Arial" w:hAnsi="Arial"/>
                <w:color w:val="00000A"/>
                <w:sz w:val="22"/>
                <w:szCs w:val="22"/>
                <w:shd w:fill="auto" w:val="clear"/>
              </w:rPr>
            </w:pPr>
            <w:r>
              <w:rPr>
                <w:color w:val="00000A"/>
                <w:sz w:val="22"/>
                <w:szCs w:val="22"/>
                <w:shd w:fill="auto" w:val="clear"/>
              </w:rPr>
              <w:t>665.088,12 €</w:t>
            </w:r>
          </w:p>
        </w:tc>
        <w:tc>
          <w:tcPr>
            <w:tcW w:w="1700"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center"/>
              <w:rPr>
                <w:rFonts w:ascii="Arial" w:hAnsi="Arial"/>
                <w:color w:val="00000A"/>
                <w:sz w:val="22"/>
                <w:szCs w:val="22"/>
                <w:shd w:fill="auto" w:val="clear"/>
              </w:rPr>
            </w:pPr>
            <w:r>
              <w:rPr>
                <w:color w:val="00000A"/>
                <w:sz w:val="22"/>
                <w:szCs w:val="22"/>
                <w:shd w:fill="auto" w:val="clear"/>
              </w:rPr>
              <w:t>3</w:t>
            </w:r>
          </w:p>
        </w:tc>
        <w:tc>
          <w:tcPr>
            <w:tcW w:w="1965" w:type="dxa"/>
            <w:tcBorders>
              <w:top w:val="single" w:sz="4" w:space="0" w:color="FFFFFF"/>
              <w:left w:val="single" w:sz="4" w:space="0" w:color="FFFFFF"/>
              <w:bottom w:val="single" w:sz="4" w:space="0" w:color="FFFFFF"/>
              <w:right w:val="single" w:sz="4" w:space="0" w:color="FFFFFF"/>
            </w:tcBorders>
            <w:shd w:color="auto" w:fill="F3F3F3" w:val="clear"/>
            <w:vAlign w:val="center"/>
          </w:tcPr>
          <w:p>
            <w:pPr>
              <w:pStyle w:val="Contingutdelataula"/>
              <w:widowControl w:val="false"/>
              <w:jc w:val="right"/>
              <w:rPr>
                <w:rFonts w:ascii="Arial" w:hAnsi="Arial"/>
                <w:color w:val="00000A"/>
                <w:sz w:val="22"/>
                <w:szCs w:val="22"/>
                <w:shd w:fill="auto" w:val="clear"/>
              </w:rPr>
            </w:pPr>
            <w:r>
              <w:rPr>
                <w:color w:val="00000A"/>
                <w:sz w:val="22"/>
                <w:szCs w:val="22"/>
                <w:shd w:fill="auto" w:val="clear"/>
              </w:rPr>
              <w:t>282.121,08 €</w:t>
            </w:r>
          </w:p>
        </w:tc>
      </w:tr>
      <w:tr>
        <w:trPr/>
        <w:tc>
          <w:tcPr>
            <w:tcW w:w="2038" w:type="dxa"/>
            <w:tcBorders>
              <w:top w:val="single" w:sz="4" w:space="0" w:color="FFFFFF"/>
              <w:left w:val="single" w:sz="4" w:space="0" w:color="FFFFFF"/>
              <w:bottom w:val="single" w:sz="4" w:space="0" w:color="FFFFFF"/>
            </w:tcBorders>
            <w:shd w:color="auto" w:fill="F3F3F3" w:val="clear"/>
          </w:tcPr>
          <w:p>
            <w:pPr>
              <w:pStyle w:val="Normal"/>
              <w:widowControl w:val="false"/>
              <w:spacing w:before="60" w:after="60"/>
              <w:jc w:val="center"/>
              <w:rPr/>
            </w:pPr>
            <w:r>
              <w:rPr>
                <w:rStyle w:val="Muydestacado"/>
                <w:b w:val="false"/>
                <w:color w:val="000000"/>
                <w:sz w:val="22"/>
                <w:szCs w:val="22"/>
                <w:shd w:fill="auto" w:val="clear"/>
              </w:rPr>
              <w:t>2028</w:t>
            </w:r>
          </w:p>
        </w:tc>
        <w:tc>
          <w:tcPr>
            <w:tcW w:w="1283"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center"/>
              <w:rPr>
                <w:rFonts w:ascii="Arial" w:hAnsi="Arial"/>
                <w:color w:val="00000A"/>
                <w:sz w:val="22"/>
                <w:szCs w:val="22"/>
                <w:shd w:fill="auto" w:val="clear"/>
              </w:rPr>
            </w:pPr>
            <w:r>
              <w:rPr>
                <w:color w:val="00000A"/>
                <w:sz w:val="22"/>
                <w:szCs w:val="22"/>
                <w:shd w:fill="auto" w:val="clear"/>
              </w:rPr>
              <w:t>-</w:t>
            </w:r>
          </w:p>
        </w:tc>
        <w:tc>
          <w:tcPr>
            <w:tcW w:w="1849"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center"/>
              <w:rPr>
                <w:rFonts w:ascii="Arial" w:hAnsi="Arial"/>
                <w:color w:val="00000A"/>
                <w:sz w:val="22"/>
                <w:szCs w:val="22"/>
                <w:shd w:fill="auto" w:val="clear"/>
              </w:rPr>
            </w:pPr>
            <w:r>
              <w:rPr>
                <w:color w:val="00000A"/>
                <w:sz w:val="22"/>
                <w:szCs w:val="22"/>
                <w:shd w:fill="auto" w:val="clear"/>
              </w:rPr>
              <w:t>-</w:t>
            </w:r>
          </w:p>
        </w:tc>
        <w:tc>
          <w:tcPr>
            <w:tcW w:w="1700"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center"/>
              <w:rPr>
                <w:rFonts w:ascii="Arial" w:hAnsi="Arial"/>
                <w:color w:val="00000A"/>
                <w:sz w:val="22"/>
                <w:szCs w:val="22"/>
                <w:shd w:fill="auto" w:val="clear"/>
              </w:rPr>
            </w:pPr>
            <w:r>
              <w:rPr>
                <w:color w:val="00000A"/>
                <w:sz w:val="22"/>
                <w:szCs w:val="22"/>
                <w:shd w:fill="auto" w:val="clear"/>
              </w:rPr>
              <w:t>10</w:t>
            </w:r>
          </w:p>
        </w:tc>
        <w:tc>
          <w:tcPr>
            <w:tcW w:w="1965" w:type="dxa"/>
            <w:tcBorders>
              <w:top w:val="single" w:sz="4" w:space="0" w:color="FFFFFF"/>
              <w:left w:val="single" w:sz="4" w:space="0" w:color="FFFFFF"/>
              <w:bottom w:val="single" w:sz="4" w:space="0" w:color="FFFFFF"/>
              <w:right w:val="single" w:sz="4" w:space="0" w:color="FFFFFF"/>
            </w:tcBorders>
            <w:shd w:color="auto" w:fill="F3F3F3" w:val="clear"/>
            <w:vAlign w:val="center"/>
          </w:tcPr>
          <w:p>
            <w:pPr>
              <w:pStyle w:val="Contingutdelataula"/>
              <w:widowControl w:val="false"/>
              <w:jc w:val="right"/>
              <w:rPr>
                <w:rFonts w:ascii="Arial" w:hAnsi="Arial"/>
                <w:color w:val="00000A"/>
                <w:sz w:val="22"/>
                <w:szCs w:val="22"/>
                <w:shd w:fill="auto" w:val="clear"/>
              </w:rPr>
            </w:pPr>
            <w:r>
              <w:rPr>
                <w:color w:val="00000A"/>
                <w:sz w:val="22"/>
                <w:szCs w:val="22"/>
                <w:shd w:fill="auto" w:val="clear"/>
              </w:rPr>
              <w:t>947.209,20 €</w:t>
            </w:r>
          </w:p>
        </w:tc>
      </w:tr>
      <w:tr>
        <w:trPr/>
        <w:tc>
          <w:tcPr>
            <w:tcW w:w="2038" w:type="dxa"/>
            <w:tcBorders>
              <w:left w:val="single" w:sz="4" w:space="0" w:color="FFFFFF"/>
              <w:bottom w:val="single" w:sz="4" w:space="0" w:color="FFFFFF"/>
            </w:tcBorders>
            <w:shd w:color="auto" w:fill="F3F3F3" w:val="clear"/>
          </w:tcPr>
          <w:p>
            <w:pPr>
              <w:pStyle w:val="Normal"/>
              <w:widowControl w:val="false"/>
              <w:spacing w:before="60" w:after="60"/>
              <w:jc w:val="center"/>
              <w:rPr>
                <w:rFonts w:ascii="Arial" w:hAnsi="Arial"/>
                <w:sz w:val="22"/>
                <w:szCs w:val="22"/>
                <w:shd w:fill="auto" w:val="clear"/>
              </w:rPr>
            </w:pPr>
            <w:r>
              <w:rPr>
                <w:sz w:val="22"/>
                <w:szCs w:val="22"/>
                <w:shd w:fill="auto" w:val="clear"/>
              </w:rPr>
              <w:t>2029</w:t>
            </w:r>
          </w:p>
        </w:tc>
        <w:tc>
          <w:tcPr>
            <w:tcW w:w="1283" w:type="dxa"/>
            <w:tcBorders>
              <w:left w:val="single" w:sz="4" w:space="0" w:color="FFFFFF"/>
              <w:bottom w:val="single" w:sz="4" w:space="0" w:color="FFFFFF"/>
            </w:tcBorders>
            <w:shd w:color="auto" w:fill="F3F3F3" w:val="clear"/>
            <w:vAlign w:val="center"/>
          </w:tcPr>
          <w:p>
            <w:pPr>
              <w:pStyle w:val="Contingutdelataula"/>
              <w:widowControl w:val="false"/>
              <w:jc w:val="center"/>
              <w:rPr>
                <w:rFonts w:ascii="Arial" w:hAnsi="Arial"/>
                <w:color w:val="00000A"/>
                <w:sz w:val="22"/>
                <w:szCs w:val="22"/>
                <w:shd w:fill="auto" w:val="clear"/>
              </w:rPr>
            </w:pPr>
            <w:r>
              <w:rPr>
                <w:color w:val="00000A"/>
                <w:sz w:val="22"/>
                <w:szCs w:val="22"/>
                <w:shd w:fill="auto" w:val="clear"/>
              </w:rPr>
              <w:t>-</w:t>
            </w:r>
          </w:p>
        </w:tc>
        <w:tc>
          <w:tcPr>
            <w:tcW w:w="1849" w:type="dxa"/>
            <w:tcBorders>
              <w:left w:val="single" w:sz="4" w:space="0" w:color="FFFFFF"/>
              <w:bottom w:val="single" w:sz="4" w:space="0" w:color="FFFFFF"/>
            </w:tcBorders>
            <w:shd w:color="auto" w:fill="F3F3F3" w:val="clear"/>
            <w:vAlign w:val="center"/>
          </w:tcPr>
          <w:p>
            <w:pPr>
              <w:pStyle w:val="Contingutdelataula"/>
              <w:widowControl w:val="false"/>
              <w:jc w:val="center"/>
              <w:rPr>
                <w:rFonts w:ascii="Arial" w:hAnsi="Arial"/>
                <w:color w:val="00000A"/>
                <w:sz w:val="22"/>
                <w:szCs w:val="22"/>
                <w:shd w:fill="auto" w:val="clear"/>
              </w:rPr>
            </w:pPr>
            <w:r>
              <w:rPr>
                <w:color w:val="00000A"/>
                <w:sz w:val="22"/>
                <w:szCs w:val="22"/>
                <w:shd w:fill="auto" w:val="clear"/>
              </w:rPr>
              <w:t>-</w:t>
            </w:r>
          </w:p>
        </w:tc>
        <w:tc>
          <w:tcPr>
            <w:tcW w:w="1700" w:type="dxa"/>
            <w:tcBorders>
              <w:left w:val="single" w:sz="4" w:space="0" w:color="FFFFFF"/>
              <w:bottom w:val="single" w:sz="4" w:space="0" w:color="FFFFFF"/>
            </w:tcBorders>
            <w:shd w:color="auto" w:fill="F3F3F3" w:val="clear"/>
            <w:vAlign w:val="center"/>
          </w:tcPr>
          <w:p>
            <w:pPr>
              <w:pStyle w:val="Contingutdelataula"/>
              <w:widowControl w:val="false"/>
              <w:jc w:val="center"/>
              <w:rPr>
                <w:rFonts w:ascii="Arial" w:hAnsi="Arial"/>
                <w:color w:val="00000A"/>
                <w:sz w:val="22"/>
                <w:szCs w:val="22"/>
                <w:shd w:fill="auto" w:val="clear"/>
              </w:rPr>
            </w:pPr>
            <w:r>
              <w:rPr>
                <w:color w:val="00000A"/>
                <w:sz w:val="22"/>
                <w:szCs w:val="22"/>
                <w:shd w:fill="auto" w:val="clear"/>
              </w:rPr>
              <w:t>7</w:t>
            </w:r>
          </w:p>
        </w:tc>
        <w:tc>
          <w:tcPr>
            <w:tcW w:w="1965" w:type="dxa"/>
            <w:tcBorders>
              <w:left w:val="single" w:sz="4" w:space="0" w:color="FFFFFF"/>
              <w:bottom w:val="single" w:sz="4" w:space="0" w:color="FFFFFF"/>
              <w:right w:val="single" w:sz="4" w:space="0" w:color="FFFFFF"/>
            </w:tcBorders>
            <w:shd w:color="auto" w:fill="F3F3F3" w:val="clear"/>
            <w:vAlign w:val="center"/>
          </w:tcPr>
          <w:p>
            <w:pPr>
              <w:pStyle w:val="Contingutdelataula"/>
              <w:widowControl w:val="false"/>
              <w:jc w:val="right"/>
              <w:rPr>
                <w:rFonts w:ascii="Arial" w:hAnsi="Arial"/>
                <w:color w:val="00000A"/>
                <w:sz w:val="22"/>
                <w:szCs w:val="22"/>
                <w:shd w:fill="auto" w:val="clear"/>
              </w:rPr>
            </w:pPr>
            <w:r>
              <w:rPr>
                <w:color w:val="00000A"/>
                <w:sz w:val="22"/>
                <w:szCs w:val="22"/>
                <w:shd w:fill="auto" w:val="clear"/>
              </w:rPr>
              <w:t>665.088,12 €</w:t>
            </w:r>
          </w:p>
        </w:tc>
      </w:tr>
      <w:tr>
        <w:trPr/>
        <w:tc>
          <w:tcPr>
            <w:tcW w:w="2038" w:type="dxa"/>
            <w:tcBorders>
              <w:top w:val="single" w:sz="4" w:space="0" w:color="FFFFFF"/>
              <w:left w:val="single" w:sz="4" w:space="0" w:color="FFFFFF"/>
              <w:bottom w:val="single" w:sz="4" w:space="0" w:color="FFFFFF"/>
            </w:tcBorders>
            <w:shd w:color="auto" w:fill="F3F3F3" w:val="clear"/>
            <w:vAlign w:val="center"/>
          </w:tcPr>
          <w:p>
            <w:pPr>
              <w:pStyle w:val="Normal"/>
              <w:widowControl w:val="false"/>
              <w:jc w:val="center"/>
              <w:rPr>
                <w:rFonts w:ascii="Arial" w:hAnsi="Arial"/>
                <w:color w:val="000000"/>
                <w:sz w:val="22"/>
                <w:szCs w:val="22"/>
                <w:shd w:fill="auto" w:val="clear"/>
              </w:rPr>
            </w:pPr>
            <w:r>
              <w:rPr>
                <w:color w:val="000000"/>
                <w:sz w:val="22"/>
                <w:szCs w:val="22"/>
                <w:shd w:fill="auto" w:val="clear"/>
              </w:rPr>
              <w:t>Total, IVA exclòs</w:t>
            </w:r>
          </w:p>
        </w:tc>
        <w:tc>
          <w:tcPr>
            <w:tcW w:w="1283" w:type="dxa"/>
            <w:tcBorders>
              <w:top w:val="single" w:sz="4" w:space="0" w:color="FFFFFF"/>
              <w:left w:val="single" w:sz="4" w:space="0" w:color="FFFFFF"/>
              <w:bottom w:val="single" w:sz="4" w:space="0" w:color="FFFFFF"/>
            </w:tcBorders>
            <w:shd w:color="auto" w:fill="F3F3F3" w:val="clear"/>
            <w:vAlign w:val="bottom"/>
          </w:tcPr>
          <w:p>
            <w:pPr>
              <w:pStyle w:val="Contingutdelataula"/>
              <w:widowControl w:val="false"/>
              <w:rPr>
                <w:rFonts w:ascii="Arial" w:hAnsi="Arial"/>
                <w:color w:val="00000A"/>
                <w:sz w:val="22"/>
                <w:szCs w:val="22"/>
                <w:shd w:fill="auto" w:val="clear"/>
              </w:rPr>
            </w:pPr>
            <w:r>
              <w:rPr>
                <w:color w:val="00000A"/>
                <w:sz w:val="22"/>
                <w:szCs w:val="22"/>
                <w:shd w:fill="auto" w:val="clear"/>
              </w:rPr>
            </w:r>
          </w:p>
        </w:tc>
        <w:tc>
          <w:tcPr>
            <w:tcW w:w="1849"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right"/>
              <w:rPr>
                <w:rFonts w:ascii="Arial" w:hAnsi="Arial"/>
                <w:color w:val="00000A"/>
                <w:sz w:val="22"/>
                <w:szCs w:val="22"/>
                <w:shd w:fill="auto" w:val="clear"/>
              </w:rPr>
            </w:pPr>
            <w:r>
              <w:rPr>
                <w:color w:val="00000A"/>
                <w:sz w:val="22"/>
                <w:szCs w:val="22"/>
                <w:shd w:fill="auto" w:val="clear"/>
              </w:rPr>
              <w:t>1.894.418,40 €</w:t>
            </w:r>
          </w:p>
        </w:tc>
        <w:tc>
          <w:tcPr>
            <w:tcW w:w="1700"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rPr>
                <w:rFonts w:ascii="Arial" w:hAnsi="Arial"/>
                <w:color w:val="00000A"/>
                <w:sz w:val="22"/>
                <w:szCs w:val="22"/>
                <w:shd w:fill="auto" w:val="clear"/>
              </w:rPr>
            </w:pPr>
            <w:r>
              <w:rPr>
                <w:color w:val="00000A"/>
                <w:sz w:val="22"/>
                <w:szCs w:val="22"/>
                <w:shd w:fill="auto" w:val="clear"/>
              </w:rPr>
            </w:r>
          </w:p>
        </w:tc>
        <w:tc>
          <w:tcPr>
            <w:tcW w:w="1965" w:type="dxa"/>
            <w:tcBorders>
              <w:top w:val="single" w:sz="4" w:space="0" w:color="FFFFFF"/>
              <w:left w:val="single" w:sz="4" w:space="0" w:color="FFFFFF"/>
              <w:bottom w:val="single" w:sz="4" w:space="0" w:color="FFFFFF"/>
              <w:right w:val="single" w:sz="4" w:space="0" w:color="FFFFFF"/>
            </w:tcBorders>
            <w:shd w:color="auto" w:fill="F3F3F3" w:val="clear"/>
            <w:vAlign w:val="center"/>
          </w:tcPr>
          <w:p>
            <w:pPr>
              <w:pStyle w:val="Contingutdelataula"/>
              <w:widowControl w:val="false"/>
              <w:jc w:val="right"/>
              <w:rPr>
                <w:rFonts w:ascii="Arial" w:hAnsi="Arial"/>
                <w:color w:val="00000A"/>
                <w:sz w:val="22"/>
                <w:szCs w:val="22"/>
                <w:shd w:fill="auto" w:val="clear"/>
              </w:rPr>
            </w:pPr>
            <w:r>
              <w:rPr>
                <w:color w:val="00000A"/>
                <w:sz w:val="22"/>
                <w:szCs w:val="22"/>
                <w:shd w:fill="auto" w:val="clear"/>
              </w:rPr>
              <w:t>1.894.418,40 €</w:t>
            </w:r>
          </w:p>
        </w:tc>
      </w:tr>
      <w:tr>
        <w:trPr/>
        <w:tc>
          <w:tcPr>
            <w:tcW w:w="2038" w:type="dxa"/>
            <w:tcBorders>
              <w:top w:val="single" w:sz="4" w:space="0" w:color="FFFFFF"/>
              <w:left w:val="single" w:sz="4" w:space="0" w:color="FFFFFF"/>
              <w:bottom w:val="single" w:sz="4" w:space="0" w:color="FFFFFF"/>
            </w:tcBorders>
            <w:shd w:color="auto" w:fill="F3F3F3" w:val="clear"/>
            <w:vAlign w:val="center"/>
          </w:tcPr>
          <w:p>
            <w:pPr>
              <w:pStyle w:val="Normal"/>
              <w:widowControl w:val="false"/>
              <w:jc w:val="center"/>
              <w:rPr>
                <w:rFonts w:ascii="Arial" w:hAnsi="Arial"/>
                <w:color w:val="000000"/>
                <w:sz w:val="22"/>
                <w:szCs w:val="22"/>
                <w:shd w:fill="auto" w:val="clear"/>
              </w:rPr>
            </w:pPr>
            <w:r>
              <w:rPr>
                <w:color w:val="000000"/>
                <w:sz w:val="22"/>
                <w:szCs w:val="22"/>
                <w:shd w:fill="auto" w:val="clear"/>
              </w:rPr>
              <w:t>IVA</w:t>
            </w:r>
          </w:p>
        </w:tc>
        <w:tc>
          <w:tcPr>
            <w:tcW w:w="1283" w:type="dxa"/>
            <w:tcBorders>
              <w:top w:val="single" w:sz="4" w:space="0" w:color="FFFFFF"/>
              <w:left w:val="single" w:sz="4" w:space="0" w:color="FFFFFF"/>
              <w:bottom w:val="single" w:sz="4" w:space="0" w:color="FFFFFF"/>
            </w:tcBorders>
            <w:shd w:color="auto" w:fill="F3F3F3" w:val="clear"/>
            <w:vAlign w:val="bottom"/>
          </w:tcPr>
          <w:p>
            <w:pPr>
              <w:pStyle w:val="Contingutdelataula"/>
              <w:widowControl w:val="false"/>
              <w:jc w:val="right"/>
              <w:rPr>
                <w:rFonts w:ascii="Arial" w:hAnsi="Arial"/>
                <w:color w:val="00000A"/>
                <w:sz w:val="22"/>
                <w:szCs w:val="22"/>
                <w:shd w:fill="auto" w:val="clear"/>
              </w:rPr>
            </w:pPr>
            <w:r>
              <w:rPr>
                <w:color w:val="00000A"/>
                <w:sz w:val="22"/>
                <w:szCs w:val="22"/>
                <w:shd w:fill="auto" w:val="clear"/>
              </w:rPr>
              <w:t>10,00 %</w:t>
            </w:r>
          </w:p>
        </w:tc>
        <w:tc>
          <w:tcPr>
            <w:tcW w:w="1849"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right"/>
              <w:rPr>
                <w:rFonts w:ascii="Arial" w:hAnsi="Arial"/>
                <w:color w:val="00000A"/>
                <w:sz w:val="22"/>
                <w:szCs w:val="22"/>
                <w:shd w:fill="auto" w:val="clear"/>
              </w:rPr>
            </w:pPr>
            <w:r>
              <w:rPr>
                <w:color w:val="00000A"/>
                <w:sz w:val="22"/>
                <w:szCs w:val="22"/>
                <w:shd w:fill="auto" w:val="clear"/>
              </w:rPr>
              <w:t>189.441,84 €</w:t>
            </w:r>
          </w:p>
        </w:tc>
        <w:tc>
          <w:tcPr>
            <w:tcW w:w="1700" w:type="dxa"/>
            <w:tcBorders>
              <w:top w:val="single" w:sz="4" w:space="0" w:color="FFFFFF"/>
              <w:left w:val="single" w:sz="4" w:space="0" w:color="FFFFFF"/>
              <w:bottom w:val="single" w:sz="4" w:space="0" w:color="FFFFFF"/>
            </w:tcBorders>
            <w:shd w:color="auto" w:fill="F3F3F3" w:val="clear"/>
            <w:vAlign w:val="bottom"/>
          </w:tcPr>
          <w:p>
            <w:pPr>
              <w:pStyle w:val="Contingutdelataula"/>
              <w:widowControl w:val="false"/>
              <w:rPr>
                <w:rFonts w:ascii="Arial" w:hAnsi="Arial"/>
                <w:color w:val="00000A"/>
                <w:sz w:val="22"/>
                <w:szCs w:val="22"/>
                <w:shd w:fill="auto" w:val="clear"/>
              </w:rPr>
            </w:pPr>
            <w:r>
              <w:rPr>
                <w:color w:val="00000A"/>
                <w:sz w:val="22"/>
                <w:szCs w:val="22"/>
                <w:shd w:fill="auto" w:val="clear"/>
              </w:rPr>
            </w:r>
          </w:p>
        </w:tc>
        <w:tc>
          <w:tcPr>
            <w:tcW w:w="1965" w:type="dxa"/>
            <w:tcBorders>
              <w:top w:val="single" w:sz="4" w:space="0" w:color="FFFFFF"/>
              <w:left w:val="single" w:sz="4" w:space="0" w:color="FFFFFF"/>
              <w:bottom w:val="single" w:sz="4" w:space="0" w:color="FFFFFF"/>
              <w:right w:val="single" w:sz="4" w:space="0" w:color="FFFFFF"/>
            </w:tcBorders>
            <w:shd w:color="auto" w:fill="F3F3F3" w:val="clear"/>
            <w:vAlign w:val="bottom"/>
          </w:tcPr>
          <w:p>
            <w:pPr>
              <w:pStyle w:val="Contingutdelataula"/>
              <w:widowControl w:val="false"/>
              <w:rPr>
                <w:rFonts w:ascii="Arial" w:hAnsi="Arial"/>
                <w:color w:val="00000A"/>
                <w:sz w:val="22"/>
                <w:szCs w:val="22"/>
                <w:shd w:fill="auto" w:val="clear"/>
              </w:rPr>
            </w:pPr>
            <w:r>
              <w:rPr>
                <w:color w:val="00000A"/>
                <w:sz w:val="22"/>
                <w:szCs w:val="22"/>
                <w:shd w:fill="auto" w:val="clear"/>
              </w:rPr>
            </w:r>
          </w:p>
        </w:tc>
      </w:tr>
      <w:tr>
        <w:trPr/>
        <w:tc>
          <w:tcPr>
            <w:tcW w:w="2038" w:type="dxa"/>
            <w:tcBorders>
              <w:top w:val="single" w:sz="4" w:space="0" w:color="FFFFFF"/>
              <w:left w:val="single" w:sz="4" w:space="0" w:color="FFFFFF"/>
              <w:bottom w:val="single" w:sz="4" w:space="0" w:color="FFFFFF"/>
            </w:tcBorders>
            <w:shd w:color="auto" w:fill="F3F3F3" w:val="clear"/>
            <w:vAlign w:val="center"/>
          </w:tcPr>
          <w:p>
            <w:pPr>
              <w:pStyle w:val="Normal"/>
              <w:widowControl w:val="false"/>
              <w:jc w:val="center"/>
              <w:rPr>
                <w:rFonts w:ascii="Arial" w:hAnsi="Arial"/>
                <w:color w:val="000000"/>
                <w:sz w:val="22"/>
                <w:szCs w:val="22"/>
                <w:shd w:fill="auto" w:val="clear"/>
              </w:rPr>
            </w:pPr>
            <w:r>
              <w:rPr>
                <w:color w:val="000000"/>
                <w:sz w:val="22"/>
                <w:szCs w:val="22"/>
                <w:shd w:fill="auto" w:val="clear"/>
              </w:rPr>
              <w:t>Total, IVA inclòs</w:t>
            </w:r>
          </w:p>
        </w:tc>
        <w:tc>
          <w:tcPr>
            <w:tcW w:w="1283" w:type="dxa"/>
            <w:tcBorders>
              <w:top w:val="single" w:sz="4" w:space="0" w:color="FFFFFF"/>
              <w:left w:val="single" w:sz="4" w:space="0" w:color="FFFFFF"/>
              <w:bottom w:val="single" w:sz="4" w:space="0" w:color="FFFFFF"/>
            </w:tcBorders>
            <w:shd w:color="auto" w:fill="F3F3F3" w:val="clear"/>
            <w:vAlign w:val="bottom"/>
          </w:tcPr>
          <w:p>
            <w:pPr>
              <w:pStyle w:val="Contingutdelataula"/>
              <w:widowControl w:val="false"/>
              <w:rPr>
                <w:rFonts w:ascii="Arial" w:hAnsi="Arial"/>
                <w:color w:val="00000A"/>
                <w:sz w:val="22"/>
                <w:szCs w:val="22"/>
                <w:shd w:fill="auto" w:val="clear"/>
              </w:rPr>
            </w:pPr>
            <w:r>
              <w:rPr>
                <w:color w:val="00000A"/>
                <w:sz w:val="22"/>
                <w:szCs w:val="22"/>
                <w:shd w:fill="auto" w:val="clear"/>
              </w:rPr>
            </w:r>
          </w:p>
        </w:tc>
        <w:tc>
          <w:tcPr>
            <w:tcW w:w="1849"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right"/>
              <w:rPr>
                <w:rFonts w:ascii="Arial" w:hAnsi="Arial"/>
                <w:color w:val="00000A"/>
                <w:sz w:val="22"/>
                <w:szCs w:val="22"/>
                <w:shd w:fill="auto" w:val="clear"/>
              </w:rPr>
            </w:pPr>
            <w:r>
              <w:rPr>
                <w:color w:val="00000A"/>
                <w:sz w:val="22"/>
                <w:szCs w:val="22"/>
                <w:shd w:fill="auto" w:val="clear"/>
              </w:rPr>
              <w:t>2.083.860,24 €</w:t>
            </w:r>
          </w:p>
        </w:tc>
        <w:tc>
          <w:tcPr>
            <w:tcW w:w="1700" w:type="dxa"/>
            <w:tcBorders>
              <w:top w:val="single" w:sz="4" w:space="0" w:color="FFFFFF"/>
              <w:left w:val="single" w:sz="4" w:space="0" w:color="FFFFFF"/>
              <w:bottom w:val="single" w:sz="4" w:space="0" w:color="FFFFFF"/>
            </w:tcBorders>
            <w:shd w:color="auto" w:fill="F3F3F3" w:val="clear"/>
            <w:vAlign w:val="bottom"/>
          </w:tcPr>
          <w:p>
            <w:pPr>
              <w:pStyle w:val="Contingutdelataula"/>
              <w:widowControl w:val="false"/>
              <w:rPr>
                <w:rFonts w:ascii="Arial" w:hAnsi="Arial"/>
                <w:color w:val="00000A"/>
                <w:sz w:val="22"/>
                <w:szCs w:val="22"/>
                <w:shd w:fill="auto" w:val="clear"/>
              </w:rPr>
            </w:pPr>
            <w:r>
              <w:rPr>
                <w:color w:val="00000A"/>
                <w:sz w:val="22"/>
                <w:szCs w:val="22"/>
                <w:shd w:fill="auto" w:val="clear"/>
              </w:rPr>
            </w:r>
          </w:p>
        </w:tc>
        <w:tc>
          <w:tcPr>
            <w:tcW w:w="1965" w:type="dxa"/>
            <w:tcBorders>
              <w:top w:val="single" w:sz="4" w:space="0" w:color="FFFFFF"/>
              <w:left w:val="single" w:sz="4" w:space="0" w:color="FFFFFF"/>
              <w:bottom w:val="single" w:sz="4" w:space="0" w:color="FFFFFF"/>
              <w:right w:val="single" w:sz="4" w:space="0" w:color="FFFFFF"/>
            </w:tcBorders>
            <w:shd w:color="auto" w:fill="F3F3F3" w:val="clear"/>
            <w:vAlign w:val="bottom"/>
          </w:tcPr>
          <w:p>
            <w:pPr>
              <w:pStyle w:val="Contingutdelataula"/>
              <w:widowControl w:val="false"/>
              <w:rPr>
                <w:rFonts w:ascii="Arial" w:hAnsi="Arial"/>
                <w:color w:val="00000A"/>
                <w:sz w:val="22"/>
                <w:szCs w:val="22"/>
                <w:shd w:fill="auto" w:val="clear"/>
              </w:rPr>
            </w:pPr>
            <w:r>
              <w:rPr>
                <w:color w:val="00000A"/>
                <w:sz w:val="22"/>
                <w:szCs w:val="22"/>
                <w:shd w:fill="auto" w:val="clear"/>
              </w:rPr>
            </w:r>
          </w:p>
        </w:tc>
      </w:tr>
    </w:tbl>
    <w:p>
      <w:pPr>
        <w:pStyle w:val="Normal"/>
        <w:spacing w:before="0" w:after="120"/>
        <w:jc w:val="both"/>
        <w:rPr/>
      </w:pPr>
      <w:r>
        <w:rPr/>
      </w:r>
    </w:p>
    <w:p>
      <w:pPr>
        <w:pStyle w:val="Normal"/>
        <w:jc w:val="both"/>
        <w:rPr>
          <w:sz w:val="22"/>
          <w:szCs w:val="22"/>
        </w:rPr>
      </w:pPr>
      <w:r>
        <w:rPr>
          <w:sz w:val="22"/>
          <w:szCs w:val="22"/>
        </w:rPr>
        <w:t xml:space="preserve">El pressupost base de licitació es desglossa de la manera següent: </w:t>
      </w:r>
    </w:p>
    <w:p>
      <w:pPr>
        <w:pStyle w:val="Normal"/>
        <w:jc w:val="both"/>
        <w:rPr>
          <w:sz w:val="22"/>
          <w:szCs w:val="22"/>
        </w:rPr>
      </w:pPr>
      <w:r>
        <w:rPr>
          <w:sz w:val="22"/>
          <w:szCs w:val="22"/>
        </w:rPr>
      </w:r>
    </w:p>
    <w:tbl>
      <w:tblPr>
        <w:tblW w:w="8725" w:type="dxa"/>
        <w:jc w:val="left"/>
        <w:tblInd w:w="168" w:type="dxa"/>
        <w:tblLayout w:type="fixed"/>
        <w:tblCellMar>
          <w:top w:w="85" w:type="dxa"/>
          <w:left w:w="85" w:type="dxa"/>
          <w:bottom w:w="85" w:type="dxa"/>
          <w:right w:w="85" w:type="dxa"/>
        </w:tblCellMar>
        <w:tblLook w:val="01e0"/>
      </w:tblPr>
      <w:tblGrid>
        <w:gridCol w:w="6638"/>
        <w:gridCol w:w="2086"/>
      </w:tblGrid>
      <w:tr>
        <w:trPr>
          <w:trHeight w:val="373" w:hRule="atLeast"/>
        </w:trPr>
        <w:tc>
          <w:tcPr>
            <w:tcW w:w="6638" w:type="dxa"/>
            <w:tcBorders>
              <w:top w:val="single" w:sz="4" w:space="0" w:color="FFFFFF"/>
              <w:left w:val="single" w:sz="4" w:space="0" w:color="FFFFFF"/>
              <w:bottom w:val="single" w:sz="4" w:space="0" w:color="FFFFFF"/>
            </w:tcBorders>
            <w:shd w:color="auto" w:fill="F2F2F2" w:val="clear"/>
          </w:tcPr>
          <w:p>
            <w:pPr>
              <w:pStyle w:val="TableParagraph"/>
              <w:widowControl w:val="false"/>
              <w:spacing w:before="59" w:after="0"/>
              <w:rPr>
                <w:rFonts w:ascii="Arial" w:hAnsi="Arial"/>
                <w:sz w:val="22"/>
                <w:szCs w:val="22"/>
              </w:rPr>
            </w:pPr>
            <w:r>
              <w:rPr>
                <w:rFonts w:ascii="Arial" w:hAnsi="Arial"/>
                <w:sz w:val="22"/>
                <w:szCs w:val="22"/>
              </w:rPr>
              <w:t>Costos directes</w:t>
            </w:r>
          </w:p>
        </w:tc>
        <w:tc>
          <w:tcPr>
            <w:tcW w:w="2086" w:type="dxa"/>
            <w:tcBorders>
              <w:top w:val="single" w:sz="4" w:space="0" w:color="FFFFFF"/>
              <w:left w:val="single" w:sz="4" w:space="0" w:color="FFFFFF"/>
              <w:bottom w:val="single" w:sz="4" w:space="0" w:color="FFFFFF"/>
              <w:right w:val="single" w:sz="4" w:space="0" w:color="FFFFFF"/>
            </w:tcBorders>
            <w:shd w:color="auto" w:fill="F2F2F2" w:val="clear"/>
          </w:tcPr>
          <w:p>
            <w:pPr>
              <w:pStyle w:val="TableParagraph"/>
              <w:widowControl w:val="false"/>
              <w:spacing w:before="59" w:after="0"/>
              <w:jc w:val="right"/>
              <w:rPr>
                <w:rFonts w:ascii="Arial" w:hAnsi="Arial"/>
                <w:sz w:val="22"/>
                <w:szCs w:val="22"/>
              </w:rPr>
            </w:pPr>
            <w:r>
              <w:rPr>
                <w:rFonts w:ascii="Arial" w:hAnsi="Arial"/>
                <w:sz w:val="22"/>
                <w:szCs w:val="22"/>
              </w:rPr>
              <w:t>1.799,697,48 €</w:t>
            </w:r>
          </w:p>
        </w:tc>
      </w:tr>
      <w:tr>
        <w:trPr>
          <w:trHeight w:val="371" w:hRule="atLeast"/>
        </w:trPr>
        <w:tc>
          <w:tcPr>
            <w:tcW w:w="6638" w:type="dxa"/>
            <w:tcBorders>
              <w:left w:val="single" w:sz="4" w:space="0" w:color="FFFFFF"/>
              <w:bottom w:val="single" w:sz="4" w:space="0" w:color="FFFFFF"/>
            </w:tcBorders>
            <w:shd w:color="auto" w:fill="F2F2F2" w:val="clear"/>
          </w:tcPr>
          <w:p>
            <w:pPr>
              <w:pStyle w:val="TableParagraph"/>
              <w:widowControl w:val="false"/>
              <w:spacing w:before="59" w:after="0"/>
              <w:rPr>
                <w:rFonts w:ascii="Arial" w:hAnsi="Arial"/>
                <w:sz w:val="22"/>
                <w:szCs w:val="22"/>
              </w:rPr>
            </w:pPr>
            <w:r>
              <w:rPr>
                <w:rFonts w:ascii="Arial" w:hAnsi="Arial"/>
                <w:sz w:val="22"/>
                <w:szCs w:val="22"/>
              </w:rPr>
              <w:t>Costos indirectes</w:t>
            </w:r>
          </w:p>
        </w:tc>
        <w:tc>
          <w:tcPr>
            <w:tcW w:w="2086" w:type="dxa"/>
            <w:tcBorders>
              <w:left w:val="single" w:sz="4" w:space="0" w:color="FFFFFF"/>
              <w:bottom w:val="single" w:sz="4" w:space="0" w:color="FFFFFF"/>
              <w:right w:val="single" w:sz="4" w:space="0" w:color="FFFFFF"/>
            </w:tcBorders>
            <w:shd w:color="auto" w:fill="F2F2F2" w:val="clear"/>
          </w:tcPr>
          <w:p>
            <w:pPr>
              <w:pStyle w:val="TableParagraph"/>
              <w:widowControl w:val="false"/>
              <w:spacing w:before="59" w:after="0"/>
              <w:jc w:val="right"/>
              <w:rPr>
                <w:rFonts w:ascii="Arial" w:hAnsi="Arial"/>
                <w:sz w:val="22"/>
                <w:szCs w:val="22"/>
              </w:rPr>
            </w:pPr>
            <w:r>
              <w:rPr>
                <w:rFonts w:ascii="Arial" w:hAnsi="Arial"/>
                <w:sz w:val="22"/>
                <w:szCs w:val="22"/>
              </w:rPr>
              <w:t>94.720,92 €</w:t>
            </w:r>
          </w:p>
        </w:tc>
      </w:tr>
      <w:tr>
        <w:trPr>
          <w:trHeight w:val="373" w:hRule="atLeast"/>
        </w:trPr>
        <w:tc>
          <w:tcPr>
            <w:tcW w:w="6638" w:type="dxa"/>
            <w:tcBorders>
              <w:left w:val="single" w:sz="4" w:space="0" w:color="FFFFFF"/>
            </w:tcBorders>
            <w:shd w:color="auto" w:fill="F2F2F2" w:val="clear"/>
          </w:tcPr>
          <w:p>
            <w:pPr>
              <w:pStyle w:val="TableParagraph"/>
              <w:widowControl w:val="false"/>
              <w:spacing w:before="59" w:after="0"/>
              <w:rPr>
                <w:rFonts w:ascii="Arial" w:hAnsi="Arial"/>
                <w:sz w:val="22"/>
                <w:szCs w:val="22"/>
              </w:rPr>
            </w:pPr>
            <w:r>
              <w:rPr>
                <w:rFonts w:ascii="Arial" w:hAnsi="Arial"/>
                <w:sz w:val="22"/>
                <w:szCs w:val="22"/>
              </w:rPr>
              <w:t>Total</w:t>
            </w:r>
          </w:p>
        </w:tc>
        <w:tc>
          <w:tcPr>
            <w:tcW w:w="2086" w:type="dxa"/>
            <w:tcBorders>
              <w:left w:val="single" w:sz="4" w:space="0" w:color="FFFFFF"/>
              <w:right w:val="single" w:sz="4" w:space="0" w:color="FFFFFF"/>
            </w:tcBorders>
            <w:shd w:color="auto" w:fill="F2F2F2" w:val="clear"/>
          </w:tcPr>
          <w:p>
            <w:pPr>
              <w:pStyle w:val="TableParagraph"/>
              <w:widowControl w:val="false"/>
              <w:spacing w:before="59" w:after="0"/>
              <w:jc w:val="right"/>
              <w:rPr>
                <w:rFonts w:ascii="Arial" w:hAnsi="Arial"/>
                <w:sz w:val="22"/>
                <w:szCs w:val="22"/>
              </w:rPr>
            </w:pPr>
            <w:r>
              <w:rPr>
                <w:rFonts w:ascii="Arial" w:hAnsi="Arial"/>
                <w:sz w:val="22"/>
                <w:szCs w:val="22"/>
              </w:rPr>
              <w:t>1.894.418,40 €</w:t>
            </w:r>
          </w:p>
        </w:tc>
      </w:tr>
    </w:tbl>
    <w:p>
      <w:pPr>
        <w:pStyle w:val="Normal"/>
        <w:rPr>
          <w:sz w:val="22"/>
          <w:szCs w:val="22"/>
        </w:rPr>
      </w:pPr>
      <w:r>
        <w:rPr>
          <w:sz w:val="22"/>
          <w:szCs w:val="22"/>
        </w:rPr>
      </w:r>
    </w:p>
    <w:p>
      <w:pPr>
        <w:pStyle w:val="Cosdeltext"/>
        <w:jc w:val="both"/>
        <w:rPr>
          <w:rFonts w:ascii="Arial" w:hAnsi="Arial"/>
          <w:sz w:val="22"/>
          <w:szCs w:val="22"/>
        </w:rPr>
      </w:pPr>
      <w:r>
        <w:rPr>
          <w:rFonts w:ascii="Arial" w:hAnsi="Arial"/>
          <w:sz w:val="22"/>
          <w:szCs w:val="22"/>
        </w:rPr>
        <w:t>El preu del contracte es formula en termes de preus unitaris referits al preu del menú.</w:t>
      </w:r>
    </w:p>
    <w:p>
      <w:pPr>
        <w:pStyle w:val="Cosdeltext"/>
        <w:jc w:val="both"/>
        <w:rPr>
          <w:rFonts w:ascii="Arial" w:hAnsi="Arial"/>
          <w:sz w:val="22"/>
          <w:szCs w:val="22"/>
        </w:rPr>
      </w:pPr>
      <w:r>
        <w:rPr>
          <w:rFonts w:ascii="Arial" w:hAnsi="Arial"/>
          <w:sz w:val="22"/>
          <w:szCs w:val="22"/>
        </w:rPr>
      </w:r>
    </w:p>
    <w:p>
      <w:pPr>
        <w:pStyle w:val="Cosdeltext"/>
        <w:jc w:val="both"/>
        <w:rPr>
          <w:rFonts w:ascii="Arial" w:hAnsi="Arial" w:eastAsia="SimSun;宋体" w:cs="Times New Roman"/>
          <w:color w:val="00000A"/>
          <w:sz w:val="22"/>
          <w:szCs w:val="22"/>
          <w:lang w:val="es-ES" w:eastAsia="zh-CN"/>
        </w:rPr>
      </w:pPr>
      <w:r>
        <w:rPr>
          <w:rFonts w:eastAsia="SimSun;宋体" w:cs="Times New Roman" w:ascii="Arial" w:hAnsi="Arial"/>
          <w:color w:val="00000A"/>
          <w:sz w:val="22"/>
          <w:szCs w:val="22"/>
          <w:lang w:val="es-ES" w:eastAsia="zh-CN"/>
        </w:rPr>
        <w:t>El preu de cada servei s'ha calculat en base a les indicacions de la RESOLUCIÓ EDU/448/2024, de 8 de febrer, pel que s'ha fet un estudi de costos basant-se, a grans trets, en la metodologia, els paràmetres i les magnituds proposades pel Departament d’Educació de la Generalitat de Catalunya en el document «Memòria econòmica explicativa de la determinació del preu màxim de la prestació del servei escolar de menjador dels centres educatius de titularitat del Departament d'Educació per al curs 2024-2025» al que se li han inclòs les adaptacions necessàries de les ràtios de personal de cuina en funció de les diferent tipologies d'alumnat.</w:t>
      </w:r>
    </w:p>
    <w:p>
      <w:pPr>
        <w:pStyle w:val="Cosdeltext"/>
        <w:rPr>
          <w:rFonts w:ascii="Arial" w:hAnsi="Arial"/>
          <w:sz w:val="22"/>
          <w:szCs w:val="22"/>
        </w:rPr>
      </w:pPr>
      <w:r>
        <w:rPr>
          <w:rFonts w:ascii="Arial" w:hAnsi="Arial"/>
          <w:sz w:val="22"/>
          <w:szCs w:val="22"/>
        </w:rPr>
      </w:r>
    </w:p>
    <w:p>
      <w:pPr>
        <w:pStyle w:val="Cosdeltext"/>
        <w:rPr>
          <w:rFonts w:ascii="Arial" w:hAnsi="Arial"/>
          <w:sz w:val="22"/>
          <w:szCs w:val="22"/>
        </w:rPr>
      </w:pPr>
      <w:r>
        <w:rPr>
          <w:rFonts w:ascii="Arial" w:hAnsi="Arial"/>
          <w:sz w:val="22"/>
          <w:szCs w:val="22"/>
        </w:rPr>
        <w:t>Un cop fetes les adaptacions necessàries el preu obtingut per a l'elaboració i servei de cada àpat és de 5,43 € abans d'IVA i 5,97 € IVA inclòs. En el següent quadre es detalla el desglòs:</w:t>
      </w:r>
    </w:p>
    <w:p>
      <w:pPr>
        <w:pStyle w:val="Normal"/>
        <w:rPr>
          <w:rFonts w:ascii="Arial" w:hAnsi="Arial"/>
          <w:sz w:val="22"/>
          <w:szCs w:val="22"/>
        </w:rPr>
      </w:pPr>
      <w:r>
        <w:rPr>
          <w:sz w:val="22"/>
          <w:szCs w:val="22"/>
        </w:rPr>
      </w:r>
    </w:p>
    <w:p>
      <w:pPr>
        <w:pStyle w:val="Normal"/>
        <w:rPr>
          <w:sz w:val="22"/>
          <w:szCs w:val="22"/>
        </w:rPr>
      </w:pPr>
      <w:r>
        <w:rPr/>
        <w:drawing>
          <wp:inline distT="0" distB="0" distL="0" distR="0">
            <wp:extent cx="4019550" cy="2179955"/>
            <wp:effectExtent l="0" t="0" r="0" b="0"/>
            <wp:docPr id="1" name="Image 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9" descr=""/>
                    <pic:cNvPicPr>
                      <a:picLocks noChangeAspect="1" noChangeArrowheads="1"/>
                    </pic:cNvPicPr>
                  </pic:nvPicPr>
                  <pic:blipFill>
                    <a:blip r:embed="rId5"/>
                    <a:stretch>
                      <a:fillRect/>
                    </a:stretch>
                  </pic:blipFill>
                  <pic:spPr bwMode="auto">
                    <a:xfrm>
                      <a:off x="0" y="0"/>
                      <a:ext cx="4019550" cy="2179955"/>
                    </a:xfrm>
                    <a:prstGeom prst="rect">
                      <a:avLst/>
                    </a:prstGeom>
                  </pic:spPr>
                </pic:pic>
              </a:graphicData>
            </a:graphic>
          </wp:inline>
        </w:drawing>
      </w:r>
    </w:p>
    <w:p>
      <w:pPr>
        <w:pStyle w:val="Normal"/>
        <w:jc w:val="both"/>
        <w:rPr>
          <w:sz w:val="22"/>
          <w:szCs w:val="22"/>
        </w:rPr>
      </w:pPr>
      <w:r>
        <w:rPr>
          <w:sz w:val="22"/>
          <w:szCs w:val="22"/>
        </w:rPr>
      </w:r>
    </w:p>
    <w:p>
      <w:pPr>
        <w:pStyle w:val="Normal"/>
        <w:jc w:val="both"/>
        <w:rPr>
          <w:sz w:val="22"/>
          <w:szCs w:val="22"/>
        </w:rPr>
      </w:pPr>
      <w:r>
        <w:rPr>
          <w:sz w:val="22"/>
          <w:szCs w:val="22"/>
        </w:rPr>
      </w:r>
    </w:p>
    <w:tbl>
      <w:tblPr>
        <w:tblW w:w="9750" w:type="dxa"/>
        <w:jc w:val="left"/>
        <w:tblInd w:w="40" w:type="dxa"/>
        <w:tblLayout w:type="fixed"/>
        <w:tblCellMar>
          <w:top w:w="57" w:type="dxa"/>
          <w:left w:w="57" w:type="dxa"/>
          <w:bottom w:w="57" w:type="dxa"/>
          <w:right w:w="57" w:type="dxa"/>
        </w:tblCellMar>
        <w:tblLook w:val="01e0"/>
      </w:tblPr>
      <w:tblGrid>
        <w:gridCol w:w="2662"/>
        <w:gridCol w:w="2213"/>
        <w:gridCol w:w="2213"/>
        <w:gridCol w:w="2661"/>
      </w:tblGrid>
      <w:tr>
        <w:trPr>
          <w:trHeight w:val="634" w:hRule="atLeast"/>
        </w:trPr>
        <w:tc>
          <w:tcPr>
            <w:tcW w:w="2662" w:type="dxa"/>
            <w:tcBorders>
              <w:top w:val="single" w:sz="4" w:space="0" w:color="FFFFFF"/>
              <w:left w:val="single" w:sz="4" w:space="0" w:color="FFFFFF"/>
              <w:bottom w:val="single" w:sz="4" w:space="0" w:color="FFFFFF"/>
            </w:tcBorders>
            <w:shd w:fill="EEEEEE" w:val="clear"/>
            <w:vAlign w:val="center"/>
          </w:tcPr>
          <w:p>
            <w:pPr>
              <w:pStyle w:val="TableParagraph"/>
              <w:widowControl w:val="false"/>
              <w:spacing w:before="59" w:after="0"/>
              <w:jc w:val="center"/>
              <w:rPr>
                <w:rFonts w:ascii="Arial" w:hAnsi="Arial"/>
                <w:sz w:val="22"/>
                <w:szCs w:val="22"/>
              </w:rPr>
            </w:pPr>
            <w:r>
              <w:rPr>
                <w:rFonts w:ascii="Arial" w:hAnsi="Arial"/>
                <w:sz w:val="22"/>
                <w:szCs w:val="22"/>
              </w:rPr>
              <w:t>Tipologia</w:t>
            </w:r>
          </w:p>
        </w:tc>
        <w:tc>
          <w:tcPr>
            <w:tcW w:w="2213" w:type="dxa"/>
            <w:tcBorders>
              <w:top w:val="single" w:sz="4" w:space="0" w:color="FFFFFF"/>
              <w:left w:val="single" w:sz="4" w:space="0" w:color="FFFFFF"/>
              <w:bottom w:val="single" w:sz="4" w:space="0" w:color="FFFFFF"/>
            </w:tcBorders>
            <w:shd w:fill="EEEEEE" w:val="clear"/>
            <w:vAlign w:val="center"/>
          </w:tcPr>
          <w:p>
            <w:pPr>
              <w:pStyle w:val="TableParagraph"/>
              <w:widowControl w:val="false"/>
              <w:spacing w:before="59" w:after="0"/>
              <w:jc w:val="center"/>
              <w:rPr>
                <w:rFonts w:ascii="Arial" w:hAnsi="Arial"/>
                <w:sz w:val="22"/>
                <w:szCs w:val="22"/>
              </w:rPr>
            </w:pPr>
            <w:r>
              <w:rPr>
                <w:rFonts w:ascii="Arial" w:hAnsi="Arial"/>
                <w:sz w:val="22"/>
                <w:szCs w:val="22"/>
              </w:rPr>
              <w:t>Preu unitari màxim, exclòs l’IVA</w:t>
            </w:r>
          </w:p>
        </w:tc>
        <w:tc>
          <w:tcPr>
            <w:tcW w:w="2213" w:type="dxa"/>
            <w:tcBorders>
              <w:top w:val="single" w:sz="4" w:space="0" w:color="FFFFFF"/>
              <w:left w:val="single" w:sz="4" w:space="0" w:color="FFFFFF"/>
              <w:bottom w:val="single" w:sz="4" w:space="0" w:color="FFFFFF"/>
            </w:tcBorders>
            <w:shd w:fill="EEEEEE" w:val="clear"/>
            <w:vAlign w:val="center"/>
          </w:tcPr>
          <w:p>
            <w:pPr>
              <w:pStyle w:val="TableParagraph"/>
              <w:widowControl w:val="false"/>
              <w:spacing w:before="59" w:after="0"/>
              <w:jc w:val="center"/>
              <w:rPr>
                <w:rFonts w:ascii="Arial" w:hAnsi="Arial"/>
                <w:sz w:val="22"/>
                <w:szCs w:val="22"/>
              </w:rPr>
            </w:pPr>
            <w:r>
              <w:rPr>
                <w:rFonts w:ascii="Arial" w:hAnsi="Arial"/>
                <w:sz w:val="22"/>
                <w:szCs w:val="22"/>
              </w:rPr>
              <w:t>Unitat estimades</w:t>
            </w:r>
          </w:p>
        </w:tc>
        <w:tc>
          <w:tcPr>
            <w:tcW w:w="2661" w:type="dxa"/>
            <w:tcBorders>
              <w:top w:val="single" w:sz="4" w:space="0" w:color="FFFFFF"/>
              <w:left w:val="single" w:sz="4" w:space="0" w:color="FFFFFF"/>
              <w:bottom w:val="single" w:sz="4" w:space="0" w:color="FFFFFF"/>
              <w:right w:val="single" w:sz="4" w:space="0" w:color="FFFFFF"/>
            </w:tcBorders>
            <w:shd w:fill="EEEEEE" w:val="clear"/>
            <w:vAlign w:val="center"/>
          </w:tcPr>
          <w:p>
            <w:pPr>
              <w:pStyle w:val="TableParagraph"/>
              <w:widowControl w:val="false"/>
              <w:spacing w:before="59" w:after="0"/>
              <w:jc w:val="center"/>
              <w:rPr>
                <w:rFonts w:ascii="Arial" w:hAnsi="Arial"/>
                <w:sz w:val="22"/>
                <w:szCs w:val="22"/>
              </w:rPr>
            </w:pPr>
            <w:r>
              <w:rPr>
                <w:rFonts w:ascii="Arial" w:hAnsi="Arial"/>
                <w:sz w:val="22"/>
                <w:szCs w:val="22"/>
              </w:rPr>
              <w:t>Preu màxim,</w:t>
            </w:r>
          </w:p>
          <w:p>
            <w:pPr>
              <w:pStyle w:val="TableParagraph"/>
              <w:widowControl w:val="false"/>
              <w:jc w:val="center"/>
              <w:rPr>
                <w:rFonts w:ascii="Arial" w:hAnsi="Arial"/>
                <w:sz w:val="22"/>
                <w:szCs w:val="22"/>
              </w:rPr>
            </w:pPr>
            <w:r>
              <w:rPr>
                <w:rFonts w:ascii="Arial" w:hAnsi="Arial"/>
                <w:sz w:val="22"/>
                <w:szCs w:val="22"/>
              </w:rPr>
              <w:t>exclòs l’IVA</w:t>
            </w:r>
          </w:p>
        </w:tc>
      </w:tr>
      <w:tr>
        <w:trPr>
          <w:trHeight w:val="634" w:hRule="atLeast"/>
        </w:trPr>
        <w:tc>
          <w:tcPr>
            <w:tcW w:w="2662" w:type="dxa"/>
            <w:tcBorders>
              <w:left w:val="single" w:sz="4" w:space="0" w:color="FFFFFF"/>
              <w:bottom w:val="single" w:sz="4" w:space="0" w:color="FFFFFF"/>
            </w:tcBorders>
            <w:shd w:fill="EEEEEE" w:val="clear"/>
            <w:vAlign w:val="center"/>
          </w:tcPr>
          <w:p>
            <w:pPr>
              <w:pStyle w:val="TableParagraph"/>
              <w:widowControl w:val="false"/>
              <w:spacing w:before="59" w:after="0"/>
              <w:rPr>
                <w:rFonts w:ascii="Arial" w:hAnsi="Arial"/>
                <w:sz w:val="22"/>
                <w:szCs w:val="22"/>
              </w:rPr>
            </w:pPr>
            <w:r>
              <w:rPr>
                <w:rFonts w:ascii="Arial" w:hAnsi="Arial"/>
                <w:sz w:val="22"/>
                <w:szCs w:val="22"/>
              </w:rPr>
              <w:t>Alumnat</w:t>
            </w:r>
          </w:p>
        </w:tc>
        <w:tc>
          <w:tcPr>
            <w:tcW w:w="2213" w:type="dxa"/>
            <w:tcBorders>
              <w:left w:val="single" w:sz="4" w:space="0" w:color="FFFFFF"/>
              <w:bottom w:val="single" w:sz="4" w:space="0" w:color="FFFFFF"/>
            </w:tcBorders>
            <w:shd w:fill="EEEEEE" w:val="clear"/>
            <w:vAlign w:val="center"/>
          </w:tcPr>
          <w:p>
            <w:pPr>
              <w:pStyle w:val="TableParagraph"/>
              <w:widowControl w:val="false"/>
              <w:spacing w:before="59" w:after="0"/>
              <w:jc w:val="center"/>
              <w:rPr>
                <w:rFonts w:ascii="Arial" w:hAnsi="Arial"/>
                <w:sz w:val="22"/>
                <w:szCs w:val="22"/>
              </w:rPr>
            </w:pPr>
            <w:r>
              <w:rPr>
                <w:rFonts w:ascii="Arial" w:hAnsi="Arial"/>
                <w:sz w:val="22"/>
                <w:szCs w:val="22"/>
              </w:rPr>
              <w:t>5,43</w:t>
            </w:r>
          </w:p>
        </w:tc>
        <w:tc>
          <w:tcPr>
            <w:tcW w:w="2213" w:type="dxa"/>
            <w:tcBorders>
              <w:left w:val="single" w:sz="4" w:space="0" w:color="FFFFFF"/>
              <w:bottom w:val="single" w:sz="4" w:space="0" w:color="FFFFFF"/>
            </w:tcBorders>
            <w:shd w:fill="EEEEEE" w:val="clear"/>
            <w:vAlign w:val="center"/>
          </w:tcPr>
          <w:p>
            <w:pPr>
              <w:pStyle w:val="TableParagraph"/>
              <w:widowControl w:val="false"/>
              <w:spacing w:before="59" w:after="0"/>
              <w:jc w:val="center"/>
              <w:rPr>
                <w:rFonts w:ascii="Arial" w:hAnsi="Arial"/>
                <w:sz w:val="22"/>
                <w:szCs w:val="22"/>
              </w:rPr>
            </w:pPr>
            <w:r>
              <w:rPr>
                <w:rFonts w:ascii="Arial" w:hAnsi="Arial"/>
                <w:sz w:val="22"/>
                <w:szCs w:val="22"/>
              </w:rPr>
              <w:t>306.872</w:t>
            </w:r>
          </w:p>
        </w:tc>
        <w:tc>
          <w:tcPr>
            <w:tcW w:w="2661" w:type="dxa"/>
            <w:tcBorders>
              <w:left w:val="single" w:sz="4" w:space="0" w:color="FFFFFF"/>
              <w:bottom w:val="single" w:sz="4" w:space="0" w:color="FFFFFF"/>
              <w:right w:val="single" w:sz="4" w:space="0" w:color="FFFFFF"/>
            </w:tcBorders>
            <w:shd w:fill="EEEEEE" w:val="clear"/>
            <w:vAlign w:val="center"/>
          </w:tcPr>
          <w:p>
            <w:pPr>
              <w:pStyle w:val="TableParagraph"/>
              <w:widowControl w:val="false"/>
              <w:spacing w:before="59" w:after="0"/>
              <w:jc w:val="right"/>
              <w:rPr>
                <w:rFonts w:ascii="Arial" w:hAnsi="Arial"/>
                <w:sz w:val="22"/>
                <w:szCs w:val="22"/>
              </w:rPr>
            </w:pPr>
            <w:r>
              <w:rPr>
                <w:rFonts w:ascii="Arial" w:hAnsi="Arial"/>
                <w:sz w:val="22"/>
                <w:szCs w:val="22"/>
              </w:rPr>
              <w:t>1.666.314,96 €</w:t>
            </w:r>
          </w:p>
        </w:tc>
      </w:tr>
      <w:tr>
        <w:trPr>
          <w:trHeight w:val="634" w:hRule="atLeast"/>
        </w:trPr>
        <w:tc>
          <w:tcPr>
            <w:tcW w:w="2662" w:type="dxa"/>
            <w:tcBorders>
              <w:left w:val="single" w:sz="4" w:space="0" w:color="FFFFFF"/>
              <w:bottom w:val="single" w:sz="4" w:space="0" w:color="FFFFFF"/>
            </w:tcBorders>
            <w:shd w:fill="EEEEEE" w:val="clear"/>
            <w:vAlign w:val="center"/>
          </w:tcPr>
          <w:p>
            <w:pPr>
              <w:pStyle w:val="TableParagraph"/>
              <w:widowControl w:val="false"/>
              <w:spacing w:before="59" w:after="0"/>
              <w:rPr>
                <w:rFonts w:ascii="Arial" w:hAnsi="Arial"/>
                <w:sz w:val="22"/>
                <w:szCs w:val="22"/>
              </w:rPr>
            </w:pPr>
            <w:r>
              <w:rPr>
                <w:rFonts w:ascii="Arial" w:hAnsi="Arial"/>
                <w:sz w:val="22"/>
                <w:szCs w:val="22"/>
              </w:rPr>
              <w:t>Personal PAS</w:t>
            </w:r>
          </w:p>
        </w:tc>
        <w:tc>
          <w:tcPr>
            <w:tcW w:w="2213" w:type="dxa"/>
            <w:tcBorders>
              <w:left w:val="single" w:sz="4" w:space="0" w:color="FFFFFF"/>
              <w:bottom w:val="single" w:sz="4" w:space="0" w:color="FFFFFF"/>
            </w:tcBorders>
            <w:shd w:fill="EEEEEE" w:val="clear"/>
            <w:vAlign w:val="center"/>
          </w:tcPr>
          <w:p>
            <w:pPr>
              <w:pStyle w:val="TableParagraph"/>
              <w:widowControl w:val="false"/>
              <w:spacing w:before="59" w:after="0"/>
              <w:jc w:val="center"/>
              <w:rPr>
                <w:rFonts w:ascii="Arial" w:hAnsi="Arial"/>
                <w:sz w:val="22"/>
                <w:szCs w:val="22"/>
              </w:rPr>
            </w:pPr>
            <w:r>
              <w:rPr>
                <w:rFonts w:ascii="Arial" w:hAnsi="Arial"/>
                <w:sz w:val="22"/>
                <w:szCs w:val="22"/>
              </w:rPr>
              <w:t>5,43</w:t>
            </w:r>
          </w:p>
        </w:tc>
        <w:tc>
          <w:tcPr>
            <w:tcW w:w="2213" w:type="dxa"/>
            <w:tcBorders>
              <w:left w:val="single" w:sz="4" w:space="0" w:color="FFFFFF"/>
              <w:bottom w:val="single" w:sz="4" w:space="0" w:color="FFFFFF"/>
            </w:tcBorders>
            <w:shd w:fill="EEEEEE" w:val="clear"/>
            <w:vAlign w:val="center"/>
          </w:tcPr>
          <w:p>
            <w:pPr>
              <w:pStyle w:val="TableParagraph"/>
              <w:widowControl w:val="false"/>
              <w:spacing w:before="59" w:after="0"/>
              <w:jc w:val="center"/>
              <w:rPr>
                <w:rFonts w:ascii="Arial" w:hAnsi="Arial"/>
                <w:sz w:val="22"/>
                <w:szCs w:val="22"/>
              </w:rPr>
            </w:pPr>
            <w:r>
              <w:rPr>
                <w:rFonts w:ascii="Arial" w:hAnsi="Arial"/>
                <w:sz w:val="22"/>
                <w:szCs w:val="22"/>
              </w:rPr>
              <w:t>42.008</w:t>
            </w:r>
          </w:p>
        </w:tc>
        <w:tc>
          <w:tcPr>
            <w:tcW w:w="2661" w:type="dxa"/>
            <w:tcBorders>
              <w:left w:val="single" w:sz="4" w:space="0" w:color="FFFFFF"/>
              <w:bottom w:val="single" w:sz="4" w:space="0" w:color="FFFFFF"/>
              <w:right w:val="single" w:sz="4" w:space="0" w:color="FFFFFF"/>
            </w:tcBorders>
            <w:shd w:fill="EEEEEE" w:val="clear"/>
            <w:vAlign w:val="center"/>
          </w:tcPr>
          <w:p>
            <w:pPr>
              <w:pStyle w:val="TableParagraph"/>
              <w:widowControl w:val="false"/>
              <w:spacing w:before="59" w:after="0"/>
              <w:jc w:val="right"/>
              <w:rPr>
                <w:rFonts w:ascii="Arial" w:hAnsi="Arial"/>
                <w:sz w:val="22"/>
                <w:szCs w:val="22"/>
              </w:rPr>
            </w:pPr>
            <w:r>
              <w:rPr>
                <w:rFonts w:ascii="Arial" w:hAnsi="Arial"/>
                <w:sz w:val="22"/>
                <w:szCs w:val="22"/>
              </w:rPr>
              <w:t>228.103,44 €</w:t>
            </w:r>
          </w:p>
        </w:tc>
      </w:tr>
      <w:tr>
        <w:trPr>
          <w:trHeight w:val="634" w:hRule="atLeast"/>
        </w:trPr>
        <w:tc>
          <w:tcPr>
            <w:tcW w:w="2662" w:type="dxa"/>
            <w:tcBorders>
              <w:top w:val="single" w:sz="4" w:space="0" w:color="FFFFFF"/>
              <w:left w:val="single" w:sz="4" w:space="0" w:color="FFFFFF"/>
              <w:bottom w:val="single" w:sz="4" w:space="0" w:color="FFFFFF"/>
            </w:tcBorders>
            <w:shd w:fill="EEEEEE" w:val="clear"/>
            <w:vAlign w:val="center"/>
          </w:tcPr>
          <w:p>
            <w:pPr>
              <w:pStyle w:val="TableParagraph"/>
              <w:widowControl w:val="false"/>
              <w:spacing w:before="59" w:after="0"/>
              <w:rPr>
                <w:rFonts w:ascii="Arial" w:hAnsi="Arial"/>
                <w:sz w:val="22"/>
                <w:szCs w:val="22"/>
              </w:rPr>
            </w:pPr>
            <w:r>
              <w:rPr>
                <w:rFonts w:ascii="Arial" w:hAnsi="Arial"/>
                <w:sz w:val="22"/>
                <w:szCs w:val="22"/>
              </w:rPr>
              <w:t>Total</w:t>
            </w:r>
          </w:p>
        </w:tc>
        <w:tc>
          <w:tcPr>
            <w:tcW w:w="2213" w:type="dxa"/>
            <w:tcBorders>
              <w:top w:val="single" w:sz="4" w:space="0" w:color="FFFFFF"/>
              <w:left w:val="single" w:sz="4" w:space="0" w:color="FFFFFF"/>
              <w:bottom w:val="single" w:sz="4" w:space="0" w:color="FFFFFF"/>
            </w:tcBorders>
            <w:shd w:fill="EEEEEE" w:val="clear"/>
            <w:vAlign w:val="center"/>
          </w:tcPr>
          <w:p>
            <w:pPr>
              <w:pStyle w:val="TableParagraph"/>
              <w:widowControl w:val="false"/>
              <w:spacing w:before="59" w:after="0"/>
              <w:jc w:val="center"/>
              <w:rPr>
                <w:rFonts w:ascii="Arial" w:hAnsi="Arial"/>
                <w:sz w:val="22"/>
                <w:szCs w:val="22"/>
              </w:rPr>
            </w:pPr>
            <w:r>
              <w:rPr>
                <w:rFonts w:ascii="Arial" w:hAnsi="Arial"/>
                <w:sz w:val="22"/>
                <w:szCs w:val="22"/>
              </w:rPr>
              <w:t>5,43</w:t>
            </w:r>
          </w:p>
        </w:tc>
        <w:tc>
          <w:tcPr>
            <w:tcW w:w="2213" w:type="dxa"/>
            <w:tcBorders>
              <w:top w:val="single" w:sz="4" w:space="0" w:color="FFFFFF"/>
              <w:left w:val="single" w:sz="4" w:space="0" w:color="FFFFFF"/>
              <w:bottom w:val="single" w:sz="4" w:space="0" w:color="FFFFFF"/>
              <w:right w:val="single" w:sz="4" w:space="0" w:color="FFFFFF"/>
            </w:tcBorders>
            <w:shd w:fill="EEEEEE" w:val="clear"/>
            <w:vAlign w:val="center"/>
          </w:tcPr>
          <w:p>
            <w:pPr>
              <w:pStyle w:val="TableParagraph"/>
              <w:widowControl w:val="false"/>
              <w:spacing w:before="59" w:after="0"/>
              <w:jc w:val="center"/>
              <w:rPr>
                <w:rFonts w:ascii="Arial" w:hAnsi="Arial"/>
                <w:sz w:val="22"/>
                <w:szCs w:val="22"/>
              </w:rPr>
            </w:pPr>
            <w:r>
              <w:rPr>
                <w:rFonts w:ascii="Arial" w:hAnsi="Arial"/>
                <w:sz w:val="22"/>
                <w:szCs w:val="22"/>
              </w:rPr>
              <w:t>348.880</w:t>
            </w:r>
          </w:p>
        </w:tc>
        <w:tc>
          <w:tcPr>
            <w:tcW w:w="2661" w:type="dxa"/>
            <w:tcBorders>
              <w:left w:val="single" w:sz="4" w:space="0" w:color="FFFFFF"/>
              <w:bottom w:val="single" w:sz="4" w:space="0" w:color="FFFFFF"/>
              <w:right w:val="single" w:sz="4" w:space="0" w:color="FFFFFF"/>
            </w:tcBorders>
            <w:shd w:fill="EEEEEE" w:val="clear"/>
            <w:vAlign w:val="center"/>
          </w:tcPr>
          <w:p>
            <w:pPr>
              <w:pStyle w:val="TableParagraph"/>
              <w:widowControl w:val="false"/>
              <w:spacing w:before="59" w:after="0"/>
              <w:jc w:val="right"/>
              <w:rPr>
                <w:rFonts w:ascii="Arial" w:hAnsi="Arial"/>
                <w:sz w:val="22"/>
                <w:szCs w:val="22"/>
              </w:rPr>
            </w:pPr>
            <w:r>
              <w:rPr>
                <w:rFonts w:ascii="Arial" w:hAnsi="Arial"/>
                <w:sz w:val="22"/>
                <w:szCs w:val="22"/>
              </w:rPr>
              <w:t>1.894.418,40 €</w:t>
            </w:r>
          </w:p>
        </w:tc>
      </w:tr>
    </w:tbl>
    <w:p>
      <w:pPr>
        <w:pStyle w:val="Cosdeltext"/>
        <w:jc w:val="both"/>
        <w:rPr>
          <w:sz w:val="22"/>
          <w:szCs w:val="22"/>
        </w:rPr>
      </w:pPr>
      <w:r>
        <w:rPr>
          <w:sz w:val="22"/>
          <w:szCs w:val="22"/>
        </w:rPr>
      </w:r>
    </w:p>
    <w:p>
      <w:pPr>
        <w:pStyle w:val="Cosdeltext"/>
        <w:jc w:val="both"/>
        <w:rPr>
          <w:rFonts w:ascii="Arial" w:hAnsi="Arial"/>
          <w:sz w:val="22"/>
          <w:szCs w:val="22"/>
        </w:rPr>
      </w:pPr>
      <w:r>
        <w:rPr>
          <w:rFonts w:ascii="Arial" w:hAnsi="Arial"/>
          <w:sz w:val="22"/>
          <w:szCs w:val="22"/>
        </w:rPr>
        <w:t>El nombre d’unitats estimades de menús s'ha fet prenent de base els 862 possibles alumnes i les 118 educacdores durant els 356 dies lectius del cursos 2025-2026 i 2026-2027 amb els que s'obté un total previst de 348.880 àpats.</w:t>
      </w:r>
    </w:p>
    <w:p>
      <w:pPr>
        <w:pStyle w:val="Cosdeltext"/>
        <w:rPr>
          <w:lang w:val="es-ES" w:eastAsia="zh-CN"/>
        </w:rPr>
      </w:pPr>
      <w:r>
        <w:rPr>
          <w:lang w:val="es-ES" w:eastAsia="zh-CN"/>
        </w:rPr>
      </w:r>
    </w:p>
    <w:p>
      <w:pPr>
        <w:pStyle w:val="ListParagraph"/>
        <w:numPr>
          <w:ilvl w:val="0"/>
          <w:numId w:val="2"/>
        </w:numPr>
        <w:jc w:val="both"/>
        <w:rPr>
          <w:rFonts w:ascii="Arial" w:hAnsi="Arial"/>
          <w:sz w:val="22"/>
          <w:szCs w:val="22"/>
          <w:lang w:val="es-ES" w:eastAsia="zh-CN"/>
        </w:rPr>
      </w:pPr>
      <w:r>
        <w:rPr>
          <w:rFonts w:ascii="Arial" w:hAnsi="Arial"/>
          <w:sz w:val="22"/>
          <w:szCs w:val="22"/>
          <w:lang w:val="es-ES" w:eastAsia="zh-CN"/>
        </w:rPr>
        <w:t>Escoles bressol: nombre màxim d’alumnes de cada escola als que se’ls pot oferir el servei de menjador, més el nombre màxim de personal docent que pot arribar a fer ús del servei i que inclou personal municipal, FP duals i personal en pràctiques.</w:t>
      </w:r>
    </w:p>
    <w:p>
      <w:pPr>
        <w:pStyle w:val="ListParagraph"/>
        <w:numPr>
          <w:ilvl w:val="0"/>
          <w:numId w:val="2"/>
        </w:numPr>
        <w:jc w:val="both"/>
        <w:rPr>
          <w:rFonts w:ascii="Arial" w:hAnsi="Arial"/>
          <w:sz w:val="22"/>
          <w:szCs w:val="22"/>
          <w:lang w:val="es-ES" w:eastAsia="zh-CN"/>
        </w:rPr>
      </w:pPr>
      <w:r>
        <w:rPr>
          <w:rFonts w:ascii="Arial" w:hAnsi="Arial"/>
          <w:sz w:val="22"/>
          <w:szCs w:val="22"/>
          <w:lang w:val="es-ES" w:eastAsia="zh-CN"/>
        </w:rPr>
      </w:r>
    </w:p>
    <w:p>
      <w:pPr>
        <w:pStyle w:val="ListParagraph"/>
        <w:numPr>
          <w:ilvl w:val="0"/>
          <w:numId w:val="2"/>
        </w:numPr>
        <w:jc w:val="both"/>
        <w:rPr>
          <w:rFonts w:ascii="Arial" w:hAnsi="Arial"/>
          <w:sz w:val="22"/>
          <w:szCs w:val="22"/>
          <w:lang w:val="es-ES" w:eastAsia="zh-CN"/>
        </w:rPr>
      </w:pPr>
      <w:r>
        <w:rPr>
          <w:rFonts w:ascii="Arial" w:hAnsi="Arial"/>
          <w:sz w:val="22"/>
          <w:szCs w:val="22"/>
          <w:lang w:val="es-ES" w:eastAsia="zh-CN"/>
        </w:rPr>
        <w:t>Escoles d’educació especial: nombre màxim d’alumnes que l’escola pot tenir matriculats, atès que tot l’alumnat fa ús del servei de menjador.</w:t>
      </w:r>
    </w:p>
    <w:p>
      <w:pPr>
        <w:pStyle w:val="Cosdeltext"/>
        <w:jc w:val="both"/>
        <w:rPr>
          <w:rFonts w:ascii="Arial" w:hAnsi="Arial"/>
          <w:sz w:val="22"/>
          <w:szCs w:val="22"/>
        </w:rPr>
      </w:pPr>
      <w:r>
        <w:rPr>
          <w:rFonts w:ascii="Arial" w:hAnsi="Arial"/>
          <w:sz w:val="22"/>
          <w:szCs w:val="22"/>
        </w:rPr>
        <w:t>A banda, també podem fer ús del servei menjador escolar, tant de forma habitual com esporàdica, la resta de personal docent, d’administració i de serveis de cada escola. A aquest personal se li aplicarà el preu de l’adjudicació per personal docent i la facturació es farà de la següent forma:</w:t>
      </w:r>
    </w:p>
    <w:p>
      <w:pPr>
        <w:pStyle w:val="Cosdeltext"/>
        <w:jc w:val="both"/>
        <w:rPr>
          <w:rFonts w:ascii="Arial" w:hAnsi="Arial"/>
          <w:sz w:val="22"/>
          <w:szCs w:val="22"/>
        </w:rPr>
      </w:pPr>
      <w:r>
        <w:rPr>
          <w:rFonts w:ascii="Arial" w:hAnsi="Arial"/>
          <w:sz w:val="22"/>
          <w:szCs w:val="22"/>
        </w:rPr>
      </w:r>
    </w:p>
    <w:p>
      <w:pPr>
        <w:pStyle w:val="ListParagraph"/>
        <w:numPr>
          <w:ilvl w:val="0"/>
          <w:numId w:val="3"/>
        </w:numPr>
        <w:jc w:val="both"/>
        <w:rPr>
          <w:rFonts w:ascii="Arial" w:hAnsi="Arial"/>
          <w:sz w:val="22"/>
          <w:szCs w:val="22"/>
        </w:rPr>
      </w:pPr>
      <w:r>
        <w:rPr>
          <w:rFonts w:ascii="Arial" w:hAnsi="Arial"/>
          <w:sz w:val="22"/>
          <w:szCs w:val="22"/>
        </w:rPr>
        <w:t>Escoles bressol: els àpats del personal que fa ús del servei dins del seu horari lectiu es facturaran a l'ajuntament. Pel que fa als àpats del personal que ja ha acabat o està fora del seu horari de treball caldrà facturar-los directament a cada usuari.</w:t>
      </w:r>
    </w:p>
    <w:p>
      <w:pPr>
        <w:pStyle w:val="ListParagraph"/>
        <w:numPr>
          <w:ilvl w:val="0"/>
          <w:numId w:val="3"/>
        </w:numPr>
        <w:jc w:val="both"/>
        <w:rPr>
          <w:rFonts w:ascii="Arial" w:hAnsi="Arial"/>
          <w:sz w:val="22"/>
          <w:szCs w:val="22"/>
        </w:rPr>
      </w:pPr>
      <w:r>
        <w:rPr>
          <w:rFonts w:ascii="Arial" w:hAnsi="Arial"/>
          <w:sz w:val="22"/>
          <w:szCs w:val="22"/>
        </w:rPr>
      </w:r>
    </w:p>
    <w:p>
      <w:pPr>
        <w:pStyle w:val="ListParagraph"/>
        <w:numPr>
          <w:ilvl w:val="0"/>
          <w:numId w:val="3"/>
        </w:numPr>
        <w:jc w:val="both"/>
        <w:rPr>
          <w:rFonts w:ascii="Arial" w:hAnsi="Arial"/>
          <w:sz w:val="22"/>
          <w:szCs w:val="22"/>
        </w:rPr>
      </w:pPr>
      <w:r>
        <w:rPr>
          <w:rFonts w:ascii="Arial" w:hAnsi="Arial"/>
          <w:sz w:val="22"/>
          <w:szCs w:val="22"/>
        </w:rPr>
        <w:t>Escoles d'educació especials: es facturaran directament a cada usuari.</w:t>
      </w:r>
    </w:p>
    <w:p>
      <w:pPr>
        <w:pStyle w:val="Cosdeltext"/>
        <w:jc w:val="both"/>
        <w:rPr>
          <w:rFonts w:ascii="Arial" w:hAnsi="Arial"/>
          <w:sz w:val="22"/>
          <w:szCs w:val="22"/>
        </w:rPr>
      </w:pPr>
      <w:r>
        <w:rPr>
          <w:rFonts w:ascii="Arial" w:hAnsi="Arial"/>
          <w:sz w:val="22"/>
          <w:szCs w:val="22"/>
        </w:rPr>
        <w:t>El present contracte valora l’alumnat, tant de les escoles bressol com de les d’educació especial, i el personal docent que pot arribar a fer ús del servei a càrrec de l’ajuntament. Malgrat això, cal tenir en compte que tot el personal docent de tots els centres poden fer ús del servei i que en aquests casos se’ls  ha de mantenir el preu corresponent al personal/PAS, tant si el càrrec es fa a l'Ajuntament de Terrassa com si es fa directament a la persona usuària.</w:t>
      </w:r>
    </w:p>
    <w:p>
      <w:pPr>
        <w:pStyle w:val="Cosdeltext"/>
        <w:jc w:val="both"/>
        <w:rPr>
          <w:i/>
          <w:i/>
          <w:sz w:val="22"/>
          <w:szCs w:val="22"/>
          <w:highlight w:val="green"/>
        </w:rPr>
      </w:pPr>
      <w:r>
        <w:rPr>
          <w:i/>
          <w:sz w:val="22"/>
          <w:szCs w:val="22"/>
          <w:highlight w:val="green"/>
        </w:rPr>
      </w:r>
    </w:p>
    <w:p>
      <w:pPr>
        <w:pStyle w:val="Normal"/>
        <w:jc w:val="both"/>
        <w:rPr>
          <w:i/>
          <w:i/>
          <w:sz w:val="22"/>
          <w:szCs w:val="22"/>
          <w:highlight w:val="green"/>
        </w:rPr>
      </w:pPr>
      <w:r>
        <w:rPr>
          <w:i/>
          <w:sz w:val="22"/>
          <w:szCs w:val="22"/>
          <w:highlight w:val="green"/>
        </w:rPr>
      </w:r>
    </w:p>
    <w:p>
      <w:pPr>
        <w:pStyle w:val="Normal"/>
        <w:jc w:val="both"/>
        <w:rPr/>
      </w:pPr>
      <w:r>
        <w:rPr>
          <w:b/>
          <w:sz w:val="22"/>
        </w:rPr>
        <w:t>NOVENA.-</w:t>
      </w:r>
      <w:r>
        <w:rPr>
          <w:sz w:val="22"/>
        </w:rPr>
        <w:t xml:space="preserve"> </w:t>
      </w:r>
      <w:r>
        <w:rPr>
          <w:b/>
          <w:sz w:val="22"/>
        </w:rPr>
        <w:t>Modificacions del contracte</w:t>
      </w:r>
    </w:p>
    <w:p>
      <w:pPr>
        <w:pStyle w:val="Normal"/>
        <w:jc w:val="both"/>
        <w:rPr>
          <w:b/>
          <w:b/>
          <w:sz w:val="22"/>
        </w:rPr>
      </w:pPr>
      <w:r>
        <w:rPr>
          <w:b/>
          <w:sz w:val="22"/>
        </w:rPr>
      </w:r>
    </w:p>
    <w:p>
      <w:pPr>
        <w:pStyle w:val="Normal"/>
        <w:jc w:val="both"/>
        <w:rPr>
          <w:shd w:fill="auto" w:val="clear"/>
        </w:rPr>
      </w:pPr>
      <w:r>
        <w:rPr>
          <w:sz w:val="22"/>
          <w:szCs w:val="22"/>
          <w:shd w:fill="auto" w:val="clear"/>
        </w:rPr>
        <w:t>El contracte només es pot modificar per raons d’interès públic, en els casos i en la forma que s’especifiquen en aquesta clàusula i de conformitat amb el que es preveu en els articles 203 a 207 de la LCSP.</w:t>
      </w:r>
    </w:p>
    <w:p>
      <w:pPr>
        <w:pStyle w:val="Normal"/>
        <w:suppressAutoHyphens w:val="false"/>
        <w:jc w:val="both"/>
        <w:rPr>
          <w:shd w:fill="auto" w:val="clear"/>
        </w:rPr>
      </w:pPr>
      <w:r>
        <w:rPr>
          <w:rFonts w:eastAsia="Times New Roman"/>
          <w:sz w:val="22"/>
          <w:szCs w:val="22"/>
          <w:shd w:fill="auto" w:val="clear"/>
        </w:rPr>
        <w:t xml:space="preserve"> </w:t>
      </w:r>
    </w:p>
    <w:p>
      <w:pPr>
        <w:pStyle w:val="Normal"/>
        <w:suppressAutoHyphens w:val="false"/>
        <w:jc w:val="both"/>
        <w:rPr>
          <w:shd w:fill="auto" w:val="clear"/>
        </w:rPr>
      </w:pPr>
      <w:r>
        <w:rPr>
          <w:sz w:val="22"/>
          <w:szCs w:val="22"/>
          <w:u w:val="single"/>
          <w:shd w:fill="auto" w:val="clear"/>
        </w:rPr>
        <w:t>Modificacions previstes:</w:t>
      </w:r>
      <w:r>
        <w:rPr>
          <w:sz w:val="22"/>
          <w:szCs w:val="22"/>
          <w:shd w:fill="auto" w:val="clear"/>
        </w:rPr>
        <w:t xml:space="preserve"> Aquestes modificacions són obligatòries per a l’empresa contractista.</w:t>
      </w:r>
    </w:p>
    <w:p>
      <w:pPr>
        <w:pStyle w:val="Normal"/>
        <w:suppressAutoHyphens w:val="false"/>
        <w:ind w:left="360" w:hanging="0"/>
        <w:rPr>
          <w:sz w:val="22"/>
          <w:szCs w:val="22"/>
          <w:shd w:fill="auto" w:val="clear"/>
        </w:rPr>
      </w:pPr>
      <w:r>
        <w:rPr>
          <w:sz w:val="22"/>
          <w:szCs w:val="22"/>
          <w:shd w:fill="auto" w:val="clear"/>
        </w:rPr>
      </w:r>
    </w:p>
    <w:p>
      <w:pPr>
        <w:pStyle w:val="Normal"/>
        <w:suppressAutoHyphens w:val="false"/>
        <w:jc w:val="both"/>
        <w:rPr>
          <w:shd w:fill="auto" w:val="clear"/>
        </w:rPr>
      </w:pPr>
      <w:r>
        <w:rPr>
          <w:sz w:val="22"/>
          <w:szCs w:val="22"/>
          <w:shd w:fill="auto" w:val="clear"/>
        </w:rPr>
        <w:t>En cap cas la modificació del contracte podrà suposar l’establiment de nous preus unitaris no previstos en el contracte.</w:t>
      </w:r>
    </w:p>
    <w:p>
      <w:pPr>
        <w:pStyle w:val="Normal"/>
        <w:jc w:val="both"/>
        <w:rPr>
          <w:color w:val="000000"/>
          <w:sz w:val="22"/>
          <w:szCs w:val="22"/>
          <w:shd w:fill="auto" w:val="clear"/>
        </w:rPr>
      </w:pPr>
      <w:r>
        <w:rPr>
          <w:color w:val="000000"/>
          <w:sz w:val="22"/>
          <w:szCs w:val="22"/>
          <w:shd w:fill="auto" w:val="clear"/>
        </w:rPr>
      </w:r>
    </w:p>
    <w:p>
      <w:pPr>
        <w:pStyle w:val="Normal"/>
        <w:jc w:val="both"/>
        <w:rPr>
          <w:shd w:fill="auto" w:val="clear"/>
        </w:rPr>
      </w:pPr>
      <w:r>
        <w:rPr>
          <w:color w:val="000000"/>
          <w:sz w:val="22"/>
          <w:szCs w:val="22"/>
          <w:shd w:fill="auto" w:val="clear"/>
        </w:rPr>
        <w:t xml:space="preserve">En cas que, dins de la vigència del contracte, les necessitats reals siguin superiors a les </w:t>
      </w:r>
      <w:r>
        <w:rPr>
          <w:sz w:val="22"/>
          <w:shd w:fill="auto" w:val="clear"/>
        </w:rPr>
        <w:t xml:space="preserve">estimades inicialment, s’ha de tramitar la modificació corresponent. A aquests efectes, es preveu la possibilitat que es pugui modificar el contracte com a conseqüència d’aquesta circumstància, en els termes que estableix l’article 204 de la LCSP. En cap cas l’import total de les modificacions pot incrementar més del 20 % del preu inicial del contracte. </w:t>
      </w:r>
    </w:p>
    <w:p>
      <w:pPr>
        <w:pStyle w:val="Normal"/>
        <w:jc w:val="both"/>
        <w:rPr>
          <w:color w:val="000000"/>
          <w:sz w:val="22"/>
          <w:szCs w:val="22"/>
          <w:shd w:fill="auto" w:val="clear"/>
        </w:rPr>
      </w:pPr>
      <w:r>
        <w:rPr>
          <w:color w:val="000000"/>
          <w:sz w:val="22"/>
          <w:szCs w:val="22"/>
          <w:shd w:fill="auto" w:val="clear"/>
        </w:rPr>
      </w:r>
    </w:p>
    <w:p>
      <w:pPr>
        <w:pStyle w:val="Normal"/>
        <w:jc w:val="both"/>
        <w:rPr>
          <w:shd w:fill="auto" w:val="clear"/>
        </w:rPr>
      </w:pPr>
      <w:r>
        <w:rPr>
          <w:sz w:val="22"/>
          <w:shd w:fill="auto" w:val="clear"/>
        </w:rPr>
        <w:t>D’acord amb aquestes previsions, s’estableix com a causa prevista de modificació:</w:t>
      </w:r>
    </w:p>
    <w:p>
      <w:pPr>
        <w:pStyle w:val="Normal"/>
        <w:jc w:val="both"/>
        <w:rPr>
          <w:shd w:fill="auto" w:val="clear"/>
        </w:rPr>
      </w:pPr>
      <w:r>
        <w:rPr>
          <w:sz w:val="22"/>
          <w:shd w:fill="auto" w:val="clear"/>
        </w:rPr>
        <w:t>1. ampliació de l’oferta de menjador</w:t>
      </w:r>
    </w:p>
    <w:p>
      <w:pPr>
        <w:pStyle w:val="Normal"/>
        <w:jc w:val="both"/>
        <w:rPr>
          <w:shd w:fill="auto" w:val="clear"/>
        </w:rPr>
      </w:pPr>
      <w:r>
        <w:rPr>
          <w:sz w:val="22"/>
          <w:shd w:fill="auto" w:val="clear"/>
        </w:rPr>
        <w:t>2. major nombre d’infants i adults que requereixin d’aquest servei</w:t>
      </w:r>
    </w:p>
    <w:p>
      <w:pPr>
        <w:pStyle w:val="Normal"/>
        <w:jc w:val="both"/>
        <w:rPr>
          <w:sz w:val="22"/>
          <w:shd w:fill="auto" w:val="clear"/>
        </w:rPr>
      </w:pPr>
      <w:r>
        <w:rPr>
          <w:sz w:val="22"/>
          <w:shd w:fill="auto" w:val="clear"/>
        </w:rPr>
      </w:r>
    </w:p>
    <w:p>
      <w:pPr>
        <w:pStyle w:val="Normal"/>
        <w:jc w:val="both"/>
        <w:rPr>
          <w:shd w:fill="auto" w:val="clear"/>
        </w:rPr>
      </w:pPr>
      <w:r>
        <w:rPr>
          <w:sz w:val="22"/>
          <w:shd w:fill="auto" w:val="clear"/>
        </w:rPr>
        <w:t>es podrà incrementar el contracte fins a un màxim de 378.883,68 €.</w:t>
      </w:r>
    </w:p>
    <w:p>
      <w:pPr>
        <w:pStyle w:val="Normal"/>
        <w:jc w:val="both"/>
        <w:rPr>
          <w:shd w:fill="auto" w:val="clear"/>
        </w:rPr>
      </w:pPr>
      <w:r>
        <w:rPr>
          <w:i/>
          <w:iCs/>
          <w:color w:val="000000"/>
          <w:sz w:val="22"/>
          <w:szCs w:val="22"/>
          <w:shd w:fill="auto" w:val="clear"/>
        </w:rPr>
        <w:t xml:space="preserve"> </w:t>
      </w:r>
    </w:p>
    <w:p>
      <w:pPr>
        <w:pStyle w:val="Normal"/>
        <w:jc w:val="both"/>
        <w:rPr>
          <w:shd w:fill="auto" w:val="clear"/>
        </w:rPr>
      </w:pPr>
      <w:r>
        <w:rPr>
          <w:sz w:val="22"/>
          <w:shd w:fill="auto" w:val="clear"/>
        </w:rPr>
        <w:t>Tal i com estableix l'article 204.1 lletra b) de la LCSP la modificació no pot suposar l'establiment de nous preus unitaris no previstos en el contracte.</w:t>
      </w:r>
    </w:p>
    <w:p>
      <w:pPr>
        <w:pStyle w:val="Normal"/>
        <w:jc w:val="both"/>
        <w:rPr>
          <w:sz w:val="22"/>
          <w:shd w:fill="auto" w:val="clear"/>
        </w:rPr>
      </w:pPr>
      <w:r>
        <w:rPr>
          <w:sz w:val="22"/>
          <w:shd w:fill="auto" w:val="clear"/>
        </w:rPr>
      </w:r>
    </w:p>
    <w:p>
      <w:pPr>
        <w:pStyle w:val="Normal"/>
        <w:jc w:val="both"/>
        <w:rPr>
          <w:shd w:fill="auto" w:val="clear"/>
        </w:rPr>
      </w:pPr>
      <w:r>
        <w:rPr>
          <w:sz w:val="22"/>
          <w:shd w:fill="auto" w:val="clear"/>
        </w:rPr>
        <w:t xml:space="preserve">De conformitat amb la disposició addicional trenta-tresena de la LCSP, la modificació s’ha de tramitar abans que s’esgoti el pressupost màxim aprovat inicialment, i amb aquesta finalitat s’ha de reservar el crèdit necessari per cobrir l’import màxim de les noves </w:t>
      </w:r>
      <w:r>
        <w:rPr>
          <w:color w:val="000000"/>
          <w:sz w:val="22"/>
          <w:szCs w:val="22"/>
          <w:shd w:fill="auto" w:val="clear"/>
        </w:rPr>
        <w:t xml:space="preserve">necessitats. </w:t>
      </w:r>
    </w:p>
    <w:p>
      <w:pPr>
        <w:pStyle w:val="Normal"/>
        <w:jc w:val="both"/>
        <w:rPr>
          <w:color w:val="000000"/>
          <w:sz w:val="22"/>
          <w:szCs w:val="22"/>
          <w:shd w:fill="auto" w:val="clear"/>
        </w:rPr>
      </w:pPr>
      <w:r>
        <w:rPr>
          <w:color w:val="000000"/>
          <w:sz w:val="22"/>
          <w:szCs w:val="22"/>
          <w:shd w:fill="auto" w:val="clear"/>
        </w:rPr>
      </w:r>
    </w:p>
    <w:p>
      <w:pPr>
        <w:pStyle w:val="Normal"/>
        <w:jc w:val="both"/>
        <w:rPr>
          <w:color w:val="000000"/>
          <w:sz w:val="22"/>
          <w:szCs w:val="22"/>
        </w:rPr>
      </w:pPr>
      <w:r>
        <w:rPr>
          <w:color w:val="000000"/>
          <w:sz w:val="22"/>
          <w:szCs w:val="22"/>
        </w:rPr>
        <w:t>La modificació requerirà el següent procediment:</w:t>
      </w:r>
    </w:p>
    <w:p>
      <w:pPr>
        <w:pStyle w:val="Normal"/>
        <w:jc w:val="both"/>
        <w:rPr>
          <w:color w:val="000000"/>
          <w:sz w:val="22"/>
          <w:szCs w:val="22"/>
        </w:rPr>
      </w:pPr>
      <w:r>
        <w:rPr>
          <w:color w:val="000000"/>
          <w:sz w:val="22"/>
          <w:szCs w:val="22"/>
        </w:rPr>
      </w:r>
    </w:p>
    <w:p>
      <w:pPr>
        <w:pStyle w:val="Cosdeltext"/>
        <w:numPr>
          <w:ilvl w:val="0"/>
          <w:numId w:val="8"/>
        </w:numPr>
        <w:tabs>
          <w:tab w:val="clear" w:pos="720"/>
          <w:tab w:val="left" w:pos="0" w:leader="none"/>
        </w:tabs>
        <w:ind w:left="283" w:hanging="0"/>
        <w:jc w:val="both"/>
        <w:rPr/>
      </w:pPr>
      <w:r>
        <w:rPr>
          <w:rFonts w:cs="Arial" w:ascii="Arial" w:hAnsi="Arial"/>
          <w:sz w:val="22"/>
          <w:szCs w:val="22"/>
          <w:lang w:val="ca-ES"/>
        </w:rPr>
        <w:t xml:space="preserve"> </w:t>
      </w:r>
      <w:r>
        <w:rPr>
          <w:rFonts w:cs="Arial" w:ascii="Arial" w:hAnsi="Arial"/>
          <w:sz w:val="22"/>
          <w:szCs w:val="22"/>
          <w:lang w:val="ca-ES"/>
        </w:rPr>
        <w:t>L’expedient s’iniciarà mitjançant informe del tècnic municipal responsable del servei.</w:t>
      </w:r>
    </w:p>
    <w:p>
      <w:pPr>
        <w:pStyle w:val="Cosdeltext"/>
        <w:numPr>
          <w:ilvl w:val="0"/>
          <w:numId w:val="8"/>
        </w:numPr>
        <w:tabs>
          <w:tab w:val="clear" w:pos="720"/>
          <w:tab w:val="left" w:pos="0" w:leader="none"/>
        </w:tabs>
        <w:ind w:left="283" w:hanging="0"/>
        <w:jc w:val="both"/>
        <w:rPr/>
      </w:pPr>
      <w:r>
        <w:rPr>
          <w:rFonts w:cs="Arial" w:ascii="Arial" w:hAnsi="Arial"/>
          <w:color w:val="000000"/>
          <w:sz w:val="22"/>
          <w:szCs w:val="22"/>
          <w:lang w:val="ca-ES"/>
        </w:rPr>
        <w:t xml:space="preserve"> </w:t>
      </w:r>
      <w:r>
        <w:rPr>
          <w:rFonts w:cs="Arial" w:ascii="Arial" w:hAnsi="Arial"/>
          <w:color w:val="000000"/>
          <w:sz w:val="22"/>
          <w:szCs w:val="22"/>
          <w:lang w:val="ca-ES"/>
        </w:rPr>
        <w:t>Aquest informe es posarà de manifest al contractista, al qual se li atorgarà un tràmit audiència per un termini de 10 dies hàbils.</w:t>
      </w:r>
    </w:p>
    <w:p>
      <w:pPr>
        <w:pStyle w:val="Cosdeltext"/>
        <w:numPr>
          <w:ilvl w:val="0"/>
          <w:numId w:val="8"/>
        </w:numPr>
        <w:tabs>
          <w:tab w:val="clear" w:pos="720"/>
          <w:tab w:val="left" w:pos="0" w:leader="none"/>
        </w:tabs>
        <w:ind w:left="283" w:hanging="0"/>
        <w:jc w:val="both"/>
        <w:rPr/>
      </w:pPr>
      <w:r>
        <w:rPr>
          <w:rFonts w:cs="Arial" w:ascii="Arial" w:hAnsi="Arial"/>
          <w:color w:val="000000"/>
          <w:sz w:val="22"/>
          <w:szCs w:val="22"/>
          <w:lang w:val="ca-ES"/>
        </w:rPr>
        <w:t xml:space="preserve"> </w:t>
      </w:r>
      <w:r>
        <w:rPr>
          <w:rFonts w:cs="Arial" w:ascii="Arial" w:hAnsi="Arial"/>
          <w:color w:val="000000"/>
          <w:sz w:val="22"/>
          <w:szCs w:val="22"/>
          <w:lang w:val="ca-ES"/>
        </w:rPr>
        <w:t>Informe de fiscalització prèvia d’intervenció, si la modificació porta un increment o disminució econòmica.</w:t>
      </w:r>
    </w:p>
    <w:p>
      <w:pPr>
        <w:pStyle w:val="Cosdeltext"/>
        <w:numPr>
          <w:ilvl w:val="0"/>
          <w:numId w:val="8"/>
        </w:numPr>
        <w:tabs>
          <w:tab w:val="clear" w:pos="720"/>
          <w:tab w:val="left" w:pos="0" w:leader="none"/>
        </w:tabs>
        <w:ind w:left="283" w:hanging="0"/>
        <w:jc w:val="both"/>
        <w:rPr/>
      </w:pPr>
      <w:r>
        <w:rPr>
          <w:rFonts w:cs="Arial" w:ascii="Arial" w:hAnsi="Arial"/>
          <w:color w:val="000000"/>
          <w:sz w:val="22"/>
          <w:szCs w:val="22"/>
          <w:lang w:val="ca-ES"/>
        </w:rPr>
        <w:t xml:space="preserve"> </w:t>
      </w:r>
      <w:r>
        <w:rPr>
          <w:rFonts w:cs="Arial" w:ascii="Arial" w:hAnsi="Arial"/>
          <w:color w:val="000000"/>
          <w:sz w:val="22"/>
          <w:szCs w:val="22"/>
          <w:lang w:val="ca-ES"/>
        </w:rPr>
        <w:t>L’òrgan de contractació, un cop escoltat el contractista, adoptarà l’acord que consideri procedent sobre la modificació del contracte.</w:t>
      </w:r>
    </w:p>
    <w:p>
      <w:pPr>
        <w:pStyle w:val="Cosdeltext"/>
        <w:numPr>
          <w:ilvl w:val="0"/>
          <w:numId w:val="8"/>
        </w:numPr>
        <w:tabs>
          <w:tab w:val="clear" w:pos="720"/>
          <w:tab w:val="left" w:pos="0" w:leader="none"/>
        </w:tabs>
        <w:ind w:left="283" w:hanging="0"/>
        <w:jc w:val="both"/>
        <w:rPr/>
      </w:pPr>
      <w:r>
        <w:rPr>
          <w:rFonts w:cs="Arial" w:ascii="Arial" w:hAnsi="Arial"/>
          <w:color w:val="000000"/>
          <w:sz w:val="22"/>
          <w:szCs w:val="22"/>
          <w:lang w:val="ca-ES"/>
        </w:rPr>
        <w:t>L’acord serà notificat al contractista, tot concedint-li el termini legalment establert, perquè formalitzi la modificació, en el supòsit que resulti finalment aprovada i sense perjudici dels recursos administratius o jurisdiccionals que siguin procedents.</w:t>
      </w:r>
    </w:p>
    <w:p>
      <w:pPr>
        <w:pStyle w:val="Normal"/>
        <w:jc w:val="both"/>
        <w:rPr>
          <w:color w:val="000000"/>
          <w:sz w:val="22"/>
          <w:szCs w:val="22"/>
        </w:rPr>
      </w:pPr>
      <w:r>
        <w:rPr>
          <w:color w:val="000000"/>
          <w:sz w:val="22"/>
          <w:szCs w:val="22"/>
        </w:rPr>
      </w:r>
    </w:p>
    <w:p>
      <w:pPr>
        <w:pStyle w:val="Normal"/>
        <w:jc w:val="both"/>
        <w:rPr>
          <w:color w:val="000000"/>
          <w:sz w:val="22"/>
          <w:szCs w:val="22"/>
        </w:rPr>
      </w:pPr>
      <w:r>
        <w:rPr>
          <w:color w:val="000000"/>
          <w:sz w:val="22"/>
          <w:szCs w:val="22"/>
        </w:rPr>
        <w:t>De conformitat amb l'article 109.3 de la LCSP, en el cas que es produeixi una modificació del contracte i el preu del mateix canviï, s'haurà de reajustar la garantia proporcionalment al preu modificat, en el termini de 15 dies comptats des de la data en que es notifiqui al contractista l'acord de modificació.</w:t>
      </w:r>
    </w:p>
    <w:p>
      <w:pPr>
        <w:pStyle w:val="Normal"/>
        <w:jc w:val="both"/>
        <w:rPr>
          <w:color w:val="000000"/>
          <w:sz w:val="22"/>
          <w:szCs w:val="22"/>
          <w:shd w:fill="auto" w:val="clear"/>
        </w:rPr>
      </w:pPr>
      <w:r>
        <w:rPr>
          <w:color w:val="000000"/>
          <w:sz w:val="22"/>
          <w:szCs w:val="22"/>
          <w:shd w:fill="auto" w:val="clear"/>
        </w:rPr>
      </w:r>
    </w:p>
    <w:p>
      <w:pPr>
        <w:pStyle w:val="Normal"/>
        <w:jc w:val="both"/>
        <w:rPr>
          <w:shd w:fill="auto" w:val="clear"/>
        </w:rPr>
      </w:pPr>
      <w:r>
        <w:rPr>
          <w:color w:val="000000"/>
          <w:sz w:val="22"/>
          <w:szCs w:val="22"/>
          <w:shd w:fill="auto" w:val="clear"/>
        </w:rPr>
        <w:t>No tenen la consideració de modificacions la variació que durant l’execució correcta de la prestació es produeixi exclusivament en el nombre d’unitats realment executades sobre les que preveu el contracte, les quals es poden recollir en la liquidació, sempre que no representin un increment de la despesa superior al 10 per cent del preu del contracte segons el que preveu l’article 309.1 de la LCSP.</w:t>
      </w:r>
    </w:p>
    <w:p>
      <w:pPr>
        <w:pStyle w:val="Normal"/>
        <w:jc w:val="both"/>
        <w:rPr>
          <w:color w:val="000000"/>
          <w:sz w:val="22"/>
          <w:szCs w:val="22"/>
          <w:shd w:fill="auto" w:val="clear"/>
        </w:rPr>
      </w:pPr>
      <w:r>
        <w:rPr>
          <w:color w:val="000000"/>
          <w:sz w:val="22"/>
          <w:szCs w:val="22"/>
          <w:shd w:fill="auto" w:val="clear"/>
        </w:rPr>
      </w:r>
    </w:p>
    <w:p>
      <w:pPr>
        <w:pStyle w:val="Normal"/>
        <w:jc w:val="both"/>
        <w:rPr>
          <w:shd w:fill="auto" w:val="clear"/>
        </w:rPr>
      </w:pPr>
      <w:r>
        <w:rPr>
          <w:color w:val="000000"/>
          <w:sz w:val="22"/>
          <w:szCs w:val="22"/>
          <w:shd w:fill="auto" w:val="clear"/>
        </w:rPr>
        <w:t>Les modificacions del contracte es formalitzaran de conformitat amb el que estableix l’article 153 de la LCSP i la clàusula 34 d’aquest plec.</w:t>
      </w:r>
    </w:p>
    <w:p>
      <w:pPr>
        <w:pStyle w:val="Normal"/>
        <w:jc w:val="both"/>
        <w:rPr>
          <w:color w:val="000000"/>
          <w:sz w:val="22"/>
          <w:szCs w:val="22"/>
          <w:shd w:fill="auto" w:val="clear"/>
        </w:rPr>
      </w:pPr>
      <w:r>
        <w:rPr>
          <w:color w:val="000000"/>
          <w:sz w:val="22"/>
          <w:szCs w:val="22"/>
          <w:shd w:fill="auto" w:val="clear"/>
        </w:rPr>
      </w:r>
    </w:p>
    <w:p>
      <w:pPr>
        <w:pStyle w:val="Normal"/>
        <w:jc w:val="both"/>
        <w:rPr>
          <w:shd w:fill="auto" w:val="clear"/>
        </w:rPr>
      </w:pPr>
      <w:r>
        <w:rPr>
          <w:color w:val="000000"/>
          <w:sz w:val="22"/>
          <w:szCs w:val="22"/>
          <w:shd w:fill="auto" w:val="clear"/>
        </w:rPr>
        <w:t>L’anunci de modificació del contracte, juntament amb les al·legacions de l’empresa contractista i de tots els informes que, si s’escau, es sol·licitin amb caràcter previ a l’aprovació de la modificació, tant els que aporti l’empresa adjudicatària com els que emeti l’òrgan de contractació, es publicaran en el perfil de contractant.</w:t>
      </w:r>
    </w:p>
    <w:p>
      <w:pPr>
        <w:pStyle w:val="Normal"/>
        <w:jc w:val="both"/>
        <w:rPr>
          <w:rFonts w:ascii="ArialMT;MS Mincho" w:hAnsi="ArialMT;MS Mincho" w:cs="ArialMT;MS Mincho"/>
          <w:color w:val="000000"/>
          <w:sz w:val="22"/>
          <w:szCs w:val="22"/>
          <w:shd w:fill="auto" w:val="clear"/>
          <w:lang w:eastAsia="es-ES"/>
        </w:rPr>
      </w:pPr>
      <w:r>
        <w:rPr>
          <w:rFonts w:cs="ArialMT;MS Mincho" w:ascii="ArialMT;MS Mincho" w:hAnsi="ArialMT;MS Mincho"/>
          <w:color w:val="000000"/>
          <w:sz w:val="22"/>
          <w:szCs w:val="22"/>
          <w:shd w:fill="auto" w:val="clear"/>
          <w:lang w:eastAsia="es-ES"/>
        </w:rPr>
      </w:r>
    </w:p>
    <w:p>
      <w:pPr>
        <w:pStyle w:val="Normal"/>
        <w:jc w:val="both"/>
        <w:rPr>
          <w:shd w:fill="auto" w:val="clear"/>
        </w:rPr>
      </w:pPr>
      <w:r>
        <w:rPr>
          <w:color w:val="000000"/>
          <w:sz w:val="22"/>
          <w:szCs w:val="22"/>
          <w:shd w:fill="auto" w:val="clear"/>
        </w:rPr>
        <w:t xml:space="preserve">L’anunci de modificació es publicarà en el DOUE, de conformitat amb l’article 207.3 de la LCSP. </w:t>
      </w:r>
    </w:p>
    <w:p>
      <w:pPr>
        <w:pStyle w:val="Normal"/>
        <w:jc w:val="both"/>
        <w:rPr>
          <w:rFonts w:ascii="Arial-ItalicMT;Arial" w:hAnsi="Arial-ItalicMT;Arial" w:cs="Arial-ItalicMT;Arial"/>
          <w:i/>
          <w:i/>
          <w:iCs/>
          <w:color w:val="000000"/>
          <w:sz w:val="22"/>
          <w:szCs w:val="22"/>
          <w:lang w:eastAsia="es-ES"/>
        </w:rPr>
      </w:pPr>
      <w:r>
        <w:rPr>
          <w:rFonts w:cs="Arial-ItalicMT;Arial" w:ascii="Arial-ItalicMT;Arial" w:hAnsi="Arial-ItalicMT;Arial"/>
          <w:i/>
          <w:iCs/>
          <w:color w:val="000000"/>
          <w:sz w:val="22"/>
          <w:szCs w:val="22"/>
          <w:lang w:eastAsia="es-ES"/>
        </w:rPr>
      </w:r>
    </w:p>
    <w:p>
      <w:pPr>
        <w:pStyle w:val="Normal"/>
        <w:jc w:val="both"/>
        <w:rPr>
          <w:rFonts w:ascii="Arial-ItalicMT;Arial" w:hAnsi="Arial-ItalicMT;Arial" w:cs="Arial-ItalicMT;Arial"/>
          <w:i/>
          <w:i/>
          <w:iCs/>
          <w:color w:val="000000"/>
          <w:sz w:val="22"/>
          <w:szCs w:val="22"/>
          <w:lang w:eastAsia="es-ES"/>
        </w:rPr>
      </w:pPr>
      <w:r>
        <w:rPr>
          <w:rFonts w:cs="Arial-ItalicMT;Arial" w:ascii="Arial-ItalicMT;Arial" w:hAnsi="Arial-ItalicMT;Arial"/>
          <w:i/>
          <w:iCs/>
          <w:color w:val="000000"/>
          <w:sz w:val="22"/>
          <w:szCs w:val="22"/>
          <w:lang w:eastAsia="es-ES"/>
        </w:rPr>
      </w:r>
    </w:p>
    <w:p>
      <w:pPr>
        <w:pStyle w:val="Normal"/>
        <w:jc w:val="both"/>
        <w:rPr/>
      </w:pPr>
      <w:r>
        <w:rPr>
          <w:b/>
          <w:sz w:val="22"/>
        </w:rPr>
        <w:t>DESENA.-</w:t>
      </w:r>
      <w:r>
        <w:rPr>
          <w:sz w:val="22"/>
        </w:rPr>
        <w:t xml:space="preserve"> </w:t>
      </w:r>
      <w:r>
        <w:rPr>
          <w:b/>
          <w:sz w:val="22"/>
        </w:rPr>
        <w:t>Valor estimat del contracte</w:t>
      </w:r>
    </w:p>
    <w:p>
      <w:pPr>
        <w:pStyle w:val="Normal"/>
        <w:jc w:val="both"/>
        <w:rPr>
          <w:b/>
          <w:b/>
          <w:color w:val="000000"/>
          <w:sz w:val="22"/>
          <w:szCs w:val="22"/>
        </w:rPr>
      </w:pPr>
      <w:r>
        <w:rPr>
          <w:b/>
          <w:color w:val="000000"/>
          <w:sz w:val="22"/>
          <w:szCs w:val="22"/>
        </w:rPr>
      </w:r>
    </w:p>
    <w:p>
      <w:pPr>
        <w:pStyle w:val="Normal"/>
        <w:widowControl w:val="false"/>
        <w:jc w:val="both"/>
        <w:rPr>
          <w:shd w:fill="auto" w:val="clear"/>
        </w:rPr>
      </w:pPr>
      <w:r>
        <w:rPr>
          <w:sz w:val="22"/>
          <w:szCs w:val="22"/>
          <w:shd w:fill="auto" w:val="clear"/>
        </w:rPr>
        <w:t>El valor estimat del contracte, a efectes de determinar el procediment d’adjudicació, la publicitat i la competència de l’òrgan de contractació, d’acord amb el que estableix l’article 101 de la LCSP, calculant la seva durada inicial (2 anys), i les pròrrogues eventuals del contracte (2 anys), i les modificacions previstes, és de 4.167.720,48 euros, exclòs l</w:t>
      </w:r>
      <w:r>
        <w:rPr>
          <w:sz w:val="22"/>
          <w:szCs w:val="22"/>
          <w:shd w:fill="auto" w:val="clear"/>
          <w:lang w:val="af-ZA"/>
        </w:rPr>
        <w:t>’IVA</w:t>
      </w:r>
      <w:r>
        <w:rPr>
          <w:sz w:val="22"/>
          <w:szCs w:val="22"/>
          <w:shd w:fill="auto" w:val="clear"/>
        </w:rPr>
        <w:t>.</w:t>
      </w:r>
    </w:p>
    <w:p>
      <w:pPr>
        <w:pStyle w:val="Default"/>
        <w:jc w:val="center"/>
        <w:rPr>
          <w:sz w:val="22"/>
          <w:szCs w:val="22"/>
          <w:lang w:val="ca-ES"/>
        </w:rPr>
      </w:pPr>
      <w:r>
        <w:rPr>
          <w:sz w:val="22"/>
          <w:szCs w:val="22"/>
          <w:lang w:val="ca-ES"/>
        </w:rPr>
      </w:r>
    </w:p>
    <w:tbl>
      <w:tblPr>
        <w:tblW w:w="9051" w:type="dxa"/>
        <w:jc w:val="left"/>
        <w:tblInd w:w="-118" w:type="dxa"/>
        <w:tblLayout w:type="fixed"/>
        <w:tblCellMar>
          <w:top w:w="0" w:type="dxa"/>
          <w:left w:w="98" w:type="dxa"/>
          <w:bottom w:w="0" w:type="dxa"/>
          <w:right w:w="108" w:type="dxa"/>
        </w:tblCellMar>
        <w:tblLook w:firstRow="0" w:noVBand="0" w:lastRow="0" w:firstColumn="0" w:lastColumn="0" w:noHBand="0" w:val="0000"/>
      </w:tblPr>
      <w:tblGrid>
        <w:gridCol w:w="2231"/>
        <w:gridCol w:w="2233"/>
        <w:gridCol w:w="2233"/>
        <w:gridCol w:w="2353"/>
      </w:tblGrid>
      <w:tr>
        <w:trPr>
          <w:trHeight w:val="417" w:hRule="atLeast"/>
        </w:trPr>
        <w:tc>
          <w:tcPr>
            <w:tcW w:w="2231" w:type="dxa"/>
            <w:tcBorders>
              <w:top w:val="single" w:sz="4" w:space="0" w:color="FFFFFF"/>
              <w:left w:val="single" w:sz="4" w:space="0" w:color="FFFFFF"/>
              <w:bottom w:val="single" w:sz="4" w:space="0" w:color="FFFFFF"/>
            </w:tcBorders>
            <w:shd w:color="auto" w:fill="F3F3F3" w:val="clear"/>
            <w:vAlign w:val="center"/>
          </w:tcPr>
          <w:p>
            <w:pPr>
              <w:pStyle w:val="Default"/>
              <w:widowControl w:val="false"/>
              <w:spacing w:before="60" w:after="60"/>
              <w:jc w:val="center"/>
              <w:rPr>
                <w:sz w:val="22"/>
                <w:szCs w:val="22"/>
                <w:lang w:val="ca-ES"/>
              </w:rPr>
            </w:pPr>
            <w:r>
              <w:rPr>
                <w:sz w:val="22"/>
                <w:szCs w:val="22"/>
                <w:lang w:val="ca-ES"/>
              </w:rPr>
              <w:t>Pressupost màxim</w:t>
            </w:r>
          </w:p>
        </w:tc>
        <w:tc>
          <w:tcPr>
            <w:tcW w:w="2233" w:type="dxa"/>
            <w:tcBorders>
              <w:top w:val="single" w:sz="4" w:space="0" w:color="FFFFFF"/>
              <w:left w:val="single" w:sz="4" w:space="0" w:color="FFFFFF"/>
              <w:bottom w:val="single" w:sz="4" w:space="0" w:color="FFFFFF"/>
            </w:tcBorders>
            <w:shd w:color="auto" w:fill="F3F3F3" w:val="clear"/>
            <w:vAlign w:val="center"/>
          </w:tcPr>
          <w:p>
            <w:pPr>
              <w:pStyle w:val="Default"/>
              <w:widowControl w:val="false"/>
              <w:spacing w:before="60" w:after="60"/>
              <w:jc w:val="center"/>
              <w:rPr>
                <w:sz w:val="22"/>
                <w:szCs w:val="22"/>
                <w:lang w:val="ca-ES"/>
              </w:rPr>
            </w:pPr>
            <w:r>
              <w:rPr>
                <w:sz w:val="22"/>
                <w:szCs w:val="22"/>
                <w:lang w:val="ca-ES"/>
              </w:rPr>
              <w:t>Eventuals pròrrogues</w:t>
            </w:r>
          </w:p>
        </w:tc>
        <w:tc>
          <w:tcPr>
            <w:tcW w:w="2233" w:type="dxa"/>
            <w:tcBorders>
              <w:top w:val="single" w:sz="4" w:space="0" w:color="FFFFFF"/>
              <w:left w:val="single" w:sz="4" w:space="0" w:color="FFFFFF"/>
              <w:bottom w:val="single" w:sz="4" w:space="0" w:color="FFFFFF"/>
            </w:tcBorders>
            <w:shd w:color="auto" w:fill="F3F3F3" w:val="clear"/>
            <w:vAlign w:val="center"/>
          </w:tcPr>
          <w:p>
            <w:pPr>
              <w:pStyle w:val="Default"/>
              <w:widowControl w:val="false"/>
              <w:spacing w:before="60" w:after="60"/>
              <w:jc w:val="center"/>
              <w:rPr>
                <w:sz w:val="22"/>
                <w:szCs w:val="22"/>
                <w:lang w:val="ca-ES"/>
              </w:rPr>
            </w:pPr>
            <w:r>
              <w:rPr>
                <w:sz w:val="22"/>
                <w:szCs w:val="22"/>
                <w:lang w:val="ca-ES"/>
              </w:rPr>
              <w:t>Eventuals increments</w:t>
            </w:r>
          </w:p>
        </w:tc>
        <w:tc>
          <w:tcPr>
            <w:tcW w:w="2353" w:type="dxa"/>
            <w:tcBorders>
              <w:top w:val="single" w:sz="4" w:space="0" w:color="FFFFFF"/>
              <w:left w:val="single" w:sz="4" w:space="0" w:color="FFFFFF"/>
              <w:bottom w:val="single" w:sz="4" w:space="0" w:color="FFFFFF"/>
              <w:right w:val="single" w:sz="4" w:space="0" w:color="FFFFFF"/>
            </w:tcBorders>
            <w:shd w:color="auto" w:fill="F3F3F3" w:val="clear"/>
            <w:vAlign w:val="center"/>
          </w:tcPr>
          <w:p>
            <w:pPr>
              <w:pStyle w:val="Default"/>
              <w:widowControl w:val="false"/>
              <w:spacing w:before="60" w:after="60"/>
              <w:jc w:val="center"/>
              <w:rPr>
                <w:sz w:val="22"/>
                <w:szCs w:val="22"/>
                <w:lang w:val="ca-ES"/>
              </w:rPr>
            </w:pPr>
            <w:r>
              <w:rPr>
                <w:sz w:val="22"/>
                <w:szCs w:val="22"/>
                <w:lang w:val="ca-ES"/>
              </w:rPr>
              <w:t>Valor estimat</w:t>
            </w:r>
          </w:p>
        </w:tc>
      </w:tr>
      <w:tr>
        <w:trPr>
          <w:trHeight w:val="417" w:hRule="atLeast"/>
        </w:trPr>
        <w:tc>
          <w:tcPr>
            <w:tcW w:w="2231"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spacing w:before="60" w:after="60"/>
              <w:jc w:val="right"/>
              <w:rPr>
                <w:rFonts w:ascii="Arial" w:hAnsi="Arial"/>
                <w:color w:val="00000A"/>
                <w:sz w:val="22"/>
                <w:szCs w:val="22"/>
                <w:shd w:fill="auto" w:val="clear"/>
              </w:rPr>
            </w:pPr>
            <w:r>
              <w:rPr>
                <w:color w:val="00000A"/>
                <w:sz w:val="22"/>
                <w:szCs w:val="22"/>
                <w:shd w:fill="auto" w:val="clear"/>
              </w:rPr>
              <w:t>1.894.418,40 €</w:t>
            </w:r>
          </w:p>
        </w:tc>
        <w:tc>
          <w:tcPr>
            <w:tcW w:w="2233"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center"/>
              <w:rPr>
                <w:rFonts w:ascii="Arial" w:hAnsi="Arial"/>
                <w:color w:val="00000A"/>
                <w:sz w:val="22"/>
                <w:szCs w:val="22"/>
                <w:shd w:fill="auto" w:val="clear"/>
              </w:rPr>
            </w:pPr>
            <w:r>
              <w:rPr>
                <w:color w:val="00000A"/>
                <w:sz w:val="22"/>
                <w:szCs w:val="22"/>
                <w:shd w:fill="auto" w:val="clear"/>
              </w:rPr>
              <w:t>1.894.418,40 €</w:t>
            </w:r>
          </w:p>
        </w:tc>
        <w:tc>
          <w:tcPr>
            <w:tcW w:w="2233" w:type="dxa"/>
            <w:tcBorders>
              <w:top w:val="single" w:sz="4" w:space="0" w:color="FFFFFF"/>
              <w:left w:val="single" w:sz="4" w:space="0" w:color="FFFFFF"/>
              <w:bottom w:val="single" w:sz="4" w:space="0" w:color="FFFFFF"/>
            </w:tcBorders>
            <w:shd w:color="auto" w:fill="F3F3F3" w:val="clear"/>
            <w:vAlign w:val="center"/>
          </w:tcPr>
          <w:p>
            <w:pPr>
              <w:pStyle w:val="Contingutdelataula"/>
              <w:widowControl w:val="false"/>
              <w:jc w:val="center"/>
              <w:rPr>
                <w:rFonts w:ascii="Arial" w:hAnsi="Arial"/>
                <w:sz w:val="22"/>
                <w:szCs w:val="22"/>
                <w:shd w:fill="auto" w:val="clear"/>
              </w:rPr>
            </w:pPr>
            <w:r>
              <w:rPr>
                <w:sz w:val="22"/>
                <w:szCs w:val="22"/>
                <w:shd w:fill="auto" w:val="clear"/>
              </w:rPr>
              <w:t>378.883,68 €</w:t>
            </w:r>
          </w:p>
        </w:tc>
        <w:tc>
          <w:tcPr>
            <w:tcW w:w="2353" w:type="dxa"/>
            <w:tcBorders>
              <w:top w:val="single" w:sz="4" w:space="0" w:color="FFFFFF"/>
              <w:left w:val="single" w:sz="4" w:space="0" w:color="FFFFFF"/>
              <w:bottom w:val="single" w:sz="4" w:space="0" w:color="FFFFFF"/>
              <w:right w:val="single" w:sz="4" w:space="0" w:color="FFFFFF"/>
            </w:tcBorders>
            <w:shd w:color="auto" w:fill="F3F3F3" w:val="clear"/>
            <w:vAlign w:val="center"/>
          </w:tcPr>
          <w:p>
            <w:pPr>
              <w:pStyle w:val="Contingutdelataula"/>
              <w:widowControl w:val="false"/>
              <w:jc w:val="center"/>
              <w:rPr>
                <w:rFonts w:ascii="Arial" w:hAnsi="Arial"/>
                <w:sz w:val="22"/>
                <w:szCs w:val="22"/>
                <w:shd w:fill="auto" w:val="clear"/>
              </w:rPr>
            </w:pPr>
            <w:r>
              <w:rPr>
                <w:sz w:val="22"/>
                <w:szCs w:val="22"/>
                <w:shd w:fill="auto" w:val="clear"/>
              </w:rPr>
              <w:t>4.167.720,48 €</w:t>
            </w:r>
          </w:p>
        </w:tc>
      </w:tr>
    </w:tbl>
    <w:p>
      <w:pPr>
        <w:pStyle w:val="Normal"/>
        <w:jc w:val="both"/>
        <w:rPr>
          <w:sz w:val="22"/>
          <w:szCs w:val="22"/>
        </w:rPr>
      </w:pPr>
      <w:r>
        <w:rPr>
          <w:sz w:val="22"/>
          <w:szCs w:val="22"/>
        </w:rPr>
      </w:r>
    </w:p>
    <w:p>
      <w:pPr>
        <w:pStyle w:val="Normal"/>
        <w:jc w:val="both"/>
        <w:rPr>
          <w:i/>
          <w:i/>
          <w:sz w:val="22"/>
          <w:szCs w:val="22"/>
        </w:rPr>
      </w:pPr>
      <w:r>
        <w:rPr>
          <w:i/>
          <w:sz w:val="22"/>
          <w:szCs w:val="22"/>
        </w:rPr>
      </w:r>
    </w:p>
    <w:p>
      <w:pPr>
        <w:pStyle w:val="Normal"/>
        <w:jc w:val="both"/>
        <w:rPr/>
      </w:pPr>
      <w:r>
        <w:rPr>
          <w:b/>
          <w:sz w:val="22"/>
          <w:szCs w:val="22"/>
        </w:rPr>
        <w:t>ONZENA.-</w:t>
      </w:r>
      <w:r>
        <w:rPr>
          <w:sz w:val="22"/>
          <w:szCs w:val="22"/>
        </w:rPr>
        <w:t xml:space="preserve"> </w:t>
      </w:r>
      <w:r>
        <w:rPr>
          <w:b/>
          <w:sz w:val="22"/>
          <w:szCs w:val="22"/>
        </w:rPr>
        <w:t>Finançament i consignació pressupostària</w:t>
      </w:r>
    </w:p>
    <w:p>
      <w:pPr>
        <w:pStyle w:val="Normal"/>
        <w:jc w:val="both"/>
        <w:rPr>
          <w:sz w:val="22"/>
          <w:szCs w:val="22"/>
        </w:rPr>
      </w:pPr>
      <w:r>
        <w:rPr>
          <w:sz w:val="22"/>
          <w:szCs w:val="22"/>
        </w:rPr>
      </w:r>
    </w:p>
    <w:p>
      <w:pPr>
        <w:pStyle w:val="Normal"/>
        <w:jc w:val="both"/>
        <w:rPr/>
      </w:pPr>
      <w:r>
        <w:rPr>
          <w:color w:val="000000"/>
          <w:sz w:val="22"/>
          <w:szCs w:val="22"/>
        </w:rPr>
        <w:t xml:space="preserve">El finançament de les obligacions econòmiques derivades del compliment del contracte: </w:t>
      </w:r>
      <w:r>
        <w:rPr>
          <w:color w:val="000000"/>
          <w:sz w:val="22"/>
          <w:szCs w:val="22"/>
          <w:shd w:fill="auto" w:val="clear"/>
        </w:rPr>
        <w:t>2.083.860,24 euros, inclòs l’IVA, es farà amb càrrec a les següents aplicacions pressupostàries del Pressupost Municipal dels anys 2025, 2026 i 2027 amb la següent distribució:</w:t>
      </w:r>
    </w:p>
    <w:p>
      <w:pPr>
        <w:pStyle w:val="Normal"/>
        <w:jc w:val="both"/>
        <w:rPr>
          <w:color w:val="000000"/>
          <w:sz w:val="22"/>
          <w:szCs w:val="22"/>
        </w:rPr>
      </w:pPr>
      <w:r>
        <w:rPr>
          <w:color w:val="000000"/>
          <w:sz w:val="22"/>
          <w:szCs w:val="22"/>
        </w:rPr>
      </w:r>
    </w:p>
    <w:tbl>
      <w:tblPr>
        <w:tblW w:w="8275" w:type="dxa"/>
        <w:jc w:val="left"/>
        <w:tblInd w:w="98" w:type="dxa"/>
        <w:tblLayout w:type="fixed"/>
        <w:tblCellMar>
          <w:top w:w="57" w:type="dxa"/>
          <w:left w:w="98" w:type="dxa"/>
          <w:bottom w:w="57" w:type="dxa"/>
          <w:right w:w="108" w:type="dxa"/>
        </w:tblCellMar>
        <w:tblLook w:firstRow="0" w:noVBand="0" w:lastRow="0" w:firstColumn="0" w:lastColumn="0" w:noHBand="0" w:val="0000"/>
      </w:tblPr>
      <w:tblGrid>
        <w:gridCol w:w="3513"/>
        <w:gridCol w:w="1362"/>
        <w:gridCol w:w="1538"/>
        <w:gridCol w:w="1861"/>
      </w:tblGrid>
      <w:tr>
        <w:trPr>
          <w:trHeight w:val="187" w:hRule="atLeast"/>
        </w:trPr>
        <w:tc>
          <w:tcPr>
            <w:tcW w:w="3513" w:type="dxa"/>
            <w:tcBorders>
              <w:top w:val="single" w:sz="4" w:space="0" w:color="FFFFFF"/>
              <w:left w:val="single" w:sz="4" w:space="0" w:color="FFFFFF"/>
              <w:bottom w:val="single" w:sz="4" w:space="0" w:color="FFFFFF"/>
            </w:tcBorders>
            <w:shd w:color="auto" w:fill="F3F3F3" w:val="clear"/>
            <w:vAlign w:val="center"/>
          </w:tcPr>
          <w:p>
            <w:pPr>
              <w:pStyle w:val="Normal"/>
              <w:widowControl w:val="false"/>
              <w:snapToGrid w:val="false"/>
              <w:spacing w:before="60" w:after="60"/>
              <w:jc w:val="center"/>
              <w:rPr>
                <w:rFonts w:ascii="Arial" w:hAnsi="Arial" w:eastAsia="SimSun;宋体"/>
                <w:color w:val="00000A"/>
                <w:sz w:val="22"/>
                <w:szCs w:val="22"/>
                <w:shd w:fill="auto" w:val="clear"/>
                <w:lang w:val="ca-ES" w:eastAsia="zh-CN"/>
              </w:rPr>
            </w:pPr>
            <w:r>
              <w:rPr>
                <w:rFonts w:eastAsia="SimSun;宋体"/>
                <w:color w:val="00000A"/>
                <w:sz w:val="22"/>
                <w:szCs w:val="22"/>
                <w:shd w:fill="auto" w:val="clear"/>
                <w:lang w:val="ca-ES" w:eastAsia="zh-CN"/>
              </w:rPr>
              <w:t>Aplicació pressuostària</w:t>
            </w:r>
          </w:p>
        </w:tc>
        <w:tc>
          <w:tcPr>
            <w:tcW w:w="1362" w:type="dxa"/>
            <w:tcBorders>
              <w:top w:val="single" w:sz="4" w:space="0" w:color="FFFFFF"/>
              <w:left w:val="single" w:sz="4" w:space="0" w:color="FFFFFF"/>
              <w:bottom w:val="single" w:sz="4" w:space="0" w:color="FFFFFF"/>
            </w:tcBorders>
            <w:shd w:color="auto" w:fill="F3F3F3" w:val="clear"/>
          </w:tcPr>
          <w:p>
            <w:pPr>
              <w:pStyle w:val="Normal"/>
              <w:widowControl w:val="false"/>
              <w:spacing w:before="60" w:after="60"/>
              <w:jc w:val="center"/>
              <w:rPr/>
            </w:pPr>
            <w:r>
              <w:rPr>
                <w:rStyle w:val="Muydestacado"/>
                <w:rFonts w:eastAsia="SimSun;宋体"/>
                <w:b w:val="false"/>
                <w:bCs w:val="false"/>
                <w:color w:val="000000"/>
                <w:sz w:val="22"/>
                <w:szCs w:val="22"/>
                <w:shd w:fill="auto" w:val="clear"/>
                <w:lang w:val="ca-ES" w:eastAsia="zh-CN"/>
              </w:rPr>
              <w:t>Any</w:t>
            </w:r>
          </w:p>
        </w:tc>
        <w:tc>
          <w:tcPr>
            <w:tcW w:w="1538" w:type="dxa"/>
            <w:tcBorders>
              <w:top w:val="single" w:sz="4" w:space="0" w:color="FFFFFF"/>
              <w:left w:val="single" w:sz="4" w:space="0" w:color="FFFFFF"/>
              <w:bottom w:val="single" w:sz="4" w:space="0" w:color="FFFFFF"/>
            </w:tcBorders>
            <w:shd w:color="auto" w:fill="F3F3F3" w:val="clear"/>
          </w:tcPr>
          <w:p>
            <w:pPr>
              <w:pStyle w:val="Normal"/>
              <w:widowControl w:val="false"/>
              <w:spacing w:before="60" w:after="60"/>
              <w:jc w:val="center"/>
              <w:rPr/>
            </w:pPr>
            <w:r>
              <w:rPr>
                <w:rStyle w:val="Muydestacado"/>
                <w:b w:val="false"/>
                <w:color w:val="000000"/>
                <w:sz w:val="22"/>
                <w:szCs w:val="22"/>
                <w:shd w:fill="auto" w:val="clear"/>
              </w:rPr>
              <w:t>Mesos</w:t>
            </w:r>
          </w:p>
        </w:tc>
        <w:tc>
          <w:tcPr>
            <w:tcW w:w="1861" w:type="dxa"/>
            <w:tcBorders>
              <w:top w:val="single" w:sz="4" w:space="0" w:color="FFFFFF"/>
              <w:left w:val="single" w:sz="4" w:space="0" w:color="FFFFFF"/>
              <w:bottom w:val="single" w:sz="4" w:space="0" w:color="FFFFFF"/>
            </w:tcBorders>
            <w:shd w:color="auto" w:fill="F3F3F3" w:val="clear"/>
          </w:tcPr>
          <w:p>
            <w:pPr>
              <w:pStyle w:val="Normal"/>
              <w:widowControl w:val="false"/>
              <w:spacing w:before="60" w:after="60"/>
              <w:jc w:val="center"/>
              <w:rPr>
                <w:rFonts w:ascii="Arial" w:hAnsi="Arial"/>
                <w:sz w:val="22"/>
                <w:szCs w:val="22"/>
                <w:shd w:fill="auto" w:val="clear"/>
              </w:rPr>
            </w:pPr>
            <w:r>
              <w:rPr>
                <w:sz w:val="22"/>
                <w:szCs w:val="22"/>
                <w:shd w:fill="auto" w:val="clear"/>
              </w:rPr>
              <w:t>Despesa</w:t>
            </w:r>
          </w:p>
        </w:tc>
      </w:tr>
      <w:tr>
        <w:trPr/>
        <w:tc>
          <w:tcPr>
            <w:tcW w:w="3513" w:type="dxa"/>
            <w:tcBorders>
              <w:top w:val="single" w:sz="4" w:space="0" w:color="FFFFFF"/>
              <w:left w:val="single" w:sz="4" w:space="0" w:color="FFFFFF"/>
              <w:bottom w:val="single" w:sz="4" w:space="0" w:color="FFFFFF"/>
            </w:tcBorders>
            <w:shd w:color="auto" w:fill="F3F3F3" w:val="clear"/>
          </w:tcPr>
          <w:p>
            <w:pPr>
              <w:pStyle w:val="TableParagraph"/>
              <w:widowControl w:val="false"/>
              <w:spacing w:before="59" w:after="0"/>
              <w:ind w:left="0" w:right="26" w:hanging="0"/>
              <w:jc w:val="center"/>
              <w:rPr>
                <w:rFonts w:ascii="Arial" w:hAnsi="Arial"/>
                <w:sz w:val="22"/>
                <w:shd w:fill="auto" w:val="clear"/>
              </w:rPr>
            </w:pPr>
            <w:r>
              <w:rPr>
                <w:rFonts w:ascii="Arial" w:hAnsi="Arial"/>
                <w:spacing w:val="-2"/>
                <w:sz w:val="22"/>
                <w:shd w:fill="auto" w:val="clear"/>
              </w:rPr>
              <w:t>5422/32301/22711</w:t>
            </w:r>
          </w:p>
        </w:tc>
        <w:tc>
          <w:tcPr>
            <w:tcW w:w="1362" w:type="dxa"/>
            <w:tcBorders>
              <w:top w:val="single" w:sz="4" w:space="0" w:color="FFFFFF"/>
              <w:left w:val="single" w:sz="4" w:space="0" w:color="FFFFFF"/>
              <w:bottom w:val="single" w:sz="4" w:space="0" w:color="FFFFFF"/>
            </w:tcBorders>
            <w:shd w:color="auto" w:fill="F3F3F3" w:val="clear"/>
            <w:vAlign w:val="center"/>
          </w:tcPr>
          <w:p>
            <w:pPr>
              <w:pStyle w:val="Normal"/>
              <w:widowControl w:val="false"/>
              <w:spacing w:before="60" w:after="60"/>
              <w:jc w:val="center"/>
              <w:rPr>
                <w:rFonts w:ascii="Arial" w:hAnsi="Arial" w:eastAsia="SimSun;宋体"/>
                <w:color w:val="00000A"/>
                <w:sz w:val="22"/>
                <w:szCs w:val="22"/>
                <w:shd w:fill="auto" w:val="clear"/>
                <w:lang w:val="ca-ES" w:eastAsia="zh-CN"/>
              </w:rPr>
            </w:pPr>
            <w:r>
              <w:rPr>
                <w:rFonts w:eastAsia="SimSun;宋体"/>
                <w:color w:val="00000A"/>
                <w:sz w:val="22"/>
                <w:szCs w:val="22"/>
                <w:shd w:fill="auto" w:val="clear"/>
                <w:lang w:val="ca-ES" w:eastAsia="zh-CN"/>
              </w:rPr>
              <w:t>2025</w:t>
            </w:r>
          </w:p>
        </w:tc>
        <w:tc>
          <w:tcPr>
            <w:tcW w:w="1538" w:type="dxa"/>
            <w:tcBorders>
              <w:top w:val="single" w:sz="4" w:space="0" w:color="FFFFFF"/>
              <w:left w:val="single" w:sz="4" w:space="0" w:color="FFFFFF"/>
              <w:bottom w:val="single" w:sz="4" w:space="0" w:color="FFFFFF"/>
            </w:tcBorders>
            <w:shd w:color="auto" w:fill="F3F3F3" w:val="clear"/>
            <w:vAlign w:val="center"/>
          </w:tcPr>
          <w:p>
            <w:pPr>
              <w:pStyle w:val="Normal"/>
              <w:widowControl w:val="false"/>
              <w:jc w:val="center"/>
              <w:rPr>
                <w:rFonts w:ascii="Arial" w:hAnsi="Arial"/>
                <w:sz w:val="22"/>
                <w:szCs w:val="22"/>
                <w:shd w:fill="auto" w:val="clear"/>
              </w:rPr>
            </w:pPr>
            <w:r>
              <w:rPr>
                <w:sz w:val="22"/>
                <w:szCs w:val="22"/>
                <w:shd w:fill="auto" w:val="clear"/>
              </w:rPr>
              <w:t>3</w:t>
            </w:r>
          </w:p>
        </w:tc>
        <w:tc>
          <w:tcPr>
            <w:tcW w:w="1861" w:type="dxa"/>
            <w:tcBorders>
              <w:top w:val="single" w:sz="4" w:space="0" w:color="FFFFFF"/>
              <w:left w:val="single" w:sz="4" w:space="0" w:color="FFFFFF"/>
              <w:bottom w:val="single" w:sz="4" w:space="0" w:color="FFFFFF"/>
            </w:tcBorders>
            <w:shd w:color="auto" w:fill="F3F3F3" w:val="clear"/>
            <w:vAlign w:val="center"/>
          </w:tcPr>
          <w:p>
            <w:pPr>
              <w:pStyle w:val="TableParagraph"/>
              <w:widowControl w:val="false"/>
              <w:spacing w:before="59" w:after="0"/>
              <w:jc w:val="right"/>
              <w:rPr>
                <w:rFonts w:ascii="Arial" w:hAnsi="Arial"/>
                <w:sz w:val="22"/>
                <w:szCs w:val="22"/>
              </w:rPr>
            </w:pPr>
            <w:r>
              <w:rPr>
                <w:rFonts w:ascii="Arial" w:hAnsi="Arial"/>
                <w:sz w:val="22"/>
                <w:szCs w:val="22"/>
              </w:rPr>
              <w:t>270.863,60 €</w:t>
            </w:r>
          </w:p>
        </w:tc>
      </w:tr>
      <w:tr>
        <w:trPr/>
        <w:tc>
          <w:tcPr>
            <w:tcW w:w="3513" w:type="dxa"/>
            <w:tcBorders>
              <w:top w:val="single" w:sz="4" w:space="0" w:color="FFFFFF"/>
              <w:left w:val="single" w:sz="4" w:space="0" w:color="FFFFFF"/>
              <w:bottom w:val="single" w:sz="4" w:space="0" w:color="FFFFFF"/>
            </w:tcBorders>
            <w:shd w:color="auto" w:fill="F3F3F3" w:val="clear"/>
          </w:tcPr>
          <w:p>
            <w:pPr>
              <w:pStyle w:val="TableParagraph"/>
              <w:widowControl w:val="false"/>
              <w:spacing w:before="59" w:after="0"/>
              <w:ind w:left="0" w:right="26" w:hanging="0"/>
              <w:jc w:val="center"/>
              <w:rPr>
                <w:rFonts w:ascii="Arial" w:hAnsi="Arial"/>
                <w:sz w:val="22"/>
                <w:shd w:fill="auto" w:val="clear"/>
              </w:rPr>
            </w:pPr>
            <w:r>
              <w:rPr>
                <w:rFonts w:ascii="Arial" w:hAnsi="Arial"/>
                <w:spacing w:val="-2"/>
                <w:sz w:val="22"/>
                <w:shd w:fill="auto" w:val="clear"/>
              </w:rPr>
              <w:t>5422/32302/22711</w:t>
            </w:r>
          </w:p>
        </w:tc>
        <w:tc>
          <w:tcPr>
            <w:tcW w:w="1362" w:type="dxa"/>
            <w:tcBorders>
              <w:top w:val="single" w:sz="4" w:space="0" w:color="FFFFFF"/>
              <w:left w:val="single" w:sz="4" w:space="0" w:color="FFFFFF"/>
              <w:bottom w:val="single" w:sz="4" w:space="0" w:color="FFFFFF"/>
            </w:tcBorders>
            <w:shd w:color="auto" w:fill="F3F3F3" w:val="clear"/>
            <w:vAlign w:val="center"/>
          </w:tcPr>
          <w:p>
            <w:pPr>
              <w:pStyle w:val="Normal"/>
              <w:widowControl w:val="false"/>
              <w:spacing w:before="60" w:after="60"/>
              <w:jc w:val="center"/>
              <w:rPr>
                <w:rFonts w:ascii="Arial" w:hAnsi="Arial" w:eastAsia="SimSun;宋体"/>
                <w:color w:val="00000A"/>
                <w:sz w:val="22"/>
                <w:szCs w:val="22"/>
                <w:shd w:fill="auto" w:val="clear"/>
                <w:lang w:val="ca-ES" w:eastAsia="zh-CN"/>
              </w:rPr>
            </w:pPr>
            <w:r>
              <w:rPr>
                <w:rFonts w:eastAsia="SimSun;宋体"/>
                <w:color w:val="00000A"/>
                <w:sz w:val="22"/>
                <w:szCs w:val="22"/>
                <w:shd w:fill="auto" w:val="clear"/>
                <w:lang w:val="ca-ES" w:eastAsia="zh-CN"/>
              </w:rPr>
              <w:t>2025</w:t>
            </w:r>
          </w:p>
        </w:tc>
        <w:tc>
          <w:tcPr>
            <w:tcW w:w="1538" w:type="dxa"/>
            <w:tcBorders>
              <w:top w:val="single" w:sz="4" w:space="0" w:color="FFFFFF"/>
              <w:left w:val="single" w:sz="4" w:space="0" w:color="FFFFFF"/>
              <w:bottom w:val="single" w:sz="4" w:space="0" w:color="FFFFFF"/>
            </w:tcBorders>
            <w:shd w:color="auto" w:fill="F3F3F3" w:val="clear"/>
            <w:vAlign w:val="center"/>
          </w:tcPr>
          <w:p>
            <w:pPr>
              <w:pStyle w:val="Normal"/>
              <w:widowControl w:val="false"/>
              <w:jc w:val="center"/>
              <w:rPr>
                <w:rFonts w:ascii="Arial" w:hAnsi="Arial"/>
                <w:sz w:val="22"/>
                <w:szCs w:val="22"/>
                <w:shd w:fill="auto" w:val="clear"/>
              </w:rPr>
            </w:pPr>
            <w:r>
              <w:rPr>
                <w:sz w:val="22"/>
                <w:szCs w:val="22"/>
                <w:shd w:fill="auto" w:val="clear"/>
              </w:rPr>
              <w:t>3</w:t>
            </w:r>
          </w:p>
        </w:tc>
        <w:tc>
          <w:tcPr>
            <w:tcW w:w="1861" w:type="dxa"/>
            <w:tcBorders>
              <w:top w:val="single" w:sz="4" w:space="0" w:color="FFFFFF"/>
              <w:left w:val="single" w:sz="4" w:space="0" w:color="FFFFFF"/>
              <w:bottom w:val="single" w:sz="4" w:space="0" w:color="FFFFFF"/>
            </w:tcBorders>
            <w:shd w:color="auto" w:fill="F3F3F3" w:val="clear"/>
            <w:vAlign w:val="center"/>
          </w:tcPr>
          <w:p>
            <w:pPr>
              <w:pStyle w:val="TableParagraph"/>
              <w:widowControl w:val="false"/>
              <w:spacing w:before="59" w:after="0"/>
              <w:jc w:val="right"/>
              <w:rPr>
                <w:rFonts w:ascii="Arial" w:hAnsi="Arial"/>
                <w:sz w:val="22"/>
                <w:szCs w:val="22"/>
              </w:rPr>
            </w:pPr>
            <w:r>
              <w:rPr>
                <w:rFonts w:ascii="Arial" w:hAnsi="Arial"/>
                <w:sz w:val="22"/>
                <w:szCs w:val="22"/>
              </w:rPr>
              <w:t>39.469,58 €</w:t>
            </w:r>
          </w:p>
        </w:tc>
      </w:tr>
      <w:tr>
        <w:trPr/>
        <w:tc>
          <w:tcPr>
            <w:tcW w:w="3513" w:type="dxa"/>
            <w:tcBorders>
              <w:left w:val="single" w:sz="4" w:space="0" w:color="FFFFFF"/>
              <w:bottom w:val="single" w:sz="4" w:space="0" w:color="FFFFFF"/>
            </w:tcBorders>
            <w:shd w:color="auto" w:fill="F3F3F3" w:val="clear"/>
          </w:tcPr>
          <w:p>
            <w:pPr>
              <w:pStyle w:val="TableParagraph"/>
              <w:widowControl w:val="false"/>
              <w:spacing w:before="59" w:after="0"/>
              <w:ind w:left="0" w:right="26" w:hanging="0"/>
              <w:jc w:val="center"/>
              <w:rPr>
                <w:rFonts w:ascii="Arial" w:hAnsi="Arial"/>
                <w:sz w:val="22"/>
                <w:shd w:fill="auto" w:val="clear"/>
              </w:rPr>
            </w:pPr>
            <w:r>
              <w:rPr>
                <w:rFonts w:ascii="Arial" w:hAnsi="Arial"/>
                <w:spacing w:val="-2"/>
                <w:sz w:val="22"/>
                <w:shd w:fill="auto" w:val="clear"/>
              </w:rPr>
              <w:t>5422/32301/22711</w:t>
            </w:r>
          </w:p>
        </w:tc>
        <w:tc>
          <w:tcPr>
            <w:tcW w:w="1362" w:type="dxa"/>
            <w:tcBorders>
              <w:left w:val="single" w:sz="4" w:space="0" w:color="FFFFFF"/>
              <w:bottom w:val="single" w:sz="4" w:space="0" w:color="FFFFFF"/>
            </w:tcBorders>
            <w:shd w:color="auto" w:fill="F3F3F3" w:val="clear"/>
            <w:vAlign w:val="center"/>
          </w:tcPr>
          <w:p>
            <w:pPr>
              <w:pStyle w:val="Normal"/>
              <w:widowControl w:val="false"/>
              <w:spacing w:before="60" w:after="60"/>
              <w:jc w:val="center"/>
              <w:rPr>
                <w:rFonts w:ascii="Arial" w:hAnsi="Arial" w:eastAsia="SimSun;宋体"/>
                <w:color w:val="00000A"/>
                <w:sz w:val="22"/>
                <w:szCs w:val="22"/>
                <w:shd w:fill="auto" w:val="clear"/>
                <w:lang w:val="ca-ES" w:eastAsia="zh-CN"/>
              </w:rPr>
            </w:pPr>
            <w:r>
              <w:rPr>
                <w:rFonts w:eastAsia="SimSun;宋体"/>
                <w:color w:val="00000A"/>
                <w:sz w:val="22"/>
                <w:szCs w:val="22"/>
                <w:shd w:fill="auto" w:val="clear"/>
                <w:lang w:val="ca-ES" w:eastAsia="zh-CN"/>
              </w:rPr>
              <w:t>2026</w:t>
            </w:r>
          </w:p>
        </w:tc>
        <w:tc>
          <w:tcPr>
            <w:tcW w:w="1538" w:type="dxa"/>
            <w:tcBorders>
              <w:left w:val="single" w:sz="4" w:space="0" w:color="FFFFFF"/>
              <w:bottom w:val="single" w:sz="4" w:space="0" w:color="FFFFFF"/>
            </w:tcBorders>
            <w:shd w:color="auto" w:fill="F3F3F3" w:val="clear"/>
            <w:vAlign w:val="center"/>
          </w:tcPr>
          <w:p>
            <w:pPr>
              <w:pStyle w:val="Normal"/>
              <w:widowControl w:val="false"/>
              <w:jc w:val="center"/>
              <w:rPr>
                <w:rFonts w:ascii="Arial" w:hAnsi="Arial"/>
                <w:sz w:val="22"/>
                <w:szCs w:val="22"/>
                <w:shd w:fill="auto" w:val="clear"/>
              </w:rPr>
            </w:pPr>
            <w:r>
              <w:rPr>
                <w:sz w:val="22"/>
                <w:szCs w:val="22"/>
                <w:shd w:fill="auto" w:val="clear"/>
              </w:rPr>
              <w:t>10</w:t>
            </w:r>
          </w:p>
        </w:tc>
        <w:tc>
          <w:tcPr>
            <w:tcW w:w="1861" w:type="dxa"/>
            <w:tcBorders>
              <w:left w:val="single" w:sz="4" w:space="0" w:color="FFFFFF"/>
              <w:bottom w:val="single" w:sz="4" w:space="0" w:color="FFFFFF"/>
            </w:tcBorders>
            <w:shd w:color="auto" w:fill="F3F3F3" w:val="clear"/>
            <w:vAlign w:val="center"/>
          </w:tcPr>
          <w:p>
            <w:pPr>
              <w:pStyle w:val="TableParagraph"/>
              <w:widowControl w:val="false"/>
              <w:spacing w:before="59" w:after="0"/>
              <w:jc w:val="right"/>
              <w:rPr>
                <w:rFonts w:ascii="Arial" w:hAnsi="Arial"/>
                <w:sz w:val="22"/>
                <w:szCs w:val="22"/>
              </w:rPr>
            </w:pPr>
            <w:r>
              <w:rPr>
                <w:rFonts w:ascii="Arial" w:hAnsi="Arial"/>
                <w:sz w:val="22"/>
                <w:szCs w:val="22"/>
              </w:rPr>
              <w:t>916.473,23 €</w:t>
            </w:r>
          </w:p>
        </w:tc>
      </w:tr>
      <w:tr>
        <w:trPr/>
        <w:tc>
          <w:tcPr>
            <w:tcW w:w="3513" w:type="dxa"/>
            <w:tcBorders>
              <w:left w:val="single" w:sz="4" w:space="0" w:color="FFFFFF"/>
              <w:bottom w:val="single" w:sz="4" w:space="0" w:color="FFFFFF"/>
            </w:tcBorders>
            <w:shd w:color="auto" w:fill="F3F3F3" w:val="clear"/>
          </w:tcPr>
          <w:p>
            <w:pPr>
              <w:pStyle w:val="TableParagraph"/>
              <w:widowControl w:val="false"/>
              <w:spacing w:before="59" w:after="0"/>
              <w:ind w:left="0" w:right="26" w:hanging="0"/>
              <w:jc w:val="center"/>
              <w:rPr>
                <w:rFonts w:ascii="Arial" w:hAnsi="Arial"/>
                <w:sz w:val="22"/>
                <w:shd w:fill="auto" w:val="clear"/>
              </w:rPr>
            </w:pPr>
            <w:r>
              <w:rPr>
                <w:rFonts w:ascii="Arial" w:hAnsi="Arial"/>
                <w:spacing w:val="-2"/>
                <w:sz w:val="22"/>
                <w:shd w:fill="auto" w:val="clear"/>
              </w:rPr>
              <w:t>5422/32302/22711</w:t>
            </w:r>
          </w:p>
        </w:tc>
        <w:tc>
          <w:tcPr>
            <w:tcW w:w="1362" w:type="dxa"/>
            <w:tcBorders>
              <w:left w:val="single" w:sz="4" w:space="0" w:color="FFFFFF"/>
              <w:bottom w:val="single" w:sz="4" w:space="0" w:color="FFFFFF"/>
            </w:tcBorders>
            <w:shd w:color="auto" w:fill="F3F3F3" w:val="clear"/>
            <w:vAlign w:val="center"/>
          </w:tcPr>
          <w:p>
            <w:pPr>
              <w:pStyle w:val="Normal"/>
              <w:widowControl w:val="false"/>
              <w:spacing w:before="60" w:after="60"/>
              <w:jc w:val="center"/>
              <w:rPr>
                <w:rFonts w:ascii="Arial" w:hAnsi="Arial" w:eastAsia="SimSun;宋体"/>
                <w:color w:val="00000A"/>
                <w:sz w:val="22"/>
                <w:szCs w:val="22"/>
                <w:shd w:fill="auto" w:val="clear"/>
                <w:lang w:val="ca-ES" w:eastAsia="zh-CN"/>
              </w:rPr>
            </w:pPr>
            <w:r>
              <w:rPr>
                <w:rFonts w:eastAsia="SimSun;宋体"/>
                <w:color w:val="00000A"/>
                <w:sz w:val="22"/>
                <w:szCs w:val="22"/>
                <w:shd w:fill="auto" w:val="clear"/>
                <w:lang w:val="ca-ES" w:eastAsia="zh-CN"/>
              </w:rPr>
              <w:t>2026</w:t>
            </w:r>
          </w:p>
        </w:tc>
        <w:tc>
          <w:tcPr>
            <w:tcW w:w="1538" w:type="dxa"/>
            <w:tcBorders>
              <w:left w:val="single" w:sz="4" w:space="0" w:color="FFFFFF"/>
              <w:bottom w:val="single" w:sz="4" w:space="0" w:color="FFFFFF"/>
            </w:tcBorders>
            <w:shd w:color="auto" w:fill="F3F3F3" w:val="clear"/>
            <w:vAlign w:val="center"/>
          </w:tcPr>
          <w:p>
            <w:pPr>
              <w:pStyle w:val="Normal"/>
              <w:widowControl w:val="false"/>
              <w:jc w:val="center"/>
              <w:rPr>
                <w:rFonts w:ascii="Arial" w:hAnsi="Arial"/>
                <w:sz w:val="22"/>
                <w:szCs w:val="22"/>
                <w:shd w:fill="auto" w:val="clear"/>
              </w:rPr>
            </w:pPr>
            <w:r>
              <w:rPr>
                <w:sz w:val="22"/>
                <w:szCs w:val="22"/>
                <w:shd w:fill="auto" w:val="clear"/>
              </w:rPr>
              <w:t>10</w:t>
            </w:r>
          </w:p>
        </w:tc>
        <w:tc>
          <w:tcPr>
            <w:tcW w:w="1861" w:type="dxa"/>
            <w:tcBorders>
              <w:left w:val="single" w:sz="4" w:space="0" w:color="FFFFFF"/>
              <w:bottom w:val="single" w:sz="4" w:space="0" w:color="FFFFFF"/>
            </w:tcBorders>
            <w:shd w:color="auto" w:fill="F3F3F3" w:val="clear"/>
            <w:vAlign w:val="center"/>
          </w:tcPr>
          <w:p>
            <w:pPr>
              <w:pStyle w:val="TableParagraph"/>
              <w:widowControl w:val="false"/>
              <w:spacing w:before="59" w:after="0"/>
              <w:jc w:val="right"/>
              <w:rPr>
                <w:rFonts w:ascii="Arial" w:hAnsi="Arial"/>
                <w:sz w:val="22"/>
                <w:szCs w:val="22"/>
              </w:rPr>
            </w:pPr>
            <w:r>
              <w:rPr>
                <w:rFonts w:ascii="Arial" w:hAnsi="Arial"/>
                <w:sz w:val="22"/>
                <w:szCs w:val="22"/>
              </w:rPr>
              <w:t>125.456,89 €</w:t>
            </w:r>
          </w:p>
        </w:tc>
      </w:tr>
      <w:tr>
        <w:trPr/>
        <w:tc>
          <w:tcPr>
            <w:tcW w:w="3513" w:type="dxa"/>
            <w:tcBorders>
              <w:left w:val="single" w:sz="4" w:space="0" w:color="FFFFFF"/>
              <w:bottom w:val="single" w:sz="4" w:space="0" w:color="FFFFFF"/>
            </w:tcBorders>
            <w:shd w:color="auto" w:fill="F3F3F3" w:val="clear"/>
          </w:tcPr>
          <w:p>
            <w:pPr>
              <w:pStyle w:val="TableParagraph"/>
              <w:widowControl w:val="false"/>
              <w:spacing w:before="59" w:after="0"/>
              <w:ind w:left="0" w:right="26" w:hanging="0"/>
              <w:jc w:val="center"/>
              <w:rPr>
                <w:rFonts w:ascii="Arial" w:hAnsi="Arial"/>
                <w:sz w:val="22"/>
                <w:shd w:fill="auto" w:val="clear"/>
              </w:rPr>
            </w:pPr>
            <w:r>
              <w:rPr>
                <w:rFonts w:ascii="Arial" w:hAnsi="Arial"/>
                <w:spacing w:val="-2"/>
                <w:sz w:val="22"/>
                <w:shd w:fill="auto" w:val="clear"/>
              </w:rPr>
              <w:t>5422/32301/22711</w:t>
            </w:r>
          </w:p>
        </w:tc>
        <w:tc>
          <w:tcPr>
            <w:tcW w:w="1362" w:type="dxa"/>
            <w:tcBorders>
              <w:left w:val="single" w:sz="4" w:space="0" w:color="FFFFFF"/>
              <w:bottom w:val="single" w:sz="4" w:space="0" w:color="FFFFFF"/>
            </w:tcBorders>
            <w:shd w:color="auto" w:fill="F3F3F3" w:val="clear"/>
            <w:vAlign w:val="center"/>
          </w:tcPr>
          <w:p>
            <w:pPr>
              <w:pStyle w:val="Normal"/>
              <w:widowControl w:val="false"/>
              <w:spacing w:before="60" w:after="60"/>
              <w:jc w:val="center"/>
              <w:rPr>
                <w:rFonts w:ascii="Arial" w:hAnsi="Arial" w:eastAsia="SimSun;宋体"/>
                <w:color w:val="00000A"/>
                <w:sz w:val="22"/>
                <w:szCs w:val="22"/>
                <w:shd w:fill="auto" w:val="clear"/>
                <w:lang w:val="ca-ES" w:eastAsia="zh-CN"/>
              </w:rPr>
            </w:pPr>
            <w:r>
              <w:rPr>
                <w:rFonts w:eastAsia="SimSun;宋体"/>
                <w:color w:val="00000A"/>
                <w:sz w:val="22"/>
                <w:szCs w:val="22"/>
                <w:shd w:fill="auto" w:val="clear"/>
                <w:lang w:val="ca-ES" w:eastAsia="zh-CN"/>
              </w:rPr>
              <w:t>2027</w:t>
            </w:r>
          </w:p>
        </w:tc>
        <w:tc>
          <w:tcPr>
            <w:tcW w:w="1538" w:type="dxa"/>
            <w:tcBorders>
              <w:left w:val="single" w:sz="4" w:space="0" w:color="FFFFFF"/>
              <w:bottom w:val="single" w:sz="4" w:space="0" w:color="FFFFFF"/>
            </w:tcBorders>
            <w:shd w:color="auto" w:fill="F3F3F3" w:val="clear"/>
            <w:vAlign w:val="center"/>
          </w:tcPr>
          <w:p>
            <w:pPr>
              <w:pStyle w:val="Normal"/>
              <w:widowControl w:val="false"/>
              <w:jc w:val="center"/>
              <w:rPr>
                <w:rFonts w:ascii="Arial" w:hAnsi="Arial"/>
                <w:sz w:val="22"/>
                <w:szCs w:val="22"/>
                <w:shd w:fill="auto" w:val="clear"/>
              </w:rPr>
            </w:pPr>
            <w:r>
              <w:rPr>
                <w:sz w:val="22"/>
                <w:szCs w:val="22"/>
                <w:shd w:fill="auto" w:val="clear"/>
              </w:rPr>
              <w:t>7</w:t>
            </w:r>
          </w:p>
        </w:tc>
        <w:tc>
          <w:tcPr>
            <w:tcW w:w="1861" w:type="dxa"/>
            <w:tcBorders>
              <w:left w:val="single" w:sz="4" w:space="0" w:color="FFFFFF"/>
              <w:bottom w:val="single" w:sz="4" w:space="0" w:color="FFFFFF"/>
            </w:tcBorders>
            <w:shd w:color="auto" w:fill="F3F3F3" w:val="clear"/>
            <w:vAlign w:val="center"/>
          </w:tcPr>
          <w:p>
            <w:pPr>
              <w:pStyle w:val="TableParagraph"/>
              <w:widowControl w:val="false"/>
              <w:spacing w:before="59" w:after="0"/>
              <w:jc w:val="right"/>
              <w:rPr>
                <w:rFonts w:ascii="Arial" w:hAnsi="Arial"/>
                <w:sz w:val="22"/>
                <w:szCs w:val="22"/>
              </w:rPr>
            </w:pPr>
            <w:r>
              <w:rPr>
                <w:rFonts w:ascii="Arial" w:hAnsi="Arial"/>
                <w:sz w:val="22"/>
                <w:szCs w:val="22"/>
              </w:rPr>
              <w:t>645.609,62 €</w:t>
            </w:r>
          </w:p>
        </w:tc>
      </w:tr>
      <w:tr>
        <w:trPr/>
        <w:tc>
          <w:tcPr>
            <w:tcW w:w="3513" w:type="dxa"/>
            <w:tcBorders>
              <w:left w:val="single" w:sz="4" w:space="0" w:color="FFFFFF"/>
              <w:bottom w:val="single" w:sz="4" w:space="0" w:color="FFFFFF"/>
            </w:tcBorders>
            <w:shd w:color="auto" w:fill="F3F3F3" w:val="clear"/>
          </w:tcPr>
          <w:p>
            <w:pPr>
              <w:pStyle w:val="TableParagraph"/>
              <w:widowControl w:val="false"/>
              <w:spacing w:before="59" w:after="0"/>
              <w:ind w:left="0" w:right="26" w:hanging="0"/>
              <w:jc w:val="center"/>
              <w:rPr>
                <w:rFonts w:ascii="Arial" w:hAnsi="Arial"/>
                <w:sz w:val="22"/>
                <w:shd w:fill="auto" w:val="clear"/>
              </w:rPr>
            </w:pPr>
            <w:r>
              <w:rPr>
                <w:rFonts w:ascii="Arial" w:hAnsi="Arial"/>
                <w:spacing w:val="-2"/>
                <w:sz w:val="22"/>
                <w:shd w:fill="auto" w:val="clear"/>
              </w:rPr>
              <w:t>5422/32302/22711</w:t>
            </w:r>
          </w:p>
        </w:tc>
        <w:tc>
          <w:tcPr>
            <w:tcW w:w="1362" w:type="dxa"/>
            <w:tcBorders>
              <w:left w:val="single" w:sz="4" w:space="0" w:color="FFFFFF"/>
              <w:bottom w:val="single" w:sz="4" w:space="0" w:color="FFFFFF"/>
            </w:tcBorders>
            <w:shd w:color="auto" w:fill="F3F3F3" w:val="clear"/>
            <w:vAlign w:val="center"/>
          </w:tcPr>
          <w:p>
            <w:pPr>
              <w:pStyle w:val="Normal"/>
              <w:widowControl w:val="false"/>
              <w:spacing w:before="60" w:after="60"/>
              <w:jc w:val="center"/>
              <w:rPr>
                <w:rFonts w:ascii="Arial" w:hAnsi="Arial" w:eastAsia="SimSun;宋体"/>
                <w:color w:val="00000A"/>
                <w:sz w:val="22"/>
                <w:szCs w:val="22"/>
                <w:shd w:fill="auto" w:val="clear"/>
                <w:lang w:val="ca-ES" w:eastAsia="zh-CN"/>
              </w:rPr>
            </w:pPr>
            <w:r>
              <w:rPr>
                <w:rFonts w:eastAsia="SimSun;宋体"/>
                <w:color w:val="00000A"/>
                <w:sz w:val="22"/>
                <w:szCs w:val="22"/>
                <w:shd w:fill="auto" w:val="clear"/>
                <w:lang w:val="ca-ES" w:eastAsia="zh-CN"/>
              </w:rPr>
              <w:t>2027</w:t>
            </w:r>
          </w:p>
        </w:tc>
        <w:tc>
          <w:tcPr>
            <w:tcW w:w="1538" w:type="dxa"/>
            <w:tcBorders>
              <w:left w:val="single" w:sz="4" w:space="0" w:color="FFFFFF"/>
              <w:bottom w:val="single" w:sz="4" w:space="0" w:color="FFFFFF"/>
            </w:tcBorders>
            <w:shd w:color="auto" w:fill="F3F3F3" w:val="clear"/>
            <w:vAlign w:val="center"/>
          </w:tcPr>
          <w:p>
            <w:pPr>
              <w:pStyle w:val="Normal"/>
              <w:widowControl w:val="false"/>
              <w:jc w:val="center"/>
              <w:rPr>
                <w:rFonts w:ascii="Arial" w:hAnsi="Arial"/>
                <w:sz w:val="22"/>
                <w:szCs w:val="22"/>
                <w:shd w:fill="auto" w:val="clear"/>
              </w:rPr>
            </w:pPr>
            <w:r>
              <w:rPr>
                <w:sz w:val="22"/>
                <w:szCs w:val="22"/>
                <w:shd w:fill="auto" w:val="clear"/>
              </w:rPr>
              <w:t>7</w:t>
            </w:r>
          </w:p>
        </w:tc>
        <w:tc>
          <w:tcPr>
            <w:tcW w:w="1861" w:type="dxa"/>
            <w:tcBorders>
              <w:left w:val="single" w:sz="4" w:space="0" w:color="FFFFFF"/>
              <w:bottom w:val="single" w:sz="4" w:space="0" w:color="FFFFFF"/>
            </w:tcBorders>
            <w:shd w:color="auto" w:fill="F3F3F3" w:val="clear"/>
            <w:vAlign w:val="center"/>
          </w:tcPr>
          <w:p>
            <w:pPr>
              <w:pStyle w:val="TableParagraph"/>
              <w:widowControl w:val="false"/>
              <w:spacing w:before="59" w:after="0"/>
              <w:jc w:val="right"/>
              <w:rPr>
                <w:rFonts w:ascii="Arial" w:hAnsi="Arial"/>
                <w:sz w:val="22"/>
                <w:szCs w:val="22"/>
              </w:rPr>
            </w:pPr>
            <w:r>
              <w:rPr>
                <w:rFonts w:ascii="Arial" w:hAnsi="Arial"/>
                <w:sz w:val="22"/>
                <w:szCs w:val="22"/>
              </w:rPr>
              <w:t>85.987,32 €</w:t>
            </w:r>
          </w:p>
        </w:tc>
      </w:tr>
    </w:tbl>
    <w:p>
      <w:pPr>
        <w:pStyle w:val="Normal"/>
        <w:jc w:val="both"/>
        <w:rPr>
          <w:sz w:val="22"/>
          <w:szCs w:val="22"/>
          <w:shd w:fill="auto" w:val="clear"/>
        </w:rPr>
      </w:pPr>
      <w:r>
        <w:rPr>
          <w:sz w:val="22"/>
          <w:szCs w:val="22"/>
          <w:shd w:fill="auto" w:val="clear"/>
        </w:rPr>
      </w:r>
    </w:p>
    <w:p>
      <w:pPr>
        <w:pStyle w:val="Normal"/>
        <w:jc w:val="both"/>
        <w:rPr>
          <w:shd w:fill="auto" w:val="clear"/>
        </w:rPr>
      </w:pPr>
      <w:r>
        <w:rPr>
          <w:sz w:val="22"/>
          <w:szCs w:val="22"/>
          <w:shd w:fill="auto" w:val="clear"/>
        </w:rPr>
        <w:t>Atès que el contracte comporta despeses que s’hauran d’estendre a exercicis posteriors, la seva autorització o realització se subordina al crèdit que per a cada exercici autoritzi el Pressupost Municipal, de conformitat amb el que preveu l'article 174.1 del text refós de la Llei reguladora de les hisendes locals (Reial decret legislatiu 2/2004, de 5 de març).</w:t>
      </w:r>
    </w:p>
    <w:p>
      <w:pPr>
        <w:pStyle w:val="Normal"/>
        <w:jc w:val="both"/>
        <w:rPr>
          <w:sz w:val="22"/>
          <w:szCs w:val="22"/>
          <w:shd w:fill="auto" w:val="clear"/>
        </w:rPr>
      </w:pPr>
      <w:r>
        <w:rPr>
          <w:sz w:val="22"/>
          <w:szCs w:val="22"/>
          <w:shd w:fill="auto" w:val="clear"/>
        </w:rPr>
      </w:r>
    </w:p>
    <w:p>
      <w:pPr>
        <w:pStyle w:val="Normal"/>
        <w:jc w:val="both"/>
        <w:rPr>
          <w:sz w:val="22"/>
          <w:szCs w:val="22"/>
          <w:u w:val="single"/>
          <w:shd w:fill="auto" w:val="clear"/>
        </w:rPr>
      </w:pPr>
      <w:r>
        <w:rPr>
          <w:sz w:val="22"/>
          <w:szCs w:val="22"/>
          <w:u w:val="single"/>
          <w:shd w:fill="auto" w:val="clear"/>
        </w:rPr>
      </w:r>
    </w:p>
    <w:p>
      <w:pPr>
        <w:pStyle w:val="Normal"/>
        <w:jc w:val="both"/>
        <w:rPr/>
      </w:pPr>
      <w:r>
        <w:rPr>
          <w:b/>
          <w:sz w:val="22"/>
        </w:rPr>
        <w:t>DOTZENA.-</w:t>
      </w:r>
      <w:r>
        <w:rPr>
          <w:sz w:val="22"/>
        </w:rPr>
        <w:t xml:space="preserve"> </w:t>
      </w:r>
      <w:r>
        <w:rPr>
          <w:b/>
          <w:sz w:val="22"/>
        </w:rPr>
        <w:t>Durada del contracte i termini d’execució</w:t>
      </w:r>
    </w:p>
    <w:p>
      <w:pPr>
        <w:pStyle w:val="Normal"/>
        <w:tabs>
          <w:tab w:val="clear" w:pos="720"/>
          <w:tab w:val="left" w:pos="567" w:leader="none"/>
          <w:tab w:val="left" w:pos="2912" w:leader="none"/>
        </w:tabs>
        <w:jc w:val="both"/>
        <w:rPr>
          <w:b/>
          <w:b/>
          <w:sz w:val="22"/>
          <w:szCs w:val="22"/>
        </w:rPr>
      </w:pPr>
      <w:r>
        <w:rPr>
          <w:b/>
          <w:sz w:val="22"/>
          <w:szCs w:val="22"/>
        </w:rPr>
      </w:r>
    </w:p>
    <w:p>
      <w:pPr>
        <w:pStyle w:val="Normal"/>
        <w:jc w:val="both"/>
        <w:rPr>
          <w:shd w:fill="auto" w:val="clear"/>
        </w:rPr>
      </w:pPr>
      <w:r>
        <w:rPr>
          <w:sz w:val="22"/>
          <w:szCs w:val="22"/>
          <w:shd w:fill="auto" w:val="clear"/>
        </w:rPr>
        <w:t xml:space="preserve">El contracte tindrà una durada de 2 anys a comptar des de l’1 de setembre de 2025.  </w:t>
      </w:r>
    </w:p>
    <w:p>
      <w:pPr>
        <w:pStyle w:val="Normal"/>
        <w:jc w:val="both"/>
        <w:rPr>
          <w:sz w:val="22"/>
          <w:szCs w:val="22"/>
        </w:rPr>
      </w:pPr>
      <w:r>
        <w:rPr>
          <w:sz w:val="22"/>
          <w:szCs w:val="22"/>
        </w:rPr>
      </w:r>
    </w:p>
    <w:p>
      <w:pPr>
        <w:pStyle w:val="Normal"/>
        <w:jc w:val="both"/>
        <w:rPr>
          <w:shd w:fill="auto" w:val="clear"/>
        </w:rPr>
      </w:pPr>
      <w:r>
        <w:rPr>
          <w:sz w:val="22"/>
          <w:szCs w:val="22"/>
          <w:shd w:fill="auto" w:val="clear"/>
        </w:rPr>
        <w:t>El contracte es podrà prorrogar anulment fins a 2</w:t>
      </w:r>
      <w:r>
        <w:rPr>
          <w:sz w:val="22"/>
          <w:szCs w:val="22"/>
          <w:shd w:fill="auto" w:val="clear"/>
          <w:vertAlign w:val="superscript"/>
        </w:rPr>
        <w:t xml:space="preserve"> </w:t>
      </w:r>
      <w:r>
        <w:rPr>
          <w:position w:val="0"/>
          <w:sz w:val="22"/>
          <w:sz w:val="22"/>
          <w:szCs w:val="22"/>
          <w:shd w:fill="auto" w:val="clear"/>
          <w:vertAlign w:val="baseline"/>
        </w:rPr>
        <w:t>anys més.</w:t>
      </w:r>
    </w:p>
    <w:p>
      <w:pPr>
        <w:pStyle w:val="Normal"/>
        <w:jc w:val="both"/>
        <w:rPr>
          <w:sz w:val="22"/>
          <w:szCs w:val="22"/>
        </w:rPr>
      </w:pPr>
      <w:r>
        <w:rPr>
          <w:sz w:val="22"/>
          <w:szCs w:val="22"/>
        </w:rPr>
      </w:r>
    </w:p>
    <w:p>
      <w:pPr>
        <w:pStyle w:val="Normal"/>
        <w:jc w:val="both"/>
        <w:rPr>
          <w:shd w:fill="auto" w:val="clear"/>
        </w:rPr>
      </w:pPr>
      <w:r>
        <w:rPr>
          <w:sz w:val="22"/>
          <w:szCs w:val="22"/>
          <w:shd w:fill="auto" w:val="clear"/>
        </w:rPr>
        <w:t>El període d’execució del contracte és de setembre a juny coincidint amb el curs escolar que vindrà determinat pel Departament d’Educació de la Generalitat de Catalunya.</w:t>
      </w:r>
    </w:p>
    <w:p>
      <w:pPr>
        <w:pStyle w:val="Normal"/>
        <w:jc w:val="both"/>
        <w:rPr>
          <w:sz w:val="22"/>
          <w:szCs w:val="22"/>
        </w:rPr>
      </w:pPr>
      <w:r>
        <w:rPr>
          <w:sz w:val="22"/>
          <w:szCs w:val="22"/>
        </w:rPr>
      </w:r>
    </w:p>
    <w:p>
      <w:pPr>
        <w:pStyle w:val="Normal"/>
        <w:tabs>
          <w:tab w:val="clear" w:pos="720"/>
          <w:tab w:val="left" w:pos="3192" w:leader="none"/>
        </w:tabs>
        <w:jc w:val="both"/>
        <w:rPr>
          <w:sz w:val="22"/>
          <w:szCs w:val="22"/>
        </w:rPr>
      </w:pPr>
      <w:r>
        <w:rPr>
          <w:sz w:val="22"/>
          <w:szCs w:val="22"/>
        </w:rPr>
      </w:r>
    </w:p>
    <w:p>
      <w:pPr>
        <w:pStyle w:val="Encapalament7"/>
        <w:rPr/>
      </w:pPr>
      <w:r>
        <w:rPr/>
        <w:t>TRETZENA.- Tramitació de l’expedient</w:t>
      </w:r>
    </w:p>
    <w:p>
      <w:pPr>
        <w:pStyle w:val="Normal"/>
        <w:jc w:val="both"/>
        <w:rPr>
          <w:b/>
          <w:b/>
          <w:sz w:val="22"/>
        </w:rPr>
      </w:pPr>
      <w:r>
        <w:rPr>
          <w:b/>
          <w:sz w:val="22"/>
        </w:rPr>
      </w:r>
    </w:p>
    <w:p>
      <w:pPr>
        <w:pStyle w:val="Normal"/>
        <w:widowControl w:val="false"/>
        <w:jc w:val="both"/>
        <w:rPr>
          <w:shd w:fill="auto" w:val="clear"/>
        </w:rPr>
      </w:pPr>
      <w:r>
        <w:rPr>
          <w:sz w:val="22"/>
          <w:shd w:fill="auto" w:val="clear"/>
        </w:rPr>
        <w:t xml:space="preserve">L’expedient es tramitarà de forma </w:t>
      </w:r>
      <w:r>
        <w:rPr>
          <w:sz w:val="22"/>
          <w:szCs w:val="22"/>
          <w:shd w:fill="auto" w:val="clear"/>
        </w:rPr>
        <w:t>ordinària, sense reducció de terminis.</w:t>
      </w:r>
    </w:p>
    <w:p>
      <w:pPr>
        <w:pStyle w:val="Normal"/>
        <w:widowControl w:val="false"/>
        <w:jc w:val="both"/>
        <w:rPr>
          <w:sz w:val="22"/>
          <w:shd w:fill="auto" w:val="clear"/>
        </w:rPr>
      </w:pPr>
      <w:r>
        <w:rPr>
          <w:sz w:val="22"/>
          <w:shd w:fill="auto" w:val="clear"/>
        </w:rPr>
      </w:r>
    </w:p>
    <w:p>
      <w:pPr>
        <w:pStyle w:val="Normal"/>
        <w:jc w:val="both"/>
        <w:rPr>
          <w:sz w:val="22"/>
        </w:rPr>
      </w:pPr>
      <w:r>
        <w:rPr>
          <w:sz w:val="22"/>
        </w:rPr>
      </w:r>
    </w:p>
    <w:p>
      <w:pPr>
        <w:pStyle w:val="Normal"/>
        <w:jc w:val="both"/>
        <w:rPr/>
      </w:pPr>
      <w:r>
        <w:rPr>
          <w:b/>
          <w:sz w:val="22"/>
        </w:rPr>
        <w:t>CATORZENA.-</w:t>
      </w:r>
      <w:r>
        <w:rPr>
          <w:sz w:val="22"/>
        </w:rPr>
        <w:t xml:space="preserve">  </w:t>
      </w:r>
      <w:r>
        <w:rPr>
          <w:b/>
          <w:sz w:val="22"/>
        </w:rPr>
        <w:t>Procediment d’adjudicació</w:t>
      </w:r>
    </w:p>
    <w:p>
      <w:pPr>
        <w:pStyle w:val="Normal"/>
        <w:ind w:left="720" w:hanging="720"/>
        <w:jc w:val="both"/>
        <w:rPr>
          <w:sz w:val="22"/>
          <w:highlight w:val="yellow"/>
        </w:rPr>
      </w:pPr>
      <w:r>
        <w:rPr>
          <w:sz w:val="22"/>
          <w:highlight w:val="yellow"/>
        </w:rPr>
      </w:r>
    </w:p>
    <w:p>
      <w:pPr>
        <w:pStyle w:val="Normal"/>
        <w:jc w:val="both"/>
        <w:rPr>
          <w:sz w:val="22"/>
          <w:szCs w:val="22"/>
        </w:rPr>
      </w:pPr>
      <w:r>
        <w:rPr>
          <w:sz w:val="22"/>
          <w:szCs w:val="22"/>
        </w:rPr>
        <w:t xml:space="preserve">L'adjudicació del contracte s’efectuarà utilitzant el procediment obert, de conformitat amb els articles 156 i següents de la LCSP, </w:t>
      </w:r>
      <w:bookmarkStart w:id="3" w:name="_Hlk509833790"/>
      <w:r>
        <w:rPr>
          <w:sz w:val="22"/>
          <w:szCs w:val="22"/>
        </w:rPr>
        <w:t>i es basarà en el principi de millor relació qualitat-preu</w:t>
      </w:r>
      <w:bookmarkEnd w:id="3"/>
      <w:r>
        <w:rPr>
          <w:sz w:val="22"/>
          <w:szCs w:val="22"/>
        </w:rPr>
        <w:t xml:space="preserve">. </w:t>
      </w:r>
    </w:p>
    <w:p>
      <w:pPr>
        <w:pStyle w:val="Normal"/>
        <w:jc w:val="both"/>
        <w:rPr>
          <w:strike/>
          <w:color w:val="4F81BD" w:themeColor="accent1"/>
          <w:sz w:val="22"/>
          <w:szCs w:val="22"/>
        </w:rPr>
      </w:pPr>
      <w:r>
        <w:rPr>
          <w:strike/>
          <w:color w:val="4F81BD" w:themeColor="accent1"/>
          <w:sz w:val="22"/>
          <w:szCs w:val="22"/>
        </w:rPr>
      </w:r>
    </w:p>
    <w:p>
      <w:pPr>
        <w:pStyle w:val="Normal"/>
        <w:jc w:val="both"/>
        <w:rPr>
          <w:strike/>
          <w:color w:val="auto"/>
          <w:sz w:val="22"/>
          <w:szCs w:val="22"/>
        </w:rPr>
      </w:pPr>
      <w:r>
        <w:rPr>
          <w:color w:val="auto"/>
          <w:sz w:val="22"/>
          <w:szCs w:val="22"/>
        </w:rPr>
        <w:t>La licitació s’anunciarà en el perfil de contractant de l’Ajuntament,</w:t>
      </w:r>
      <w:bookmarkStart w:id="4" w:name="_GoBack"/>
      <w:bookmarkEnd w:id="4"/>
      <w:r>
        <w:rPr>
          <w:color w:val="auto"/>
          <w:sz w:val="22"/>
          <w:szCs w:val="22"/>
        </w:rPr>
        <w:t xml:space="preserve"> a través de la Plataforma de Serveis de Contractació Pública </w:t>
      </w:r>
      <w:hyperlink r:id="rId6">
        <w:r>
          <w:rPr>
            <w:rStyle w:val="EnlladInternet"/>
            <w:bCs/>
            <w:color w:val="auto"/>
            <w:sz w:val="22"/>
            <w:szCs w:val="22"/>
          </w:rPr>
          <w:t>https://contractaciopublica.cat/ca/perfils-contractant/detall/terrassa</w:t>
        </w:r>
      </w:hyperlink>
    </w:p>
    <w:p>
      <w:pPr>
        <w:pStyle w:val="Normal"/>
        <w:jc w:val="both"/>
        <w:rPr>
          <w:sz w:val="22"/>
        </w:rPr>
      </w:pPr>
      <w:r>
        <w:rPr>
          <w:sz w:val="22"/>
        </w:rPr>
      </w:r>
    </w:p>
    <w:p>
      <w:pPr>
        <w:pStyle w:val="Normal"/>
        <w:jc w:val="both"/>
        <w:rPr/>
      </w:pPr>
      <w:r>
        <w:rPr>
          <w:sz w:val="22"/>
        </w:rPr>
        <w:t>La licitació es publicarà, a més, en el Diari Oficial de la Unió Europea (DOUE).</w:t>
      </w:r>
    </w:p>
    <w:p>
      <w:pPr>
        <w:pStyle w:val="Normal"/>
        <w:jc w:val="both"/>
        <w:rPr>
          <w:sz w:val="22"/>
        </w:rPr>
      </w:pPr>
      <w:r>
        <w:rPr>
          <w:sz w:val="22"/>
        </w:rPr>
      </w:r>
    </w:p>
    <w:p>
      <w:pPr>
        <w:pStyle w:val="Normal"/>
        <w:jc w:val="both"/>
        <w:rPr>
          <w:b/>
          <w:b/>
          <w:sz w:val="22"/>
        </w:rPr>
      </w:pPr>
      <w:r>
        <w:rPr>
          <w:b/>
          <w:sz w:val="22"/>
        </w:rPr>
      </w:r>
    </w:p>
    <w:p>
      <w:pPr>
        <w:pStyle w:val="Normal"/>
        <w:jc w:val="both"/>
        <w:rPr/>
      </w:pPr>
      <w:r>
        <w:rPr>
          <w:b/>
          <w:sz w:val="22"/>
        </w:rPr>
        <w:t>QUINZENA.-</w:t>
      </w:r>
      <w:r>
        <w:rPr>
          <w:sz w:val="22"/>
        </w:rPr>
        <w:t xml:space="preserve"> </w:t>
      </w:r>
      <w:r>
        <w:rPr>
          <w:b/>
          <w:sz w:val="22"/>
        </w:rPr>
        <w:t xml:space="preserve">Criteris d’adjudicació </w:t>
      </w:r>
    </w:p>
    <w:p>
      <w:pPr>
        <w:pStyle w:val="Normal"/>
        <w:widowControl/>
        <w:numPr>
          <w:ilvl w:val="1"/>
          <w:numId w:val="29"/>
        </w:numPr>
        <w:suppressAutoHyphens w:val="true"/>
        <w:bidi w:val="0"/>
        <w:spacing w:before="198" w:after="198"/>
        <w:ind w:left="0" w:right="0" w:hanging="0"/>
        <w:jc w:val="both"/>
        <w:rPr>
          <w:shd w:fill="auto" w:val="clear"/>
        </w:rPr>
      </w:pPr>
      <w:r>
        <w:rPr>
          <w:b/>
          <w:sz w:val="22"/>
          <w:u w:val="single"/>
          <w:shd w:fill="auto" w:val="clear"/>
        </w:rPr>
        <w:t>Criteris d’adjudicació que es poden valorar mitjançant xifres o percentatges obtinguts a través de la mera aplicació de fórmules (sobre 2)</w:t>
      </w:r>
      <w:r>
        <w:rPr>
          <w:b/>
          <w:sz w:val="22"/>
          <w:shd w:fill="auto" w:val="clear"/>
        </w:rPr>
        <w:t>, fins a un màxim de 100</w:t>
      </w:r>
      <w:r>
        <w:rPr>
          <w:b/>
          <w:sz w:val="22"/>
          <w:szCs w:val="22"/>
          <w:shd w:fill="auto" w:val="clear"/>
        </w:rPr>
        <w:t xml:space="preserve"> punts</w:t>
      </w:r>
      <w:r>
        <w:rPr>
          <w:bCs/>
          <w:sz w:val="22"/>
          <w:szCs w:val="22"/>
          <w:shd w:fill="auto" w:val="clear"/>
        </w:rPr>
        <w:t xml:space="preserve">: </w:t>
      </w:r>
    </w:p>
    <w:p>
      <w:pPr>
        <w:pStyle w:val="Normal"/>
        <w:widowControl/>
        <w:numPr>
          <w:ilvl w:val="0"/>
          <w:numId w:val="0"/>
        </w:numPr>
        <w:suppressAutoHyphens w:val="true"/>
        <w:bidi w:val="0"/>
        <w:spacing w:before="198" w:after="198"/>
        <w:ind w:left="567" w:right="0" w:hanging="0"/>
        <w:jc w:val="both"/>
        <w:rPr>
          <w:shd w:fill="auto" w:val="clear"/>
        </w:rPr>
      </w:pPr>
      <w:r>
        <w:rPr>
          <w:shd w:fill="auto" w:val="clear"/>
        </w:rPr>
      </w:r>
    </w:p>
    <w:tbl>
      <w:tblPr>
        <w:tblW w:w="9750" w:type="dxa"/>
        <w:jc w:val="left"/>
        <w:tblInd w:w="25" w:type="dxa"/>
        <w:tblLayout w:type="fixed"/>
        <w:tblCellMar>
          <w:top w:w="85" w:type="dxa"/>
          <w:left w:w="85" w:type="dxa"/>
          <w:bottom w:w="85" w:type="dxa"/>
          <w:right w:w="85" w:type="dxa"/>
        </w:tblCellMar>
      </w:tblPr>
      <w:tblGrid>
        <w:gridCol w:w="8667"/>
        <w:gridCol w:w="458"/>
        <w:gridCol w:w="625"/>
      </w:tblGrid>
      <w:tr>
        <w:trPr>
          <w:trHeight w:val="256" w:hRule="atLeast"/>
        </w:trPr>
        <w:tc>
          <w:tcPr>
            <w:tcW w:w="8667" w:type="dxa"/>
            <w:tcBorders>
              <w:top w:val="single" w:sz="4" w:space="0" w:color="000000"/>
              <w:left w:val="single" w:sz="4" w:space="0" w:color="000000"/>
            </w:tcBorders>
            <w:vAlign w:val="bottom"/>
          </w:tcPr>
          <w:p>
            <w:pPr>
              <w:pStyle w:val="Normal"/>
              <w:widowControl w:val="false"/>
              <w:tabs>
                <w:tab w:val="clear" w:pos="720"/>
              </w:tabs>
              <w:jc w:val="both"/>
              <w:rPr>
                <w:sz w:val="22"/>
                <w:szCs w:val="22"/>
              </w:rPr>
            </w:pPr>
            <w:r>
              <w:rPr>
                <w:bCs/>
                <w:sz w:val="22"/>
                <w:szCs w:val="22"/>
                <w:shd w:fill="auto" w:val="clear"/>
              </w:rPr>
              <w:t>Incorporaci</w:t>
            </w:r>
            <w:r>
              <w:rPr>
                <w:sz w:val="22"/>
                <w:szCs w:val="22"/>
              </w:rPr>
              <w:t>ó d'aliments de producció ecològica, de proximitat i d'empresa d'economia social en l'elaboració del menú</w:t>
            </w:r>
          </w:p>
        </w:tc>
        <w:tc>
          <w:tcPr>
            <w:tcW w:w="458" w:type="dxa"/>
            <w:tcBorders>
              <w:top w:val="single" w:sz="4" w:space="0" w:color="000000"/>
            </w:tcBorders>
            <w:vAlign w:val="bottom"/>
          </w:tcPr>
          <w:p>
            <w:pPr>
              <w:pStyle w:val="Normal"/>
              <w:widowControl w:val="false"/>
              <w:tabs>
                <w:tab w:val="clear" w:pos="720"/>
              </w:tabs>
              <w:jc w:val="both"/>
              <w:rPr>
                <w:sz w:val="22"/>
                <w:szCs w:val="22"/>
              </w:rPr>
            </w:pPr>
            <w:r>
              <w:rPr>
                <w:sz w:val="22"/>
                <w:szCs w:val="22"/>
              </w:rPr>
            </w:r>
          </w:p>
          <w:p>
            <w:pPr>
              <w:pStyle w:val="Normal"/>
              <w:widowControl w:val="false"/>
              <w:tabs>
                <w:tab w:val="clear" w:pos="720"/>
              </w:tabs>
              <w:jc w:val="both"/>
              <w:rPr>
                <w:sz w:val="22"/>
                <w:szCs w:val="22"/>
              </w:rPr>
            </w:pPr>
            <w:r>
              <w:rPr>
                <w:sz w:val="22"/>
                <w:szCs w:val="22"/>
              </w:rPr>
            </w:r>
          </w:p>
        </w:tc>
        <w:tc>
          <w:tcPr>
            <w:tcW w:w="625" w:type="dxa"/>
            <w:tcBorders>
              <w:top w:val="single" w:sz="4" w:space="0" w:color="000000"/>
              <w:right w:val="single" w:sz="4" w:space="0" w:color="000000"/>
            </w:tcBorders>
            <w:vAlign w:val="bottom"/>
          </w:tcPr>
          <w:p>
            <w:pPr>
              <w:pStyle w:val="Normal"/>
              <w:widowControl w:val="false"/>
              <w:tabs>
                <w:tab w:val="clear" w:pos="720"/>
              </w:tabs>
              <w:jc w:val="right"/>
              <w:rPr>
                <w:sz w:val="22"/>
                <w:szCs w:val="22"/>
              </w:rPr>
            </w:pPr>
            <w:r>
              <w:rPr>
                <w:sz w:val="22"/>
                <w:szCs w:val="22"/>
              </w:rPr>
              <w:t>55</w:t>
            </w:r>
          </w:p>
        </w:tc>
      </w:tr>
      <w:tr>
        <w:trPr>
          <w:trHeight w:val="256" w:hRule="atLeast"/>
        </w:trPr>
        <w:tc>
          <w:tcPr>
            <w:tcW w:w="8667" w:type="dxa"/>
            <w:tcBorders>
              <w:left w:val="single" w:sz="4" w:space="0" w:color="000000"/>
            </w:tcBorders>
            <w:vAlign w:val="bottom"/>
          </w:tcPr>
          <w:p>
            <w:pPr>
              <w:pStyle w:val="Normal"/>
              <w:widowControl w:val="false"/>
              <w:tabs>
                <w:tab w:val="clear" w:pos="720"/>
              </w:tabs>
              <w:ind w:left="1440" w:hanging="0"/>
              <w:jc w:val="left"/>
              <w:rPr>
                <w:sz w:val="20"/>
                <w:szCs w:val="20"/>
              </w:rPr>
            </w:pPr>
            <w:r>
              <w:rPr>
                <w:sz w:val="20"/>
                <w:szCs w:val="20"/>
              </w:rPr>
              <w:t>Producte ecològic</w:t>
            </w:r>
          </w:p>
        </w:tc>
        <w:tc>
          <w:tcPr>
            <w:tcW w:w="458" w:type="dxa"/>
            <w:tcBorders/>
            <w:vAlign w:val="bottom"/>
          </w:tcPr>
          <w:p>
            <w:pPr>
              <w:pStyle w:val="Normal"/>
              <w:widowControl w:val="false"/>
              <w:tabs>
                <w:tab w:val="clear" w:pos="720"/>
              </w:tabs>
              <w:jc w:val="right"/>
              <w:rPr>
                <w:sz w:val="20"/>
                <w:szCs w:val="20"/>
              </w:rPr>
            </w:pPr>
            <w:r>
              <w:rPr>
                <w:sz w:val="20"/>
                <w:szCs w:val="20"/>
              </w:rPr>
            </w:r>
          </w:p>
        </w:tc>
        <w:tc>
          <w:tcPr>
            <w:tcW w:w="625" w:type="dxa"/>
            <w:tcBorders>
              <w:right w:val="single" w:sz="4" w:space="0" w:color="000000"/>
            </w:tcBorders>
            <w:vAlign w:val="bottom"/>
          </w:tcPr>
          <w:p>
            <w:pPr>
              <w:pStyle w:val="Normal"/>
              <w:widowControl w:val="false"/>
              <w:tabs>
                <w:tab w:val="clear" w:pos="720"/>
              </w:tabs>
              <w:jc w:val="left"/>
              <w:rPr>
                <w:sz w:val="22"/>
                <w:szCs w:val="22"/>
              </w:rPr>
            </w:pPr>
            <w:r>
              <w:rPr>
                <w:sz w:val="22"/>
                <w:szCs w:val="22"/>
              </w:rPr>
            </w:r>
          </w:p>
        </w:tc>
      </w:tr>
      <w:tr>
        <w:trPr>
          <w:trHeight w:val="256" w:hRule="atLeast"/>
        </w:trPr>
        <w:tc>
          <w:tcPr>
            <w:tcW w:w="8667" w:type="dxa"/>
            <w:tcBorders>
              <w:left w:val="single" w:sz="4" w:space="0" w:color="000000"/>
            </w:tcBorders>
            <w:vAlign w:val="bottom"/>
          </w:tcPr>
          <w:p>
            <w:pPr>
              <w:pStyle w:val="Normal"/>
              <w:widowControl w:val="false"/>
              <w:tabs>
                <w:tab w:val="clear" w:pos="720"/>
              </w:tabs>
              <w:ind w:left="1440" w:hanging="0"/>
              <w:jc w:val="left"/>
              <w:rPr>
                <w:sz w:val="20"/>
                <w:szCs w:val="20"/>
              </w:rPr>
            </w:pPr>
            <w:r>
              <w:rPr>
                <w:sz w:val="20"/>
                <w:szCs w:val="20"/>
              </w:rPr>
              <w:t>Productede proximitat</w:t>
            </w:r>
          </w:p>
        </w:tc>
        <w:tc>
          <w:tcPr>
            <w:tcW w:w="458" w:type="dxa"/>
            <w:tcBorders/>
            <w:vAlign w:val="bottom"/>
          </w:tcPr>
          <w:p>
            <w:pPr>
              <w:pStyle w:val="Normal"/>
              <w:widowControl w:val="false"/>
              <w:tabs>
                <w:tab w:val="clear" w:pos="720"/>
              </w:tabs>
              <w:jc w:val="right"/>
              <w:rPr>
                <w:sz w:val="20"/>
                <w:szCs w:val="20"/>
              </w:rPr>
            </w:pPr>
            <w:r>
              <w:rPr>
                <w:sz w:val="20"/>
                <w:szCs w:val="20"/>
              </w:rPr>
            </w:r>
          </w:p>
        </w:tc>
        <w:tc>
          <w:tcPr>
            <w:tcW w:w="625" w:type="dxa"/>
            <w:tcBorders>
              <w:right w:val="single" w:sz="4" w:space="0" w:color="000000"/>
            </w:tcBorders>
            <w:vAlign w:val="bottom"/>
          </w:tcPr>
          <w:p>
            <w:pPr>
              <w:pStyle w:val="Normal"/>
              <w:widowControl w:val="false"/>
              <w:tabs>
                <w:tab w:val="clear" w:pos="720"/>
              </w:tabs>
              <w:jc w:val="left"/>
              <w:rPr>
                <w:sz w:val="22"/>
                <w:szCs w:val="22"/>
              </w:rPr>
            </w:pPr>
            <w:r>
              <w:rPr>
                <w:sz w:val="22"/>
                <w:szCs w:val="22"/>
              </w:rPr>
            </w:r>
          </w:p>
        </w:tc>
      </w:tr>
      <w:tr>
        <w:trPr>
          <w:trHeight w:val="256" w:hRule="atLeast"/>
        </w:trPr>
        <w:tc>
          <w:tcPr>
            <w:tcW w:w="8667" w:type="dxa"/>
            <w:tcBorders>
              <w:left w:val="single" w:sz="4" w:space="0" w:color="000000"/>
              <w:bottom w:val="single" w:sz="4" w:space="0" w:color="000000"/>
            </w:tcBorders>
            <w:vAlign w:val="bottom"/>
          </w:tcPr>
          <w:p>
            <w:pPr>
              <w:pStyle w:val="Normal"/>
              <w:widowControl w:val="false"/>
              <w:tabs>
                <w:tab w:val="clear" w:pos="720"/>
              </w:tabs>
              <w:ind w:left="1440" w:hanging="0"/>
              <w:jc w:val="left"/>
              <w:rPr>
                <w:sz w:val="20"/>
                <w:szCs w:val="20"/>
              </w:rPr>
            </w:pPr>
            <w:r>
              <w:rPr>
                <w:sz w:val="20"/>
                <w:szCs w:val="20"/>
              </w:rPr>
              <w:t>Producte d’economia social</w:t>
            </w:r>
          </w:p>
        </w:tc>
        <w:tc>
          <w:tcPr>
            <w:tcW w:w="458" w:type="dxa"/>
            <w:tcBorders>
              <w:bottom w:val="single" w:sz="4" w:space="0" w:color="000000"/>
            </w:tcBorders>
            <w:vAlign w:val="bottom"/>
          </w:tcPr>
          <w:p>
            <w:pPr>
              <w:pStyle w:val="Normal"/>
              <w:widowControl w:val="false"/>
              <w:tabs>
                <w:tab w:val="clear" w:pos="720"/>
              </w:tabs>
              <w:jc w:val="right"/>
              <w:rPr>
                <w:sz w:val="20"/>
                <w:szCs w:val="20"/>
              </w:rPr>
            </w:pPr>
            <w:r>
              <w:rPr>
                <w:sz w:val="20"/>
                <w:szCs w:val="20"/>
              </w:rPr>
            </w:r>
          </w:p>
        </w:tc>
        <w:tc>
          <w:tcPr>
            <w:tcW w:w="625" w:type="dxa"/>
            <w:tcBorders>
              <w:bottom w:val="single" w:sz="4" w:space="0" w:color="000000"/>
              <w:right w:val="single" w:sz="4" w:space="0" w:color="000000"/>
            </w:tcBorders>
            <w:vAlign w:val="bottom"/>
          </w:tcPr>
          <w:p>
            <w:pPr>
              <w:pStyle w:val="Normal"/>
              <w:widowControl w:val="false"/>
              <w:tabs>
                <w:tab w:val="clear" w:pos="720"/>
              </w:tabs>
              <w:jc w:val="left"/>
              <w:rPr>
                <w:sz w:val="22"/>
                <w:szCs w:val="22"/>
              </w:rPr>
            </w:pPr>
            <w:r>
              <w:rPr>
                <w:sz w:val="22"/>
                <w:szCs w:val="22"/>
              </w:rPr>
            </w:r>
          </w:p>
        </w:tc>
      </w:tr>
      <w:tr>
        <w:trPr>
          <w:trHeight w:val="256" w:hRule="atLeast"/>
        </w:trPr>
        <w:tc>
          <w:tcPr>
            <w:tcW w:w="8667" w:type="dxa"/>
            <w:tcBorders>
              <w:top w:val="single" w:sz="4" w:space="0" w:color="000000"/>
              <w:left w:val="single" w:sz="4" w:space="0" w:color="000000"/>
              <w:bottom w:val="single" w:sz="4" w:space="0" w:color="000000"/>
            </w:tcBorders>
            <w:vAlign w:val="bottom"/>
          </w:tcPr>
          <w:p>
            <w:pPr>
              <w:pStyle w:val="Normal"/>
              <w:widowControl w:val="false"/>
              <w:tabs>
                <w:tab w:val="clear" w:pos="720"/>
              </w:tabs>
              <w:jc w:val="both"/>
              <w:rPr>
                <w:sz w:val="22"/>
                <w:szCs w:val="22"/>
              </w:rPr>
            </w:pPr>
            <w:r>
              <w:rPr>
                <w:sz w:val="22"/>
                <w:szCs w:val="22"/>
              </w:rPr>
              <w:t>Preu</w:t>
            </w:r>
          </w:p>
        </w:tc>
        <w:tc>
          <w:tcPr>
            <w:tcW w:w="458" w:type="dxa"/>
            <w:tcBorders>
              <w:top w:val="single" w:sz="4" w:space="0" w:color="000000"/>
              <w:bottom w:val="single" w:sz="4" w:space="0" w:color="000000"/>
            </w:tcBorders>
            <w:vAlign w:val="bottom"/>
          </w:tcPr>
          <w:p>
            <w:pPr>
              <w:pStyle w:val="Normal"/>
              <w:widowControl w:val="false"/>
              <w:tabs>
                <w:tab w:val="clear" w:pos="720"/>
              </w:tabs>
              <w:jc w:val="both"/>
              <w:rPr>
                <w:sz w:val="22"/>
                <w:szCs w:val="22"/>
              </w:rPr>
            </w:pPr>
            <w:r>
              <w:rPr>
                <w:sz w:val="22"/>
                <w:szCs w:val="22"/>
              </w:rPr>
            </w:r>
          </w:p>
        </w:tc>
        <w:tc>
          <w:tcPr>
            <w:tcW w:w="625" w:type="dxa"/>
            <w:tcBorders>
              <w:top w:val="single" w:sz="4" w:space="0" w:color="000000"/>
              <w:bottom w:val="single" w:sz="4" w:space="0" w:color="000000"/>
              <w:right w:val="single" w:sz="4" w:space="0" w:color="000000"/>
            </w:tcBorders>
            <w:vAlign w:val="bottom"/>
          </w:tcPr>
          <w:p>
            <w:pPr>
              <w:pStyle w:val="Normal"/>
              <w:widowControl w:val="false"/>
              <w:tabs>
                <w:tab w:val="clear" w:pos="720"/>
              </w:tabs>
              <w:jc w:val="right"/>
              <w:rPr>
                <w:sz w:val="22"/>
                <w:szCs w:val="22"/>
              </w:rPr>
            </w:pPr>
            <w:r>
              <w:rPr>
                <w:sz w:val="22"/>
                <w:szCs w:val="22"/>
              </w:rPr>
              <w:t>36</w:t>
            </w:r>
          </w:p>
        </w:tc>
      </w:tr>
      <w:tr>
        <w:trPr>
          <w:trHeight w:val="256" w:hRule="atLeast"/>
        </w:trPr>
        <w:tc>
          <w:tcPr>
            <w:tcW w:w="8667" w:type="dxa"/>
            <w:tcBorders>
              <w:left w:val="single" w:sz="4" w:space="0" w:color="000000"/>
              <w:bottom w:val="single" w:sz="4" w:space="0" w:color="000000"/>
            </w:tcBorders>
            <w:vAlign w:val="bottom"/>
          </w:tcPr>
          <w:p>
            <w:pPr>
              <w:pStyle w:val="Normal"/>
              <w:widowControl w:val="false"/>
              <w:tabs>
                <w:tab w:val="clear" w:pos="720"/>
              </w:tabs>
              <w:jc w:val="both"/>
              <w:rPr>
                <w:sz w:val="22"/>
                <w:szCs w:val="22"/>
              </w:rPr>
            </w:pPr>
            <w:r>
              <w:rPr>
                <w:sz w:val="22"/>
                <w:szCs w:val="22"/>
              </w:rPr>
              <w:t>Formació del personal</w:t>
            </w:r>
          </w:p>
        </w:tc>
        <w:tc>
          <w:tcPr>
            <w:tcW w:w="458" w:type="dxa"/>
            <w:tcBorders>
              <w:bottom w:val="single" w:sz="4" w:space="0" w:color="000000"/>
            </w:tcBorders>
            <w:vAlign w:val="bottom"/>
          </w:tcPr>
          <w:p>
            <w:pPr>
              <w:pStyle w:val="Normal"/>
              <w:widowControl w:val="false"/>
              <w:tabs>
                <w:tab w:val="clear" w:pos="720"/>
              </w:tabs>
              <w:jc w:val="both"/>
              <w:rPr>
                <w:sz w:val="22"/>
                <w:szCs w:val="22"/>
              </w:rPr>
            </w:pPr>
            <w:r>
              <w:rPr>
                <w:sz w:val="22"/>
                <w:szCs w:val="22"/>
              </w:rPr>
            </w:r>
          </w:p>
        </w:tc>
        <w:tc>
          <w:tcPr>
            <w:tcW w:w="625" w:type="dxa"/>
            <w:tcBorders>
              <w:bottom w:val="single" w:sz="4" w:space="0" w:color="000000"/>
              <w:right w:val="single" w:sz="4" w:space="0" w:color="000000"/>
            </w:tcBorders>
            <w:vAlign w:val="bottom"/>
          </w:tcPr>
          <w:p>
            <w:pPr>
              <w:pStyle w:val="Normal"/>
              <w:widowControl w:val="false"/>
              <w:tabs>
                <w:tab w:val="clear" w:pos="720"/>
              </w:tabs>
              <w:jc w:val="right"/>
              <w:rPr>
                <w:sz w:val="22"/>
                <w:szCs w:val="22"/>
              </w:rPr>
            </w:pPr>
            <w:r>
              <w:rPr>
                <w:sz w:val="22"/>
                <w:szCs w:val="22"/>
              </w:rPr>
              <w:t>5</w:t>
            </w:r>
          </w:p>
        </w:tc>
      </w:tr>
      <w:tr>
        <w:trPr>
          <w:trHeight w:val="256" w:hRule="atLeast"/>
        </w:trPr>
        <w:tc>
          <w:tcPr>
            <w:tcW w:w="8667" w:type="dxa"/>
            <w:tcBorders>
              <w:left w:val="single" w:sz="4" w:space="0" w:color="000000"/>
              <w:bottom w:val="single" w:sz="4" w:space="0" w:color="000000"/>
            </w:tcBorders>
            <w:vAlign w:val="bottom"/>
          </w:tcPr>
          <w:p>
            <w:pPr>
              <w:pStyle w:val="Normal"/>
              <w:widowControl w:val="false"/>
              <w:tabs>
                <w:tab w:val="clear" w:pos="720"/>
              </w:tabs>
              <w:jc w:val="both"/>
              <w:rPr>
                <w:sz w:val="22"/>
                <w:szCs w:val="22"/>
              </w:rPr>
            </w:pPr>
            <w:r>
              <w:rPr>
                <w:sz w:val="22"/>
                <w:szCs w:val="22"/>
              </w:rPr>
              <w:t>Alumnes en pràctiques</w:t>
            </w:r>
          </w:p>
        </w:tc>
        <w:tc>
          <w:tcPr>
            <w:tcW w:w="458" w:type="dxa"/>
            <w:tcBorders>
              <w:bottom w:val="single" w:sz="4" w:space="0" w:color="000000"/>
            </w:tcBorders>
            <w:vAlign w:val="bottom"/>
          </w:tcPr>
          <w:p>
            <w:pPr>
              <w:pStyle w:val="Normal"/>
              <w:widowControl w:val="false"/>
              <w:tabs>
                <w:tab w:val="clear" w:pos="720"/>
              </w:tabs>
              <w:jc w:val="both"/>
              <w:rPr>
                <w:sz w:val="22"/>
                <w:szCs w:val="22"/>
              </w:rPr>
            </w:pPr>
            <w:r>
              <w:rPr>
                <w:sz w:val="22"/>
                <w:szCs w:val="22"/>
              </w:rPr>
            </w:r>
          </w:p>
        </w:tc>
        <w:tc>
          <w:tcPr>
            <w:tcW w:w="625" w:type="dxa"/>
            <w:tcBorders>
              <w:bottom w:val="single" w:sz="4" w:space="0" w:color="000000"/>
              <w:right w:val="single" w:sz="4" w:space="0" w:color="000000"/>
            </w:tcBorders>
            <w:vAlign w:val="bottom"/>
          </w:tcPr>
          <w:p>
            <w:pPr>
              <w:pStyle w:val="Normal"/>
              <w:widowControl w:val="false"/>
              <w:tabs>
                <w:tab w:val="clear" w:pos="720"/>
              </w:tabs>
              <w:jc w:val="right"/>
              <w:rPr>
                <w:sz w:val="22"/>
                <w:szCs w:val="22"/>
              </w:rPr>
            </w:pPr>
            <w:r>
              <w:rPr>
                <w:sz w:val="22"/>
                <w:szCs w:val="22"/>
              </w:rPr>
              <w:t>4</w:t>
            </w:r>
          </w:p>
        </w:tc>
      </w:tr>
      <w:tr>
        <w:trPr>
          <w:trHeight w:val="256" w:hRule="atLeast"/>
        </w:trPr>
        <w:tc>
          <w:tcPr>
            <w:tcW w:w="8667" w:type="dxa"/>
            <w:tcBorders>
              <w:left w:val="single" w:sz="4" w:space="0" w:color="000000"/>
              <w:bottom w:val="single" w:sz="4" w:space="0" w:color="000000"/>
            </w:tcBorders>
            <w:vAlign w:val="bottom"/>
          </w:tcPr>
          <w:p>
            <w:pPr>
              <w:pStyle w:val="Normal"/>
              <w:widowControl w:val="false"/>
              <w:tabs>
                <w:tab w:val="clear" w:pos="720"/>
              </w:tabs>
              <w:jc w:val="left"/>
              <w:rPr>
                <w:sz w:val="22"/>
                <w:szCs w:val="22"/>
              </w:rPr>
            </w:pPr>
            <w:r>
              <w:rPr>
                <w:sz w:val="22"/>
                <w:szCs w:val="22"/>
              </w:rPr>
            </w:r>
          </w:p>
        </w:tc>
        <w:tc>
          <w:tcPr>
            <w:tcW w:w="458" w:type="dxa"/>
            <w:tcBorders>
              <w:bottom w:val="single" w:sz="4" w:space="0" w:color="000000"/>
            </w:tcBorders>
            <w:vAlign w:val="bottom"/>
          </w:tcPr>
          <w:p>
            <w:pPr>
              <w:pStyle w:val="Normal"/>
              <w:widowControl w:val="false"/>
              <w:tabs>
                <w:tab w:val="clear" w:pos="720"/>
              </w:tabs>
              <w:jc w:val="left"/>
              <w:rPr>
                <w:sz w:val="22"/>
                <w:szCs w:val="22"/>
              </w:rPr>
            </w:pPr>
            <w:r>
              <w:rPr>
                <w:sz w:val="22"/>
                <w:szCs w:val="22"/>
              </w:rPr>
            </w:r>
          </w:p>
        </w:tc>
        <w:tc>
          <w:tcPr>
            <w:tcW w:w="625" w:type="dxa"/>
            <w:tcBorders>
              <w:bottom w:val="single" w:sz="4" w:space="0" w:color="000000"/>
              <w:right w:val="single" w:sz="4" w:space="0" w:color="000000"/>
            </w:tcBorders>
            <w:vAlign w:val="bottom"/>
          </w:tcPr>
          <w:p>
            <w:pPr>
              <w:pStyle w:val="Normal"/>
              <w:widowControl w:val="false"/>
              <w:tabs>
                <w:tab w:val="clear" w:pos="720"/>
              </w:tabs>
              <w:jc w:val="right"/>
              <w:rPr>
                <w:sz w:val="22"/>
                <w:szCs w:val="22"/>
              </w:rPr>
            </w:pPr>
            <w:r>
              <w:rPr>
                <w:sz w:val="22"/>
                <w:szCs w:val="22"/>
              </w:rPr>
              <w:t>100</w:t>
            </w:r>
          </w:p>
        </w:tc>
      </w:tr>
    </w:tbl>
    <w:p>
      <w:pPr>
        <w:pStyle w:val="Normal"/>
        <w:rPr>
          <w:shd w:fill="auto" w:val="clear"/>
        </w:rPr>
      </w:pPr>
      <w:r>
        <w:rPr>
          <w:shd w:fill="auto" w:val="clear"/>
        </w:rPr>
      </w:r>
    </w:p>
    <w:p>
      <w:pPr>
        <w:pStyle w:val="Normal"/>
        <w:widowControl/>
        <w:numPr>
          <w:ilvl w:val="2"/>
          <w:numId w:val="29"/>
        </w:numPr>
        <w:tabs>
          <w:tab w:val="clear" w:pos="720"/>
          <w:tab w:val="left" w:pos="993" w:leader="none"/>
        </w:tabs>
        <w:suppressAutoHyphens w:val="true"/>
        <w:bidi w:val="0"/>
        <w:spacing w:before="198" w:after="198"/>
        <w:ind w:left="567" w:right="0" w:hanging="0"/>
        <w:jc w:val="both"/>
        <w:rPr>
          <w:shd w:fill="auto" w:val="clear"/>
        </w:rPr>
      </w:pPr>
      <w:r>
        <w:rPr>
          <w:rFonts w:eastAsia="SimSun" w:cs="Arial"/>
          <w:b/>
          <w:bCs/>
          <w:i w:val="false"/>
          <w:iCs w:val="false"/>
          <w:sz w:val="22"/>
          <w:szCs w:val="22"/>
          <w:u w:val="single"/>
          <w:shd w:fill="auto" w:val="clear"/>
          <w:lang w:eastAsia="es-ES"/>
        </w:rPr>
        <w:t>I</w:t>
      </w:r>
      <w:r>
        <w:rPr>
          <w:rFonts w:eastAsia="SimSun" w:cs="Arial"/>
          <w:b/>
          <w:bCs/>
          <w:i w:val="false"/>
          <w:iCs w:val="false"/>
          <w:u w:val="single"/>
          <w:shd w:fill="auto" w:val="clear"/>
          <w:lang w:eastAsia="es-ES"/>
        </w:rPr>
        <w:t>ncorporació d'aliments de producció ecològica, de proximitat i d'empresa d'economia social en l'elaboració del menú</w:t>
      </w:r>
      <w:r>
        <w:rPr>
          <w:rFonts w:eastAsia="SimSun" w:cs="Arial"/>
          <w:b/>
          <w:bCs/>
          <w:i w:val="false"/>
          <w:iCs w:val="false"/>
          <w:u w:val="none"/>
          <w:shd w:fill="auto" w:val="clear"/>
          <w:lang w:eastAsia="es-ES"/>
        </w:rPr>
        <w:t>,</w:t>
      </w:r>
      <w:r>
        <w:rPr>
          <w:rFonts w:eastAsia="SimSun" w:cs="Arial"/>
          <w:b/>
          <w:shd w:fill="auto" w:val="clear"/>
          <w:lang w:eastAsia="es-ES"/>
        </w:rPr>
        <w:t xml:space="preserve"> fins a un màxim de 55 punts</w:t>
      </w:r>
    </w:p>
    <w:p>
      <w:pPr>
        <w:pStyle w:val="Normal"/>
        <w:suppressAutoHyphens w:val="false"/>
        <w:spacing w:before="100" w:after="100"/>
        <w:rPr>
          <w:shd w:fill="auto" w:val="clear"/>
        </w:rPr>
      </w:pPr>
      <w:r>
        <w:rPr>
          <w:rFonts w:eastAsia="SimSun"/>
          <w:bCs/>
          <w:sz w:val="22"/>
          <w:szCs w:val="22"/>
          <w:shd w:fill="auto" w:val="clear"/>
          <w:lang w:eastAsia="es-ES"/>
        </w:rPr>
        <w:t>Es considera com un valor afegit en l'elaboració del menú la incorporació d'aliments de:</w:t>
      </w:r>
    </w:p>
    <w:p>
      <w:pPr>
        <w:pStyle w:val="Normal"/>
        <w:numPr>
          <w:ilvl w:val="0"/>
          <w:numId w:val="12"/>
        </w:numPr>
        <w:tabs>
          <w:tab w:val="clear" w:pos="720"/>
          <w:tab w:val="left" w:pos="420" w:leader="none"/>
        </w:tabs>
        <w:suppressAutoHyphens w:val="false"/>
        <w:ind w:left="419" w:hanging="357"/>
        <w:rPr>
          <w:shd w:fill="auto" w:val="clear"/>
        </w:rPr>
      </w:pPr>
      <w:r>
        <w:rPr>
          <w:rFonts w:eastAsia="SimSun"/>
          <w:bCs/>
          <w:sz w:val="22"/>
          <w:szCs w:val="22"/>
          <w:shd w:fill="auto" w:val="clear"/>
          <w:lang w:eastAsia="es-ES"/>
        </w:rPr>
        <w:t>producció ecològica</w:t>
      </w:r>
    </w:p>
    <w:p>
      <w:pPr>
        <w:pStyle w:val="Normal"/>
        <w:numPr>
          <w:ilvl w:val="0"/>
          <w:numId w:val="12"/>
        </w:numPr>
        <w:tabs>
          <w:tab w:val="clear" w:pos="720"/>
          <w:tab w:val="left" w:pos="420" w:leader="none"/>
        </w:tabs>
        <w:suppressAutoHyphens w:val="false"/>
        <w:ind w:left="419" w:hanging="357"/>
        <w:rPr>
          <w:shd w:fill="auto" w:val="clear"/>
        </w:rPr>
      </w:pPr>
      <w:r>
        <w:rPr>
          <w:rFonts w:eastAsia="SimSun"/>
          <w:bCs/>
          <w:sz w:val="22"/>
          <w:szCs w:val="22"/>
          <w:shd w:fill="auto" w:val="clear"/>
          <w:lang w:eastAsia="es-ES"/>
        </w:rPr>
        <w:t>productes de proximitat</w:t>
      </w:r>
    </w:p>
    <w:p>
      <w:pPr>
        <w:pStyle w:val="Normal"/>
        <w:numPr>
          <w:ilvl w:val="0"/>
          <w:numId w:val="12"/>
        </w:numPr>
        <w:tabs>
          <w:tab w:val="clear" w:pos="720"/>
          <w:tab w:val="left" w:pos="420" w:leader="none"/>
        </w:tabs>
        <w:suppressAutoHyphens w:val="false"/>
        <w:spacing w:before="100" w:after="100"/>
        <w:ind w:left="419" w:hanging="357"/>
        <w:rPr>
          <w:shd w:fill="auto" w:val="clear"/>
        </w:rPr>
      </w:pPr>
      <w:r>
        <w:rPr>
          <w:rFonts w:eastAsia="Calibri"/>
          <w:bCs/>
          <w:color w:val="000000"/>
          <w:sz w:val="22"/>
          <w:szCs w:val="22"/>
          <w:shd w:fill="auto" w:val="clear"/>
          <w:lang w:eastAsia="es-ES"/>
        </w:rPr>
        <w:t xml:space="preserve">productes provinents d’empreses d’economia social </w:t>
      </w:r>
    </w:p>
    <w:p>
      <w:pPr>
        <w:pStyle w:val="Normal"/>
        <w:suppressAutoHyphens w:val="false"/>
        <w:spacing w:before="100" w:after="100"/>
        <w:rPr>
          <w:shd w:fill="auto" w:val="clear"/>
        </w:rPr>
      </w:pPr>
      <w:r>
        <w:rPr>
          <w:rFonts w:eastAsia="SimSun"/>
          <w:bCs/>
          <w:sz w:val="22"/>
          <w:szCs w:val="22"/>
          <w:shd w:fill="auto" w:val="clear"/>
          <w:lang w:eastAsia="es-ES"/>
        </w:rPr>
        <w:t>Les empreses licitadores concretaran la seva oferta al model habilitat  (annex  1).</w:t>
      </w:r>
    </w:p>
    <w:p>
      <w:pPr>
        <w:pStyle w:val="Normal"/>
        <w:suppressAutoHyphens w:val="false"/>
        <w:spacing w:before="100" w:after="100"/>
        <w:jc w:val="both"/>
        <w:rPr>
          <w:shd w:fill="auto" w:val="clear"/>
        </w:rPr>
      </w:pPr>
      <w:r>
        <w:rPr>
          <w:rFonts w:eastAsia="SimSun"/>
          <w:bCs/>
          <w:color w:val="000000"/>
          <w:sz w:val="22"/>
          <w:szCs w:val="22"/>
          <w:shd w:fill="auto" w:val="clear"/>
          <w:lang w:eastAsia="es-ES"/>
        </w:rPr>
        <w:t>S'entén per:</w:t>
      </w:r>
    </w:p>
    <w:p>
      <w:pPr>
        <w:pStyle w:val="Normal"/>
        <w:suppressAutoHyphens w:val="false"/>
        <w:spacing w:before="100" w:after="100"/>
        <w:jc w:val="both"/>
        <w:rPr>
          <w:rFonts w:eastAsia="SimSun"/>
          <w:bCs/>
          <w:color w:val="000000"/>
          <w:sz w:val="22"/>
          <w:szCs w:val="22"/>
          <w:shd w:fill="auto" w:val="clear"/>
          <w:lang w:eastAsia="es-ES"/>
        </w:rPr>
      </w:pPr>
      <w:r>
        <w:rPr>
          <w:rFonts w:eastAsia="SimSun"/>
          <w:b/>
          <w:bCs/>
          <w:color w:val="000000"/>
          <w:sz w:val="22"/>
          <w:szCs w:val="22"/>
          <w:shd w:fill="auto" w:val="clear"/>
          <w:lang w:eastAsia="es-ES"/>
        </w:rPr>
        <w:t xml:space="preserve">Producte de producció agrària ecològica: </w:t>
      </w:r>
      <w:r>
        <w:rPr>
          <w:rFonts w:eastAsia="SimSun"/>
          <w:bCs/>
          <w:color w:val="000000"/>
          <w:sz w:val="22"/>
          <w:szCs w:val="22"/>
          <w:shd w:fill="auto" w:val="clear"/>
          <w:lang w:eastAsia="es-ES"/>
        </w:rPr>
        <w:t>producte agroalimentari que compleix les condicions establertes en el Reglament (UE) 2018/848, de 30 de maig de 2018, sobre producció ecològica i etiquetatge dels productes ecològics, pel que es deroga el Reglament (CE) nº 834/2007 del Consell. Pot ser acreditat mitjançant certificat del Consell Català de Producció Agrària Ecològica o per qualsevol altre organisme regional o estatal autoritzat, i també pot ser acreditat amb la presentació de proves suficients que demostrin el compliment d'aquelles condicions.</w:t>
      </w:r>
    </w:p>
    <w:p>
      <w:pPr>
        <w:pStyle w:val="Normal"/>
        <w:suppressAutoHyphens w:val="false"/>
        <w:spacing w:before="100" w:after="100"/>
        <w:jc w:val="both"/>
        <w:rPr>
          <w:rFonts w:eastAsia="SimSun"/>
          <w:bCs/>
          <w:color w:val="000000"/>
          <w:sz w:val="22"/>
          <w:szCs w:val="22"/>
          <w:shd w:fill="auto" w:val="clear"/>
          <w:lang w:eastAsia="es-ES"/>
        </w:rPr>
      </w:pPr>
      <w:r>
        <w:rPr>
          <w:rFonts w:eastAsia="SimSun"/>
          <w:b/>
          <w:bCs/>
          <w:color w:val="000000"/>
          <w:sz w:val="22"/>
          <w:szCs w:val="22"/>
          <w:shd w:fill="auto" w:val="clear"/>
          <w:lang w:eastAsia="es-ES"/>
        </w:rPr>
        <w:t xml:space="preserve">Producte de venda de proximitat: </w:t>
      </w:r>
      <w:r>
        <w:rPr>
          <w:rFonts w:eastAsia="SimSun"/>
          <w:bCs/>
          <w:color w:val="000000"/>
          <w:sz w:val="22"/>
          <w:szCs w:val="22"/>
          <w:shd w:fill="auto" w:val="clear"/>
          <w:lang w:eastAsia="es-ES"/>
        </w:rPr>
        <w:t>producte agroalimentari, procedent de la terra o de la ramaderia i/o resultat d'un procés d'elaboració o de transformació que es realitza a favor del consumidor o consumidora final, directament o mitjançant la intervenció d'una persona intermediària, per part dels productors o agrupacions de productors agraris. La venda de proximitat inclou la venda directa (la realitzada directament pels productors o agrupacions de productors agraris a favor del consumidor o consumidora final, sense la intervenció de cap persona intermediària) i la venda en circuit curt (la realitzada pels productors o agrupacions de productors agraris a favor del consumidor o consumidora final, amb intervenció d'una persona intermediària). Pot ser acreditat pels mitjans establerts en el Decret 24/2013, de 8 de gener, sobre l'acreditació de la venda de proximitat de productes agroalimentaris, modificat pel Decret 254/2019, de 3 de desembre, i també pot ser acreditat a través d'altres possibles mitjans que demostrin el compliment d'aquelles condicions.</w:t>
      </w:r>
    </w:p>
    <w:p>
      <w:pPr>
        <w:pStyle w:val="Normal"/>
        <w:suppressAutoHyphens w:val="false"/>
        <w:spacing w:before="100" w:after="100"/>
        <w:jc w:val="both"/>
        <w:rPr>
          <w:rFonts w:eastAsia="SimSun"/>
          <w:bCs/>
          <w:color w:val="000000"/>
          <w:sz w:val="22"/>
          <w:szCs w:val="22"/>
          <w:shd w:fill="auto" w:val="clear"/>
          <w:lang w:eastAsia="es-ES"/>
        </w:rPr>
      </w:pPr>
      <w:r>
        <w:rPr>
          <w:rFonts w:eastAsia="SimSun"/>
          <w:b/>
          <w:bCs/>
          <w:color w:val="000000"/>
          <w:sz w:val="22"/>
          <w:szCs w:val="22"/>
          <w:shd w:fill="auto" w:val="clear"/>
          <w:lang w:eastAsia="es-ES"/>
        </w:rPr>
        <w:t>Producte d’economia social:</w:t>
      </w:r>
      <w:r>
        <w:rPr>
          <w:rFonts w:eastAsia="SimSun"/>
          <w:bCs/>
          <w:color w:val="000000"/>
          <w:sz w:val="22"/>
          <w:szCs w:val="22"/>
          <w:shd w:fill="auto" w:val="clear"/>
          <w:lang w:eastAsia="es-ES"/>
        </w:rPr>
        <w:t xml:space="preserve"> subministrat per empreses de l’economia social i solidària (ESS) i que vetllin per la inserció sociolaboral de persones en situació d’exclusió social (Centres Especials de Treball, Cooperatives d'Iniciativa Social o similar)</w:t>
      </w:r>
    </w:p>
    <w:p>
      <w:pPr>
        <w:pStyle w:val="Normal"/>
        <w:widowControl/>
        <w:numPr>
          <w:ilvl w:val="3"/>
          <w:numId w:val="29"/>
        </w:numPr>
        <w:tabs>
          <w:tab w:val="clear" w:pos="720"/>
          <w:tab w:val="left" w:pos="993" w:leader="none"/>
        </w:tabs>
        <w:suppressAutoHyphens w:val="true"/>
        <w:bidi w:val="0"/>
        <w:spacing w:before="198" w:after="198"/>
        <w:ind w:left="1134" w:right="0" w:hanging="0"/>
        <w:jc w:val="both"/>
        <w:rPr>
          <w:color w:val="000000"/>
          <w:sz w:val="22"/>
          <w:szCs w:val="22"/>
          <w:shd w:fill="auto" w:val="clear"/>
        </w:rPr>
      </w:pPr>
      <w:r>
        <w:rPr>
          <w:rFonts w:eastAsia="SimSun" w:cs="Arial"/>
          <w:b/>
          <w:bCs/>
          <w:i w:val="false"/>
          <w:iCs w:val="false"/>
          <w:color w:val="000000"/>
          <w:sz w:val="22"/>
          <w:szCs w:val="22"/>
          <w:u w:val="single"/>
          <w:shd w:fill="auto" w:val="clear"/>
          <w:lang w:eastAsia="es-ES"/>
        </w:rPr>
        <w:t>Incorporació d'aliments de producció ecològica en l'elaboració del menú</w:t>
      </w:r>
      <w:r>
        <w:rPr>
          <w:rFonts w:eastAsia="SimSun" w:cs="Arial"/>
          <w:b/>
          <w:bCs/>
          <w:i w:val="false"/>
          <w:iCs w:val="false"/>
          <w:color w:val="000000"/>
          <w:sz w:val="22"/>
          <w:szCs w:val="22"/>
          <w:u w:val="none"/>
          <w:shd w:fill="auto" w:val="clear"/>
          <w:lang w:eastAsia="es-ES"/>
        </w:rPr>
        <w:t>,</w:t>
      </w:r>
      <w:r>
        <w:rPr>
          <w:rFonts w:eastAsia="SimSun" w:cs="Arial"/>
          <w:b/>
          <w:color w:val="000000"/>
          <w:sz w:val="22"/>
          <w:szCs w:val="22"/>
          <w:shd w:fill="auto" w:val="clear"/>
          <w:lang w:eastAsia="es-ES"/>
        </w:rPr>
        <w:t xml:space="preserve"> fins a un màxim de 35 punts</w:t>
      </w:r>
    </w:p>
    <w:p>
      <w:pPr>
        <w:pStyle w:val="Normal"/>
        <w:jc w:val="both"/>
        <w:rPr>
          <w:i/>
          <w:i/>
          <w:sz w:val="22"/>
          <w:szCs w:val="22"/>
          <w:highlight w:val="green"/>
        </w:rPr>
      </w:pPr>
      <w:r>
        <w:rPr>
          <w:color w:val="000000"/>
          <w:sz w:val="22"/>
          <w:szCs w:val="22"/>
          <w:shd w:fill="auto" w:val="clear"/>
        </w:rPr>
        <w:t>Es valorarà</w:t>
      </w:r>
      <w:r>
        <w:rPr>
          <w:color w:val="000000"/>
          <w:sz w:val="22"/>
          <w:szCs w:val="22"/>
        </w:rPr>
        <w:t xml:space="preserve"> l’oferta d’aliments de producció ecològica per part de les empreses licitadores.</w:t>
      </w:r>
    </w:p>
    <w:p>
      <w:pPr>
        <w:pStyle w:val="Cosdeltext"/>
        <w:ind w:left="0" w:right="328" w:hanging="0"/>
        <w:jc w:val="both"/>
        <w:rPr>
          <w:rFonts w:ascii="Arial" w:hAnsi="Arial" w:eastAsia="SimSun;宋体"/>
          <w:color w:val="000000"/>
          <w:sz w:val="22"/>
          <w:szCs w:val="22"/>
          <w:lang w:val="ca-ES" w:eastAsia="zh-CN"/>
        </w:rPr>
      </w:pPr>
      <w:r>
        <w:rPr>
          <w:rFonts w:eastAsia="SimSun;宋体" w:ascii="Arial" w:hAnsi="Arial"/>
          <w:color w:val="000000"/>
          <w:sz w:val="22"/>
          <w:szCs w:val="22"/>
          <w:lang w:val="ca-ES" w:eastAsia="zh-CN"/>
        </w:rPr>
      </w:r>
    </w:p>
    <w:p>
      <w:pPr>
        <w:pStyle w:val="Cosdeltext"/>
        <w:widowControl/>
        <w:suppressAutoHyphens w:val="true"/>
        <w:bidi w:val="0"/>
        <w:spacing w:before="0" w:after="0"/>
        <w:ind w:left="0" w:right="0" w:hanging="0"/>
        <w:jc w:val="both"/>
        <w:rPr>
          <w:rFonts w:ascii="Arial" w:hAnsi="Arial" w:eastAsia="SimSun;宋体"/>
          <w:color w:val="000000"/>
          <w:sz w:val="22"/>
          <w:szCs w:val="22"/>
          <w:lang w:val="ca-ES" w:eastAsia="zh-CN"/>
        </w:rPr>
      </w:pPr>
      <w:r>
        <w:rPr>
          <w:rFonts w:eastAsia="SimSun;宋体" w:ascii="Arial" w:hAnsi="Arial"/>
          <w:color w:val="000000"/>
          <w:sz w:val="22"/>
          <w:szCs w:val="22"/>
          <w:lang w:val="ca-ES" w:eastAsia="zh-CN"/>
        </w:rPr>
        <w:t xml:space="preserve">L'oferta de productes ecològics  implica que el producte s'ha de subministrar en tot el període vegetatiu (estacionalitat) indicat i per a tot el producte que requereixi l'escola (en tots els tipus de menús). </w:t>
      </w:r>
    </w:p>
    <w:p>
      <w:pPr>
        <w:pStyle w:val="Cosdeltext"/>
        <w:ind w:left="0" w:right="328" w:hanging="0"/>
        <w:jc w:val="both"/>
        <w:rPr>
          <w:rFonts w:ascii="Arial" w:hAnsi="Arial" w:eastAsia="SimSun;宋体"/>
          <w:color w:val="000000"/>
          <w:sz w:val="22"/>
          <w:szCs w:val="22"/>
          <w:lang w:val="ca-ES" w:eastAsia="zh-CN"/>
        </w:rPr>
      </w:pPr>
      <w:r>
        <w:rPr>
          <w:rFonts w:eastAsia="SimSun;宋体" w:ascii="Arial" w:hAnsi="Arial"/>
          <w:color w:val="000000"/>
          <w:sz w:val="22"/>
          <w:szCs w:val="22"/>
          <w:lang w:val="ca-ES" w:eastAsia="zh-CN"/>
        </w:rPr>
      </w:r>
    </w:p>
    <w:p>
      <w:pPr>
        <w:pStyle w:val="Cosdeltext"/>
        <w:widowControl/>
        <w:suppressAutoHyphens w:val="true"/>
        <w:bidi w:val="0"/>
        <w:spacing w:before="0" w:after="0"/>
        <w:ind w:left="0" w:right="0" w:hanging="0"/>
        <w:jc w:val="both"/>
        <w:rPr>
          <w:rFonts w:ascii="Arial" w:hAnsi="Arial" w:eastAsia="SimSun;宋体"/>
          <w:color w:val="000000"/>
          <w:sz w:val="22"/>
          <w:szCs w:val="22"/>
          <w:lang w:val="ca-ES" w:eastAsia="zh-CN"/>
        </w:rPr>
      </w:pPr>
      <w:r>
        <w:rPr>
          <w:rFonts w:eastAsia="SimSun;宋体" w:ascii="Arial" w:hAnsi="Arial"/>
          <w:color w:val="000000"/>
          <w:sz w:val="22"/>
          <w:szCs w:val="22"/>
          <w:lang w:val="ca-ES" w:eastAsia="zh-CN"/>
        </w:rPr>
        <w:t xml:space="preserve">Els licitadores indicaran en la seva oferta si ofereixen o no els productes ecològics que s’indiquen. </w:t>
      </w:r>
    </w:p>
    <w:p>
      <w:pPr>
        <w:pStyle w:val="Cosdeltext"/>
        <w:ind w:left="0" w:right="328" w:hanging="0"/>
        <w:jc w:val="both"/>
        <w:rPr>
          <w:rFonts w:ascii="Arial" w:hAnsi="Arial" w:eastAsia="SimSun;宋体"/>
          <w:color w:val="000000"/>
          <w:sz w:val="22"/>
          <w:szCs w:val="22"/>
          <w:lang w:val="ca-ES" w:eastAsia="zh-CN"/>
        </w:rPr>
      </w:pPr>
      <w:r>
        <w:rPr>
          <w:rFonts w:eastAsia="SimSun;宋体" w:ascii="Arial" w:hAnsi="Arial"/>
          <w:color w:val="000000"/>
          <w:sz w:val="22"/>
          <w:szCs w:val="22"/>
          <w:lang w:val="ca-ES" w:eastAsia="zh-CN"/>
        </w:rPr>
      </w:r>
    </w:p>
    <w:p>
      <w:pPr>
        <w:pStyle w:val="Cosdeltext"/>
        <w:ind w:left="0" w:right="328" w:hanging="0"/>
        <w:jc w:val="both"/>
        <w:rPr>
          <w:rFonts w:ascii="Arial" w:hAnsi="Arial" w:eastAsia="SimSun;宋体"/>
          <w:color w:val="000000"/>
          <w:sz w:val="22"/>
          <w:szCs w:val="22"/>
          <w:lang w:val="ca-ES" w:eastAsia="zh-CN"/>
        </w:rPr>
      </w:pPr>
      <w:r>
        <w:rPr>
          <w:rFonts w:eastAsia="SimSun;宋体" w:ascii="Arial" w:hAnsi="Arial"/>
          <w:color w:val="000000"/>
          <w:sz w:val="22"/>
          <w:szCs w:val="22"/>
          <w:lang w:val="ca-ES" w:eastAsia="zh-CN"/>
        </w:rPr>
        <w:t>La puntuació s’atorgarà d’acord amb la següent taula:</w:t>
      </w:r>
    </w:p>
    <w:p>
      <w:pPr>
        <w:pStyle w:val="Normal"/>
        <w:jc w:val="both"/>
        <w:rPr>
          <w:rFonts w:ascii="Arial" w:hAnsi="Arial" w:eastAsia="SimSun;宋体"/>
          <w:color w:val="000000"/>
          <w:sz w:val="22"/>
          <w:szCs w:val="22"/>
          <w:lang w:val="ca-ES" w:eastAsia="zh-CN"/>
        </w:rPr>
      </w:pPr>
      <w:r>
        <w:rPr>
          <w:rFonts w:eastAsia="SimSun;宋体"/>
          <w:color w:val="000000"/>
          <w:sz w:val="22"/>
          <w:szCs w:val="22"/>
          <w:lang w:val="ca-ES" w:eastAsia="zh-CN"/>
        </w:rPr>
      </w:r>
    </w:p>
    <w:tbl>
      <w:tblPr>
        <w:tblW w:w="9813" w:type="dxa"/>
        <w:jc w:val="left"/>
        <w:tblInd w:w="-32" w:type="dxa"/>
        <w:tblLayout w:type="fixed"/>
        <w:tblCellMar>
          <w:top w:w="28" w:type="dxa"/>
          <w:left w:w="28" w:type="dxa"/>
          <w:bottom w:w="28" w:type="dxa"/>
          <w:right w:w="28" w:type="dxa"/>
        </w:tblCellMar>
      </w:tblPr>
      <w:tblGrid>
        <w:gridCol w:w="2613"/>
        <w:gridCol w:w="2087"/>
        <w:gridCol w:w="2275"/>
        <w:gridCol w:w="1059"/>
        <w:gridCol w:w="1779"/>
      </w:tblGrid>
      <w:tr>
        <w:trPr>
          <w:trHeight w:val="383" w:hRule="atLeast"/>
        </w:trPr>
        <w:tc>
          <w:tcPr>
            <w:tcW w:w="2613" w:type="dxa"/>
            <w:tcBorders/>
            <w:vAlign w:val="center"/>
          </w:tcPr>
          <w:p>
            <w:pPr>
              <w:pStyle w:val="Normal"/>
              <w:widowControl w:val="false"/>
              <w:tabs>
                <w:tab w:val="clear" w:pos="720"/>
              </w:tabs>
              <w:jc w:val="center"/>
              <w:rPr>
                <w:i/>
                <w:i/>
                <w:sz w:val="22"/>
                <w:szCs w:val="22"/>
                <w:highlight w:val="green"/>
              </w:rPr>
            </w:pPr>
            <w:r>
              <w:rPr>
                <w:b/>
              </w:rPr>
              <w:t>PRODUCTES</w:t>
            </w:r>
          </w:p>
        </w:tc>
        <w:tc>
          <w:tcPr>
            <w:tcW w:w="2087" w:type="dxa"/>
            <w:tcBorders/>
            <w:vAlign w:val="center"/>
          </w:tcPr>
          <w:p>
            <w:pPr>
              <w:pStyle w:val="Normal"/>
              <w:widowControl w:val="false"/>
              <w:tabs>
                <w:tab w:val="clear" w:pos="720"/>
              </w:tabs>
              <w:jc w:val="center"/>
              <w:rPr>
                <w:i/>
                <w:i/>
                <w:sz w:val="22"/>
                <w:szCs w:val="22"/>
                <w:highlight w:val="green"/>
              </w:rPr>
            </w:pPr>
            <w:r>
              <w:rPr>
                <w:b/>
              </w:rPr>
              <w:t xml:space="preserve">ESTACIONALITAT </w:t>
            </w:r>
            <w:r>
              <w:rPr/>
              <w:br/>
            </w:r>
            <w:r>
              <w:rPr>
                <w:b/>
              </w:rPr>
              <w:t>ECOLÒGIC</w:t>
            </w:r>
          </w:p>
        </w:tc>
        <w:tc>
          <w:tcPr>
            <w:tcW w:w="2275" w:type="dxa"/>
            <w:tcBorders/>
            <w:vAlign w:val="center"/>
          </w:tcPr>
          <w:p>
            <w:pPr>
              <w:pStyle w:val="Normal"/>
              <w:widowControl w:val="false"/>
              <w:tabs>
                <w:tab w:val="clear" w:pos="720"/>
              </w:tabs>
              <w:jc w:val="center"/>
              <w:rPr>
                <w:i/>
                <w:i/>
                <w:sz w:val="22"/>
                <w:szCs w:val="22"/>
                <w:highlight w:val="green"/>
              </w:rPr>
            </w:pPr>
            <w:r>
              <w:rPr>
                <w:b/>
              </w:rPr>
              <w:t xml:space="preserve">MESOS </w:t>
            </w:r>
            <w:r>
              <w:rPr/>
              <w:br/>
            </w:r>
            <w:r>
              <w:rPr>
                <w:b/>
              </w:rPr>
              <w:t>D'ESTACIONALITAT</w:t>
            </w:r>
          </w:p>
        </w:tc>
        <w:tc>
          <w:tcPr>
            <w:tcW w:w="1059" w:type="dxa"/>
            <w:tcBorders/>
            <w:vAlign w:val="center"/>
          </w:tcPr>
          <w:p>
            <w:pPr>
              <w:pStyle w:val="Normal"/>
              <w:widowControl w:val="false"/>
              <w:tabs>
                <w:tab w:val="clear" w:pos="720"/>
              </w:tabs>
              <w:jc w:val="center"/>
              <w:rPr>
                <w:i/>
                <w:i/>
                <w:sz w:val="22"/>
                <w:szCs w:val="22"/>
                <w:highlight w:val="green"/>
              </w:rPr>
            </w:pPr>
            <w:r>
              <w:rPr>
                <w:b/>
              </w:rPr>
              <w:t>PUNTS</w:t>
            </w:r>
          </w:p>
        </w:tc>
        <w:tc>
          <w:tcPr>
            <w:tcW w:w="1779" w:type="dxa"/>
            <w:tcBorders/>
            <w:vAlign w:val="center"/>
          </w:tcPr>
          <w:p>
            <w:pPr>
              <w:pStyle w:val="Normal"/>
              <w:widowControl w:val="false"/>
              <w:tabs>
                <w:tab w:val="clear" w:pos="720"/>
              </w:tabs>
              <w:jc w:val="center"/>
              <w:rPr>
                <w:i/>
                <w:i/>
                <w:sz w:val="22"/>
                <w:szCs w:val="22"/>
                <w:highlight w:val="green"/>
              </w:rPr>
            </w:pPr>
            <w:r>
              <w:rPr>
                <w:i/>
                <w:sz w:val="22"/>
                <w:szCs w:val="22"/>
                <w:highlight w:val="green"/>
              </w:rPr>
            </w:r>
          </w:p>
        </w:tc>
      </w:tr>
      <w:tr>
        <w:trPr>
          <w:trHeight w:val="256" w:hRule="atLeast"/>
        </w:trPr>
        <w:tc>
          <w:tcPr>
            <w:tcW w:w="2613" w:type="dxa"/>
            <w:tcBorders/>
            <w:vAlign w:val="bottom"/>
          </w:tcPr>
          <w:p>
            <w:pPr>
              <w:pStyle w:val="Normal"/>
              <w:widowControl w:val="false"/>
              <w:tabs>
                <w:tab w:val="clear" w:pos="720"/>
              </w:tabs>
              <w:jc w:val="left"/>
              <w:rPr>
                <w:i/>
                <w:i/>
                <w:sz w:val="22"/>
                <w:szCs w:val="22"/>
                <w:highlight w:val="green"/>
              </w:rPr>
            </w:pPr>
            <w:r>
              <w:rPr>
                <w:b/>
              </w:rPr>
              <w:t>VERDURES</w:t>
            </w:r>
          </w:p>
        </w:tc>
        <w:tc>
          <w:tcPr>
            <w:tcW w:w="2087" w:type="dxa"/>
            <w:tcBorders/>
            <w:vAlign w:val="bottom"/>
          </w:tcPr>
          <w:p>
            <w:pPr>
              <w:pStyle w:val="Normal"/>
              <w:widowControl w:val="false"/>
              <w:tabs>
                <w:tab w:val="clear" w:pos="720"/>
              </w:tabs>
              <w:jc w:val="left"/>
              <w:rPr>
                <w:i/>
                <w:i/>
                <w:sz w:val="22"/>
                <w:szCs w:val="22"/>
                <w:highlight w:val="green"/>
              </w:rPr>
            </w:pPr>
            <w:r>
              <w:rPr>
                <w:i/>
                <w:sz w:val="22"/>
                <w:szCs w:val="22"/>
                <w:highlight w:val="green"/>
              </w:rPr>
            </w:r>
          </w:p>
        </w:tc>
        <w:tc>
          <w:tcPr>
            <w:tcW w:w="2275" w:type="dxa"/>
            <w:tcBorders/>
            <w:vAlign w:val="bottom"/>
          </w:tcPr>
          <w:p>
            <w:pPr>
              <w:pStyle w:val="Normal"/>
              <w:widowControl w:val="false"/>
              <w:tabs>
                <w:tab w:val="clear" w:pos="720"/>
              </w:tabs>
              <w:jc w:val="left"/>
              <w:rPr>
                <w:i/>
                <w:i/>
                <w:sz w:val="22"/>
                <w:szCs w:val="22"/>
                <w:highlight w:val="green"/>
              </w:rPr>
            </w:pPr>
            <w:r>
              <w:rPr>
                <w:i/>
                <w:sz w:val="22"/>
                <w:szCs w:val="22"/>
                <w:highlight w:val="green"/>
              </w:rPr>
            </w:r>
          </w:p>
        </w:tc>
        <w:tc>
          <w:tcPr>
            <w:tcW w:w="1059" w:type="dxa"/>
            <w:tcBorders/>
            <w:vAlign w:val="bottom"/>
          </w:tcPr>
          <w:p>
            <w:pPr>
              <w:pStyle w:val="Normal"/>
              <w:widowControl w:val="false"/>
              <w:tabs>
                <w:tab w:val="clear" w:pos="720"/>
              </w:tabs>
              <w:jc w:val="left"/>
              <w:rPr>
                <w:i/>
                <w:i/>
                <w:sz w:val="22"/>
                <w:szCs w:val="22"/>
                <w:highlight w:val="green"/>
              </w:rPr>
            </w:pPr>
            <w:r>
              <w:rPr>
                <w:i/>
                <w:sz w:val="22"/>
                <w:szCs w:val="22"/>
                <w:highlight w:val="green"/>
              </w:rPr>
            </w:r>
          </w:p>
        </w:tc>
        <w:tc>
          <w:tcPr>
            <w:tcW w:w="1779" w:type="dxa"/>
            <w:tcBorders/>
            <w:vAlign w:val="bottom"/>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porros</w:t>
            </w:r>
          </w:p>
        </w:tc>
        <w:tc>
          <w:tcPr>
            <w:tcW w:w="2087" w:type="dxa"/>
            <w:tcBorders/>
            <w:vAlign w:val="bottom"/>
          </w:tcPr>
          <w:p>
            <w:pPr>
              <w:pStyle w:val="Normal"/>
              <w:widowControl w:val="false"/>
              <w:tabs>
                <w:tab w:val="clear" w:pos="720"/>
              </w:tabs>
              <w:jc w:val="center"/>
              <w:rPr>
                <w:i/>
                <w:i/>
                <w:sz w:val="22"/>
                <w:szCs w:val="22"/>
                <w:highlight w:val="green"/>
              </w:rPr>
            </w:pPr>
            <w:r>
              <w:rPr/>
              <w:t>octubre-març</w:t>
            </w:r>
          </w:p>
        </w:tc>
        <w:tc>
          <w:tcPr>
            <w:tcW w:w="2275" w:type="dxa"/>
            <w:tcBorders/>
            <w:vAlign w:val="bottom"/>
          </w:tcPr>
          <w:p>
            <w:pPr>
              <w:pStyle w:val="Normal"/>
              <w:widowControl w:val="false"/>
              <w:tabs>
                <w:tab w:val="clear" w:pos="720"/>
              </w:tabs>
              <w:jc w:val="center"/>
              <w:rPr>
                <w:i/>
                <w:i/>
                <w:sz w:val="22"/>
                <w:szCs w:val="22"/>
                <w:highlight w:val="green"/>
              </w:rPr>
            </w:pPr>
            <w:r>
              <w:rPr/>
              <w:t>6</w:t>
            </w:r>
          </w:p>
        </w:tc>
        <w:tc>
          <w:tcPr>
            <w:tcW w:w="1059" w:type="dxa"/>
            <w:tcBorders/>
            <w:vAlign w:val="bottom"/>
          </w:tcPr>
          <w:p>
            <w:pPr>
              <w:pStyle w:val="Normal"/>
              <w:widowControl w:val="false"/>
              <w:tabs>
                <w:tab w:val="clear" w:pos="720"/>
              </w:tabs>
              <w:jc w:val="center"/>
              <w:rPr>
                <w:i/>
                <w:i/>
                <w:sz w:val="22"/>
                <w:szCs w:val="22"/>
                <w:highlight w:val="green"/>
              </w:rPr>
            </w:pPr>
            <w:r>
              <w:rPr/>
              <w:t>-</w:t>
            </w:r>
          </w:p>
        </w:tc>
        <w:tc>
          <w:tcPr>
            <w:tcW w:w="1779" w:type="dxa"/>
            <w:tcBorders/>
            <w:vAlign w:val="bottom"/>
          </w:tcPr>
          <w:p>
            <w:pPr>
              <w:pStyle w:val="Normal"/>
              <w:widowControl w:val="false"/>
              <w:tabs>
                <w:tab w:val="clear" w:pos="720"/>
              </w:tabs>
              <w:jc w:val="center"/>
              <w:rPr>
                <w:i/>
                <w:i/>
                <w:sz w:val="22"/>
                <w:szCs w:val="22"/>
                <w:highlight w:val="green"/>
              </w:rPr>
            </w:pPr>
            <w:r>
              <w:rPr/>
              <w:t>OBLIGATORI</w:t>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cebes</w:t>
            </w:r>
          </w:p>
        </w:tc>
        <w:tc>
          <w:tcPr>
            <w:tcW w:w="2087" w:type="dxa"/>
            <w:tcBorders/>
            <w:vAlign w:val="bottom"/>
          </w:tcPr>
          <w:p>
            <w:pPr>
              <w:pStyle w:val="Normal"/>
              <w:widowControl w:val="false"/>
              <w:tabs>
                <w:tab w:val="clear" w:pos="720"/>
              </w:tabs>
              <w:jc w:val="center"/>
              <w:rPr>
                <w:i/>
                <w:i/>
                <w:sz w:val="22"/>
                <w:szCs w:val="22"/>
                <w:highlight w:val="green"/>
              </w:rPr>
            </w:pPr>
            <w:r>
              <w:rPr/>
              <w:t>tot l'any</w:t>
            </w:r>
          </w:p>
        </w:tc>
        <w:tc>
          <w:tcPr>
            <w:tcW w:w="2275" w:type="dxa"/>
            <w:tcBorders/>
            <w:vAlign w:val="bottom"/>
          </w:tcPr>
          <w:p>
            <w:pPr>
              <w:pStyle w:val="Normal"/>
              <w:widowControl w:val="false"/>
              <w:tabs>
                <w:tab w:val="clear" w:pos="720"/>
              </w:tabs>
              <w:jc w:val="center"/>
              <w:rPr>
                <w:i/>
                <w:i/>
                <w:sz w:val="22"/>
                <w:szCs w:val="22"/>
                <w:highlight w:val="green"/>
              </w:rPr>
            </w:pPr>
            <w:r>
              <w:rPr/>
              <w:t>10</w:t>
            </w:r>
          </w:p>
        </w:tc>
        <w:tc>
          <w:tcPr>
            <w:tcW w:w="1059" w:type="dxa"/>
            <w:tcBorders/>
            <w:vAlign w:val="bottom"/>
          </w:tcPr>
          <w:p>
            <w:pPr>
              <w:pStyle w:val="Normal"/>
              <w:widowControl w:val="false"/>
              <w:tabs>
                <w:tab w:val="clear" w:pos="720"/>
              </w:tabs>
              <w:jc w:val="center"/>
              <w:rPr>
                <w:i/>
                <w:i/>
                <w:sz w:val="22"/>
                <w:szCs w:val="22"/>
                <w:highlight w:val="green"/>
              </w:rPr>
            </w:pPr>
            <w:r>
              <w:rPr/>
              <w:t>-</w:t>
            </w:r>
          </w:p>
        </w:tc>
        <w:tc>
          <w:tcPr>
            <w:tcW w:w="1779" w:type="dxa"/>
            <w:tcBorders/>
            <w:vAlign w:val="bottom"/>
          </w:tcPr>
          <w:p>
            <w:pPr>
              <w:pStyle w:val="Normal"/>
              <w:widowControl w:val="false"/>
              <w:tabs>
                <w:tab w:val="clear" w:pos="720"/>
              </w:tabs>
              <w:jc w:val="center"/>
              <w:rPr>
                <w:i/>
                <w:i/>
                <w:sz w:val="22"/>
                <w:szCs w:val="22"/>
                <w:highlight w:val="green"/>
              </w:rPr>
            </w:pPr>
            <w:r>
              <w:rPr/>
              <w:t>OBLIGATORI</w:t>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carabassa</w:t>
            </w:r>
          </w:p>
        </w:tc>
        <w:tc>
          <w:tcPr>
            <w:tcW w:w="2087" w:type="dxa"/>
            <w:tcBorders/>
            <w:vAlign w:val="bottom"/>
          </w:tcPr>
          <w:p>
            <w:pPr>
              <w:pStyle w:val="Normal"/>
              <w:widowControl w:val="false"/>
              <w:tabs>
                <w:tab w:val="clear" w:pos="720"/>
              </w:tabs>
              <w:jc w:val="center"/>
              <w:rPr>
                <w:i/>
                <w:i/>
                <w:sz w:val="22"/>
                <w:szCs w:val="22"/>
                <w:highlight w:val="green"/>
              </w:rPr>
            </w:pPr>
            <w:r>
              <w:rPr/>
              <w:t>octubre-febrer</w:t>
            </w:r>
          </w:p>
        </w:tc>
        <w:tc>
          <w:tcPr>
            <w:tcW w:w="2275" w:type="dxa"/>
            <w:tcBorders/>
            <w:vAlign w:val="bottom"/>
          </w:tcPr>
          <w:p>
            <w:pPr>
              <w:pStyle w:val="Normal"/>
              <w:widowControl w:val="false"/>
              <w:tabs>
                <w:tab w:val="clear" w:pos="720"/>
              </w:tabs>
              <w:jc w:val="center"/>
              <w:rPr>
                <w:i/>
                <w:i/>
                <w:sz w:val="22"/>
                <w:szCs w:val="22"/>
                <w:highlight w:val="green"/>
              </w:rPr>
            </w:pPr>
            <w:r>
              <w:rPr/>
              <w:t>5</w:t>
            </w:r>
          </w:p>
        </w:tc>
        <w:tc>
          <w:tcPr>
            <w:tcW w:w="1059" w:type="dxa"/>
            <w:tcBorders/>
            <w:vAlign w:val="bottom"/>
          </w:tcPr>
          <w:p>
            <w:pPr>
              <w:pStyle w:val="Normal"/>
              <w:widowControl w:val="false"/>
              <w:tabs>
                <w:tab w:val="clear" w:pos="720"/>
              </w:tabs>
              <w:jc w:val="center"/>
              <w:rPr>
                <w:i/>
                <w:i/>
                <w:sz w:val="22"/>
                <w:szCs w:val="22"/>
                <w:highlight w:val="green"/>
              </w:rPr>
            </w:pPr>
            <w:r>
              <w:rPr/>
              <w:t>-</w:t>
            </w:r>
          </w:p>
        </w:tc>
        <w:tc>
          <w:tcPr>
            <w:tcW w:w="1779" w:type="dxa"/>
            <w:tcBorders/>
            <w:vAlign w:val="bottom"/>
          </w:tcPr>
          <w:p>
            <w:pPr>
              <w:pStyle w:val="Normal"/>
              <w:widowControl w:val="false"/>
              <w:tabs>
                <w:tab w:val="clear" w:pos="720"/>
              </w:tabs>
              <w:jc w:val="center"/>
              <w:rPr>
                <w:i/>
                <w:i/>
                <w:sz w:val="22"/>
                <w:szCs w:val="22"/>
                <w:highlight w:val="green"/>
              </w:rPr>
            </w:pPr>
            <w:r>
              <w:rPr/>
              <w:t>OBLIGATORI</w:t>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pastanaga</w:t>
            </w:r>
          </w:p>
        </w:tc>
        <w:tc>
          <w:tcPr>
            <w:tcW w:w="2087" w:type="dxa"/>
            <w:tcBorders/>
            <w:vAlign w:val="bottom"/>
          </w:tcPr>
          <w:p>
            <w:pPr>
              <w:pStyle w:val="Normal"/>
              <w:widowControl w:val="false"/>
              <w:tabs>
                <w:tab w:val="clear" w:pos="720"/>
              </w:tabs>
              <w:jc w:val="center"/>
              <w:rPr>
                <w:i/>
                <w:i/>
                <w:sz w:val="22"/>
                <w:szCs w:val="22"/>
                <w:highlight w:val="green"/>
              </w:rPr>
            </w:pPr>
            <w:r>
              <w:rPr/>
              <w:t>tot l'any</w:t>
            </w:r>
          </w:p>
        </w:tc>
        <w:tc>
          <w:tcPr>
            <w:tcW w:w="2275" w:type="dxa"/>
            <w:tcBorders/>
            <w:vAlign w:val="bottom"/>
          </w:tcPr>
          <w:p>
            <w:pPr>
              <w:pStyle w:val="Normal"/>
              <w:widowControl w:val="false"/>
              <w:tabs>
                <w:tab w:val="clear" w:pos="720"/>
              </w:tabs>
              <w:jc w:val="center"/>
              <w:rPr>
                <w:i/>
                <w:i/>
                <w:sz w:val="22"/>
                <w:szCs w:val="22"/>
                <w:highlight w:val="green"/>
              </w:rPr>
            </w:pPr>
            <w:r>
              <w:rPr/>
              <w:t>10</w:t>
            </w:r>
          </w:p>
        </w:tc>
        <w:tc>
          <w:tcPr>
            <w:tcW w:w="1059" w:type="dxa"/>
            <w:tcBorders/>
            <w:vAlign w:val="bottom"/>
          </w:tcPr>
          <w:p>
            <w:pPr>
              <w:pStyle w:val="Normal"/>
              <w:widowControl w:val="false"/>
              <w:tabs>
                <w:tab w:val="clear" w:pos="720"/>
              </w:tabs>
              <w:jc w:val="left"/>
              <w:rPr>
                <w:i/>
                <w:i/>
                <w:sz w:val="22"/>
                <w:szCs w:val="22"/>
                <w:highlight w:val="green"/>
              </w:rPr>
            </w:pPr>
            <w:r>
              <w:rPr>
                <w:i/>
                <w:sz w:val="22"/>
                <w:szCs w:val="22"/>
                <w:highlight w:val="green"/>
              </w:rPr>
            </w:r>
          </w:p>
        </w:tc>
        <w:tc>
          <w:tcPr>
            <w:tcW w:w="1779" w:type="dxa"/>
            <w:tcBorders/>
            <w:vAlign w:val="bottom"/>
          </w:tcPr>
          <w:p>
            <w:pPr>
              <w:pStyle w:val="Normal"/>
              <w:widowControl w:val="false"/>
              <w:tabs>
                <w:tab w:val="clear" w:pos="720"/>
              </w:tabs>
              <w:jc w:val="center"/>
              <w:rPr>
                <w:i/>
                <w:i/>
                <w:sz w:val="22"/>
                <w:szCs w:val="22"/>
                <w:highlight w:val="green"/>
              </w:rPr>
            </w:pPr>
            <w:r>
              <w:rPr/>
              <w:t>OBLIGATORI</w:t>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xampinyons</w:t>
            </w:r>
          </w:p>
        </w:tc>
        <w:tc>
          <w:tcPr>
            <w:tcW w:w="2087" w:type="dxa"/>
            <w:tcBorders/>
            <w:vAlign w:val="bottom"/>
          </w:tcPr>
          <w:p>
            <w:pPr>
              <w:pStyle w:val="Normal"/>
              <w:widowControl w:val="false"/>
              <w:tabs>
                <w:tab w:val="clear" w:pos="720"/>
              </w:tabs>
              <w:jc w:val="center"/>
              <w:rPr>
                <w:i/>
                <w:i/>
                <w:sz w:val="22"/>
                <w:szCs w:val="22"/>
                <w:highlight w:val="green"/>
              </w:rPr>
            </w:pPr>
            <w:r>
              <w:rPr/>
              <w:t>tot l'any</w:t>
            </w:r>
          </w:p>
        </w:tc>
        <w:tc>
          <w:tcPr>
            <w:tcW w:w="2275" w:type="dxa"/>
            <w:tcBorders/>
            <w:vAlign w:val="bottom"/>
          </w:tcPr>
          <w:p>
            <w:pPr>
              <w:pStyle w:val="Normal"/>
              <w:widowControl w:val="false"/>
              <w:tabs>
                <w:tab w:val="clear" w:pos="720"/>
              </w:tabs>
              <w:jc w:val="center"/>
              <w:rPr>
                <w:i/>
                <w:i/>
                <w:sz w:val="22"/>
                <w:szCs w:val="22"/>
                <w:highlight w:val="green"/>
              </w:rPr>
            </w:pPr>
            <w:r>
              <w:rPr/>
              <w:t>10</w:t>
            </w:r>
          </w:p>
        </w:tc>
        <w:tc>
          <w:tcPr>
            <w:tcW w:w="1059" w:type="dxa"/>
            <w:tcBorders/>
            <w:vAlign w:val="bottom"/>
          </w:tcPr>
          <w:p>
            <w:pPr>
              <w:pStyle w:val="Normal"/>
              <w:widowControl w:val="false"/>
              <w:tabs>
                <w:tab w:val="clear" w:pos="720"/>
              </w:tabs>
              <w:jc w:val="center"/>
              <w:rPr>
                <w:i/>
                <w:i/>
                <w:sz w:val="22"/>
                <w:szCs w:val="22"/>
                <w:highlight w:val="green"/>
              </w:rPr>
            </w:pPr>
            <w:r>
              <w:rPr/>
              <w:t>-</w:t>
            </w:r>
          </w:p>
        </w:tc>
        <w:tc>
          <w:tcPr>
            <w:tcW w:w="1779" w:type="dxa"/>
            <w:tcBorders/>
            <w:vAlign w:val="bottom"/>
          </w:tcPr>
          <w:p>
            <w:pPr>
              <w:pStyle w:val="Normal"/>
              <w:widowControl w:val="false"/>
              <w:tabs>
                <w:tab w:val="clear" w:pos="720"/>
              </w:tabs>
              <w:jc w:val="center"/>
              <w:rPr>
                <w:i/>
                <w:i/>
                <w:sz w:val="22"/>
                <w:szCs w:val="22"/>
                <w:highlight w:val="green"/>
              </w:rPr>
            </w:pPr>
            <w:r>
              <w:rPr/>
              <w:t>OBLIGATORI</w:t>
            </w:r>
          </w:p>
        </w:tc>
      </w:tr>
      <w:tr>
        <w:trPr>
          <w:trHeight w:val="383" w:hRule="atLeast"/>
        </w:trPr>
        <w:tc>
          <w:tcPr>
            <w:tcW w:w="2613" w:type="dxa"/>
            <w:tcBorders/>
            <w:vAlign w:val="center"/>
          </w:tcPr>
          <w:p>
            <w:pPr>
              <w:pStyle w:val="Normal"/>
              <w:widowControl w:val="false"/>
              <w:tabs>
                <w:tab w:val="clear" w:pos="720"/>
              </w:tabs>
              <w:jc w:val="left"/>
              <w:rPr>
                <w:i/>
                <w:i/>
                <w:sz w:val="22"/>
                <w:szCs w:val="22"/>
                <w:highlight w:val="green"/>
              </w:rPr>
            </w:pPr>
            <w:r>
              <w:rPr/>
              <w:t>tomàquet per arnanida i pel pa amb tomàquet</w:t>
            </w:r>
          </w:p>
        </w:tc>
        <w:tc>
          <w:tcPr>
            <w:tcW w:w="2087" w:type="dxa"/>
            <w:tcBorders/>
            <w:vAlign w:val="bottom"/>
          </w:tcPr>
          <w:p>
            <w:pPr>
              <w:pStyle w:val="Normal"/>
              <w:widowControl w:val="false"/>
              <w:tabs>
                <w:tab w:val="clear" w:pos="720"/>
              </w:tabs>
              <w:jc w:val="center"/>
              <w:rPr>
                <w:i/>
                <w:i/>
                <w:sz w:val="22"/>
                <w:szCs w:val="22"/>
                <w:highlight w:val="green"/>
              </w:rPr>
            </w:pPr>
            <w:r>
              <w:rPr/>
              <w:t>tot l'any</w:t>
            </w:r>
          </w:p>
        </w:tc>
        <w:tc>
          <w:tcPr>
            <w:tcW w:w="2275" w:type="dxa"/>
            <w:tcBorders/>
            <w:vAlign w:val="bottom"/>
          </w:tcPr>
          <w:p>
            <w:pPr>
              <w:pStyle w:val="Normal"/>
              <w:widowControl w:val="false"/>
              <w:tabs>
                <w:tab w:val="clear" w:pos="720"/>
              </w:tabs>
              <w:jc w:val="center"/>
              <w:rPr>
                <w:i/>
                <w:i/>
                <w:sz w:val="22"/>
                <w:szCs w:val="22"/>
                <w:highlight w:val="green"/>
              </w:rPr>
            </w:pPr>
            <w:r>
              <w:rPr/>
              <w:t>10</w:t>
            </w:r>
          </w:p>
        </w:tc>
        <w:tc>
          <w:tcPr>
            <w:tcW w:w="1059" w:type="dxa"/>
            <w:tcBorders/>
            <w:vAlign w:val="bottom"/>
          </w:tcPr>
          <w:p>
            <w:pPr>
              <w:pStyle w:val="Normal"/>
              <w:widowControl w:val="false"/>
              <w:tabs>
                <w:tab w:val="clear" w:pos="720"/>
              </w:tabs>
              <w:jc w:val="center"/>
              <w:rPr>
                <w:i/>
                <w:i/>
                <w:sz w:val="22"/>
                <w:szCs w:val="22"/>
                <w:highlight w:val="green"/>
              </w:rPr>
            </w:pPr>
            <w:r>
              <w:rPr/>
              <w:t>-</w:t>
            </w:r>
          </w:p>
        </w:tc>
        <w:tc>
          <w:tcPr>
            <w:tcW w:w="1779" w:type="dxa"/>
            <w:tcBorders/>
            <w:vAlign w:val="bottom"/>
          </w:tcPr>
          <w:p>
            <w:pPr>
              <w:pStyle w:val="Normal"/>
              <w:widowControl w:val="false"/>
              <w:tabs>
                <w:tab w:val="clear" w:pos="720"/>
              </w:tabs>
              <w:jc w:val="center"/>
              <w:rPr>
                <w:i/>
                <w:i/>
                <w:sz w:val="22"/>
                <w:szCs w:val="22"/>
                <w:highlight w:val="green"/>
              </w:rPr>
            </w:pPr>
            <w:r>
              <w:rPr/>
              <w:t>De producció</w:t>
              <w:br/>
              <w:t>INTEGRADA</w:t>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tomàquet sofregit</w:t>
            </w:r>
          </w:p>
        </w:tc>
        <w:tc>
          <w:tcPr>
            <w:tcW w:w="2087" w:type="dxa"/>
            <w:tcBorders/>
            <w:vAlign w:val="bottom"/>
          </w:tcPr>
          <w:p>
            <w:pPr>
              <w:pStyle w:val="Normal"/>
              <w:widowControl w:val="false"/>
              <w:tabs>
                <w:tab w:val="clear" w:pos="720"/>
              </w:tabs>
              <w:jc w:val="center"/>
              <w:rPr>
                <w:i/>
                <w:i/>
                <w:sz w:val="22"/>
                <w:szCs w:val="22"/>
                <w:highlight w:val="green"/>
              </w:rPr>
            </w:pPr>
            <w:r>
              <w:rPr/>
              <w:t>tot l'any</w:t>
            </w:r>
          </w:p>
        </w:tc>
        <w:tc>
          <w:tcPr>
            <w:tcW w:w="2275" w:type="dxa"/>
            <w:tcBorders/>
            <w:vAlign w:val="bottom"/>
          </w:tcPr>
          <w:p>
            <w:pPr>
              <w:pStyle w:val="Normal"/>
              <w:widowControl w:val="false"/>
              <w:tabs>
                <w:tab w:val="clear" w:pos="720"/>
              </w:tabs>
              <w:jc w:val="center"/>
              <w:rPr>
                <w:i/>
                <w:i/>
                <w:sz w:val="22"/>
                <w:szCs w:val="22"/>
                <w:highlight w:val="green"/>
              </w:rPr>
            </w:pPr>
            <w:r>
              <w:rPr/>
              <w:t>10</w:t>
            </w:r>
          </w:p>
        </w:tc>
        <w:tc>
          <w:tcPr>
            <w:tcW w:w="1059" w:type="dxa"/>
            <w:tcBorders/>
            <w:vAlign w:val="bottom"/>
          </w:tcPr>
          <w:p>
            <w:pPr>
              <w:pStyle w:val="Normal"/>
              <w:widowControl w:val="false"/>
              <w:tabs>
                <w:tab w:val="clear" w:pos="720"/>
              </w:tabs>
              <w:jc w:val="center"/>
              <w:rPr>
                <w:i/>
                <w:i/>
                <w:sz w:val="22"/>
                <w:szCs w:val="22"/>
                <w:highlight w:val="green"/>
              </w:rPr>
            </w:pPr>
            <w:r>
              <w:rPr/>
              <w:t>-</w:t>
            </w:r>
          </w:p>
        </w:tc>
        <w:tc>
          <w:tcPr>
            <w:tcW w:w="1779" w:type="dxa"/>
            <w:tcBorders/>
            <w:vAlign w:val="bottom"/>
          </w:tcPr>
          <w:p>
            <w:pPr>
              <w:pStyle w:val="Normal"/>
              <w:widowControl w:val="false"/>
              <w:tabs>
                <w:tab w:val="clear" w:pos="720"/>
              </w:tabs>
              <w:jc w:val="center"/>
              <w:rPr>
                <w:i/>
                <w:i/>
                <w:sz w:val="22"/>
                <w:szCs w:val="22"/>
                <w:highlight w:val="green"/>
              </w:rPr>
            </w:pPr>
            <w:r>
              <w:rPr/>
              <w:t>OBLIGATORI</w:t>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mongeta tendra</w:t>
            </w:r>
          </w:p>
        </w:tc>
        <w:tc>
          <w:tcPr>
            <w:tcW w:w="2087" w:type="dxa"/>
            <w:tcBorders/>
            <w:vAlign w:val="bottom"/>
          </w:tcPr>
          <w:p>
            <w:pPr>
              <w:pStyle w:val="Normal"/>
              <w:widowControl w:val="false"/>
              <w:tabs>
                <w:tab w:val="clear" w:pos="720"/>
              </w:tabs>
              <w:jc w:val="center"/>
              <w:rPr>
                <w:i/>
                <w:i/>
                <w:sz w:val="22"/>
                <w:szCs w:val="22"/>
                <w:highlight w:val="green"/>
              </w:rPr>
            </w:pPr>
            <w:r>
              <w:rPr/>
              <w:t>tot l'any</w:t>
            </w:r>
          </w:p>
        </w:tc>
        <w:tc>
          <w:tcPr>
            <w:tcW w:w="2275" w:type="dxa"/>
            <w:tcBorders/>
            <w:vAlign w:val="bottom"/>
          </w:tcPr>
          <w:p>
            <w:pPr>
              <w:pStyle w:val="Normal"/>
              <w:widowControl w:val="false"/>
              <w:tabs>
                <w:tab w:val="clear" w:pos="720"/>
              </w:tabs>
              <w:jc w:val="center"/>
              <w:rPr>
                <w:i/>
                <w:i/>
                <w:sz w:val="22"/>
                <w:szCs w:val="22"/>
                <w:highlight w:val="green"/>
              </w:rPr>
            </w:pPr>
            <w:r>
              <w:rPr/>
              <w:t>10</w:t>
            </w:r>
          </w:p>
        </w:tc>
        <w:tc>
          <w:tcPr>
            <w:tcW w:w="1059" w:type="dxa"/>
            <w:tcBorders/>
            <w:vAlign w:val="bottom"/>
          </w:tcPr>
          <w:p>
            <w:pPr>
              <w:pStyle w:val="Normal"/>
              <w:widowControl w:val="false"/>
              <w:tabs>
                <w:tab w:val="clear" w:pos="720"/>
              </w:tabs>
              <w:jc w:val="center"/>
              <w:rPr>
                <w:i/>
                <w:i/>
                <w:sz w:val="22"/>
                <w:szCs w:val="22"/>
                <w:highlight w:val="green"/>
              </w:rPr>
            </w:pPr>
            <w:r>
              <w:rPr/>
              <w:t>-</w:t>
            </w:r>
          </w:p>
        </w:tc>
        <w:tc>
          <w:tcPr>
            <w:tcW w:w="1779" w:type="dxa"/>
            <w:tcBorders/>
            <w:vAlign w:val="bottom"/>
          </w:tcPr>
          <w:p>
            <w:pPr>
              <w:pStyle w:val="Normal"/>
              <w:widowControl w:val="false"/>
              <w:tabs>
                <w:tab w:val="clear" w:pos="720"/>
              </w:tabs>
              <w:jc w:val="center"/>
              <w:rPr>
                <w:i/>
                <w:i/>
                <w:sz w:val="22"/>
                <w:szCs w:val="22"/>
                <w:highlight w:val="green"/>
              </w:rPr>
            </w:pPr>
            <w:r>
              <w:rPr/>
              <w:t>-</w:t>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espinacs</w:t>
            </w:r>
          </w:p>
        </w:tc>
        <w:tc>
          <w:tcPr>
            <w:tcW w:w="2087" w:type="dxa"/>
            <w:tcBorders/>
            <w:vAlign w:val="bottom"/>
          </w:tcPr>
          <w:p>
            <w:pPr>
              <w:pStyle w:val="Normal"/>
              <w:widowControl w:val="false"/>
              <w:tabs>
                <w:tab w:val="clear" w:pos="720"/>
              </w:tabs>
              <w:jc w:val="center"/>
              <w:rPr>
                <w:i/>
                <w:i/>
                <w:sz w:val="22"/>
                <w:szCs w:val="22"/>
                <w:highlight w:val="green"/>
              </w:rPr>
            </w:pPr>
            <w:r>
              <w:rPr/>
              <w:t>novembre-febrer</w:t>
            </w:r>
          </w:p>
        </w:tc>
        <w:tc>
          <w:tcPr>
            <w:tcW w:w="2275" w:type="dxa"/>
            <w:tcBorders/>
            <w:vAlign w:val="bottom"/>
          </w:tcPr>
          <w:p>
            <w:pPr>
              <w:pStyle w:val="Normal"/>
              <w:widowControl w:val="false"/>
              <w:tabs>
                <w:tab w:val="clear" w:pos="720"/>
              </w:tabs>
              <w:jc w:val="center"/>
              <w:rPr>
                <w:i/>
                <w:i/>
                <w:sz w:val="22"/>
                <w:szCs w:val="22"/>
                <w:highlight w:val="green"/>
              </w:rPr>
            </w:pPr>
            <w:r>
              <w:rPr/>
              <w:t>4</w:t>
            </w:r>
          </w:p>
        </w:tc>
        <w:tc>
          <w:tcPr>
            <w:tcW w:w="1059" w:type="dxa"/>
            <w:tcBorders/>
            <w:vAlign w:val="bottom"/>
          </w:tcPr>
          <w:p>
            <w:pPr>
              <w:pStyle w:val="Normal"/>
              <w:widowControl w:val="false"/>
              <w:tabs>
                <w:tab w:val="clear" w:pos="720"/>
              </w:tabs>
              <w:jc w:val="left"/>
              <w:rPr>
                <w:i/>
                <w:i/>
                <w:sz w:val="22"/>
                <w:szCs w:val="22"/>
                <w:highlight w:val="green"/>
              </w:rPr>
            </w:pPr>
            <w:r>
              <w:rPr>
                <w:i/>
                <w:sz w:val="22"/>
                <w:szCs w:val="22"/>
                <w:highlight w:val="green"/>
              </w:rPr>
            </w:r>
          </w:p>
        </w:tc>
        <w:tc>
          <w:tcPr>
            <w:tcW w:w="1779" w:type="dxa"/>
            <w:tcBorders/>
            <w:vAlign w:val="bottom"/>
          </w:tcPr>
          <w:p>
            <w:pPr>
              <w:pStyle w:val="Normal"/>
              <w:widowControl w:val="false"/>
              <w:tabs>
                <w:tab w:val="clear" w:pos="720"/>
              </w:tabs>
              <w:jc w:val="center"/>
              <w:rPr>
                <w:i/>
                <w:i/>
                <w:sz w:val="22"/>
                <w:szCs w:val="22"/>
                <w:highlight w:val="green"/>
              </w:rPr>
            </w:pPr>
            <w:r>
              <w:rPr/>
              <w:t>OBLIGATORI</w:t>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carabassó</w:t>
            </w:r>
          </w:p>
        </w:tc>
        <w:tc>
          <w:tcPr>
            <w:tcW w:w="2087" w:type="dxa"/>
            <w:tcBorders/>
            <w:vAlign w:val="bottom"/>
          </w:tcPr>
          <w:p>
            <w:pPr>
              <w:pStyle w:val="Normal"/>
              <w:widowControl w:val="false"/>
              <w:tabs>
                <w:tab w:val="clear" w:pos="720"/>
              </w:tabs>
              <w:jc w:val="center"/>
              <w:rPr>
                <w:i/>
                <w:i/>
                <w:sz w:val="22"/>
                <w:szCs w:val="22"/>
                <w:highlight w:val="green"/>
              </w:rPr>
            </w:pPr>
            <w:r>
              <w:rPr/>
              <w:t>juny-juliol</w:t>
            </w:r>
          </w:p>
        </w:tc>
        <w:tc>
          <w:tcPr>
            <w:tcW w:w="2275" w:type="dxa"/>
            <w:tcBorders/>
            <w:vAlign w:val="bottom"/>
          </w:tcPr>
          <w:p>
            <w:pPr>
              <w:pStyle w:val="Normal"/>
              <w:widowControl w:val="false"/>
              <w:tabs>
                <w:tab w:val="clear" w:pos="720"/>
              </w:tabs>
              <w:jc w:val="center"/>
              <w:rPr>
                <w:i/>
                <w:i/>
                <w:sz w:val="22"/>
                <w:szCs w:val="22"/>
                <w:highlight w:val="green"/>
              </w:rPr>
            </w:pPr>
            <w:r>
              <w:rPr/>
              <w:t>1</w:t>
            </w:r>
          </w:p>
        </w:tc>
        <w:tc>
          <w:tcPr>
            <w:tcW w:w="1059" w:type="dxa"/>
            <w:tcBorders/>
            <w:vAlign w:val="bottom"/>
          </w:tcPr>
          <w:p>
            <w:pPr>
              <w:pStyle w:val="Normal"/>
              <w:widowControl w:val="false"/>
              <w:tabs>
                <w:tab w:val="clear" w:pos="720"/>
              </w:tabs>
              <w:jc w:val="center"/>
              <w:rPr>
                <w:i/>
                <w:i/>
                <w:sz w:val="22"/>
                <w:szCs w:val="22"/>
                <w:highlight w:val="green"/>
              </w:rPr>
            </w:pPr>
            <w:r>
              <w:rPr/>
              <w:t>-</w:t>
            </w:r>
          </w:p>
        </w:tc>
        <w:tc>
          <w:tcPr>
            <w:tcW w:w="1779" w:type="dxa"/>
            <w:tcBorders/>
            <w:vAlign w:val="bottom"/>
          </w:tcPr>
          <w:p>
            <w:pPr>
              <w:pStyle w:val="Normal"/>
              <w:widowControl w:val="false"/>
              <w:tabs>
                <w:tab w:val="clear" w:pos="720"/>
              </w:tabs>
              <w:jc w:val="center"/>
              <w:rPr>
                <w:i/>
                <w:i/>
                <w:sz w:val="22"/>
                <w:szCs w:val="22"/>
                <w:highlight w:val="green"/>
              </w:rPr>
            </w:pPr>
            <w:r>
              <w:rPr/>
              <w:t>OBLIGATORI</w:t>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bròquil</w:t>
            </w:r>
          </w:p>
        </w:tc>
        <w:tc>
          <w:tcPr>
            <w:tcW w:w="2087" w:type="dxa"/>
            <w:tcBorders/>
            <w:vAlign w:val="bottom"/>
          </w:tcPr>
          <w:p>
            <w:pPr>
              <w:pStyle w:val="Normal"/>
              <w:widowControl w:val="false"/>
              <w:tabs>
                <w:tab w:val="clear" w:pos="720"/>
              </w:tabs>
              <w:jc w:val="center"/>
              <w:rPr>
                <w:i/>
                <w:i/>
                <w:sz w:val="22"/>
                <w:szCs w:val="22"/>
                <w:highlight w:val="green"/>
              </w:rPr>
            </w:pPr>
            <w:r>
              <w:rPr/>
              <w:t>desembre-febrer</w:t>
            </w:r>
          </w:p>
        </w:tc>
        <w:tc>
          <w:tcPr>
            <w:tcW w:w="2275" w:type="dxa"/>
            <w:tcBorders/>
            <w:vAlign w:val="bottom"/>
          </w:tcPr>
          <w:p>
            <w:pPr>
              <w:pStyle w:val="Normal"/>
              <w:widowControl w:val="false"/>
              <w:tabs>
                <w:tab w:val="clear" w:pos="720"/>
              </w:tabs>
              <w:jc w:val="center"/>
              <w:rPr>
                <w:i/>
                <w:i/>
                <w:sz w:val="22"/>
                <w:szCs w:val="22"/>
                <w:highlight w:val="green"/>
              </w:rPr>
            </w:pPr>
            <w:r>
              <w:rPr/>
              <w:t>3</w:t>
            </w:r>
          </w:p>
        </w:tc>
        <w:tc>
          <w:tcPr>
            <w:tcW w:w="1059" w:type="dxa"/>
            <w:tcBorders/>
            <w:vAlign w:val="bottom"/>
          </w:tcPr>
          <w:p>
            <w:pPr>
              <w:pStyle w:val="Normal"/>
              <w:widowControl w:val="false"/>
              <w:tabs>
                <w:tab w:val="clear" w:pos="720"/>
              </w:tabs>
              <w:jc w:val="center"/>
              <w:rPr>
                <w:i/>
                <w:i/>
                <w:sz w:val="22"/>
                <w:szCs w:val="22"/>
                <w:highlight w:val="green"/>
              </w:rPr>
            </w:pPr>
            <w:r>
              <w:rPr/>
              <w:t>-</w:t>
            </w:r>
          </w:p>
        </w:tc>
        <w:tc>
          <w:tcPr>
            <w:tcW w:w="1779" w:type="dxa"/>
            <w:tcBorders/>
            <w:vAlign w:val="bottom"/>
          </w:tcPr>
          <w:p>
            <w:pPr>
              <w:pStyle w:val="Normal"/>
              <w:widowControl w:val="false"/>
              <w:tabs>
                <w:tab w:val="clear" w:pos="720"/>
              </w:tabs>
              <w:jc w:val="center"/>
              <w:rPr>
                <w:i/>
                <w:i/>
                <w:sz w:val="22"/>
                <w:szCs w:val="22"/>
                <w:highlight w:val="green"/>
              </w:rPr>
            </w:pPr>
            <w:r>
              <w:rPr/>
              <w:t>OBLIGATORI</w:t>
            </w:r>
          </w:p>
        </w:tc>
      </w:tr>
      <w:tr>
        <w:trPr>
          <w:trHeight w:val="373" w:hRule="atLeast"/>
        </w:trPr>
        <w:tc>
          <w:tcPr>
            <w:tcW w:w="2613" w:type="dxa"/>
            <w:tcBorders/>
            <w:vAlign w:val="center"/>
          </w:tcPr>
          <w:p>
            <w:pPr>
              <w:pStyle w:val="Normal"/>
              <w:widowControl w:val="false"/>
              <w:tabs>
                <w:tab w:val="clear" w:pos="720"/>
              </w:tabs>
              <w:jc w:val="left"/>
              <w:rPr>
                <w:i/>
                <w:i/>
                <w:sz w:val="22"/>
                <w:szCs w:val="22"/>
                <w:highlight w:val="green"/>
              </w:rPr>
            </w:pPr>
            <w:r>
              <w:rPr/>
              <w:t>Enciam: romà: trocadero i meravella (no iceberg)</w:t>
            </w:r>
          </w:p>
        </w:tc>
        <w:tc>
          <w:tcPr>
            <w:tcW w:w="2087" w:type="dxa"/>
            <w:tcBorders/>
            <w:vAlign w:val="bottom"/>
          </w:tcPr>
          <w:p>
            <w:pPr>
              <w:pStyle w:val="Normal"/>
              <w:widowControl w:val="false"/>
              <w:tabs>
                <w:tab w:val="clear" w:pos="720"/>
              </w:tabs>
              <w:jc w:val="center"/>
              <w:rPr>
                <w:i/>
                <w:i/>
                <w:sz w:val="22"/>
                <w:szCs w:val="22"/>
                <w:highlight w:val="green"/>
              </w:rPr>
            </w:pPr>
            <w:r>
              <w:rPr/>
              <w:t>tot l'any</w:t>
            </w:r>
          </w:p>
        </w:tc>
        <w:tc>
          <w:tcPr>
            <w:tcW w:w="2275" w:type="dxa"/>
            <w:tcBorders/>
            <w:vAlign w:val="bottom"/>
          </w:tcPr>
          <w:p>
            <w:pPr>
              <w:pStyle w:val="Normal"/>
              <w:widowControl w:val="false"/>
              <w:tabs>
                <w:tab w:val="clear" w:pos="720"/>
              </w:tabs>
              <w:jc w:val="center"/>
              <w:rPr>
                <w:i/>
                <w:i/>
                <w:sz w:val="22"/>
                <w:szCs w:val="22"/>
                <w:highlight w:val="green"/>
              </w:rPr>
            </w:pPr>
            <w:r>
              <w:rPr/>
              <w:t>10</w:t>
            </w:r>
          </w:p>
        </w:tc>
        <w:tc>
          <w:tcPr>
            <w:tcW w:w="1059" w:type="dxa"/>
            <w:tcBorders/>
            <w:vAlign w:val="bottom"/>
          </w:tcPr>
          <w:p>
            <w:pPr>
              <w:pStyle w:val="Normal"/>
              <w:widowControl w:val="false"/>
              <w:tabs>
                <w:tab w:val="clear" w:pos="720"/>
              </w:tabs>
              <w:jc w:val="center"/>
              <w:rPr>
                <w:i/>
                <w:i/>
                <w:sz w:val="22"/>
                <w:szCs w:val="22"/>
                <w:highlight w:val="green"/>
              </w:rPr>
            </w:pPr>
            <w:r>
              <w:rPr/>
              <w:t>-</w:t>
            </w:r>
          </w:p>
        </w:tc>
        <w:tc>
          <w:tcPr>
            <w:tcW w:w="1779" w:type="dxa"/>
            <w:tcBorders/>
            <w:vAlign w:val="bottom"/>
          </w:tcPr>
          <w:p>
            <w:pPr>
              <w:pStyle w:val="Normal"/>
              <w:widowControl w:val="false"/>
              <w:tabs>
                <w:tab w:val="clear" w:pos="720"/>
              </w:tabs>
              <w:jc w:val="center"/>
              <w:rPr>
                <w:i/>
                <w:i/>
                <w:sz w:val="22"/>
                <w:szCs w:val="22"/>
                <w:highlight w:val="green"/>
              </w:rPr>
            </w:pPr>
            <w:r>
              <w:rPr/>
              <w:t>-</w:t>
            </w:r>
          </w:p>
        </w:tc>
      </w:tr>
      <w:tr>
        <w:trPr>
          <w:trHeight w:val="256" w:hRule="atLeast"/>
        </w:trPr>
        <w:tc>
          <w:tcPr>
            <w:tcW w:w="2613" w:type="dxa"/>
            <w:tcBorders/>
            <w:vAlign w:val="bottom"/>
          </w:tcPr>
          <w:p>
            <w:pPr>
              <w:pStyle w:val="Normal"/>
              <w:widowControl w:val="false"/>
              <w:tabs>
                <w:tab w:val="clear" w:pos="720"/>
              </w:tabs>
              <w:jc w:val="left"/>
              <w:rPr>
                <w:i/>
                <w:i/>
                <w:sz w:val="22"/>
                <w:szCs w:val="22"/>
                <w:highlight w:val="green"/>
              </w:rPr>
            </w:pPr>
            <w:r>
              <w:rPr>
                <w:b/>
              </w:rPr>
              <w:t>CEREALS, FÈCULES I LLEGUMS</w:t>
            </w:r>
          </w:p>
        </w:tc>
        <w:tc>
          <w:tcPr>
            <w:tcW w:w="2087" w:type="dxa"/>
            <w:tcBorders/>
            <w:vAlign w:val="bottom"/>
          </w:tcPr>
          <w:p>
            <w:pPr>
              <w:pStyle w:val="Normal"/>
              <w:widowControl w:val="false"/>
              <w:tabs>
                <w:tab w:val="clear" w:pos="720"/>
              </w:tabs>
              <w:jc w:val="left"/>
              <w:rPr>
                <w:i/>
                <w:i/>
                <w:sz w:val="22"/>
                <w:szCs w:val="22"/>
                <w:highlight w:val="green"/>
              </w:rPr>
            </w:pPr>
            <w:r>
              <w:rPr>
                <w:i/>
                <w:sz w:val="22"/>
                <w:szCs w:val="22"/>
                <w:highlight w:val="green"/>
              </w:rPr>
            </w:r>
          </w:p>
        </w:tc>
        <w:tc>
          <w:tcPr>
            <w:tcW w:w="2275" w:type="dxa"/>
            <w:tcBorders/>
            <w:vAlign w:val="bottom"/>
          </w:tcPr>
          <w:p>
            <w:pPr>
              <w:pStyle w:val="Normal"/>
              <w:widowControl w:val="false"/>
              <w:tabs>
                <w:tab w:val="clear" w:pos="720"/>
              </w:tabs>
              <w:jc w:val="left"/>
              <w:rPr>
                <w:i/>
                <w:i/>
                <w:sz w:val="22"/>
                <w:szCs w:val="22"/>
                <w:highlight w:val="green"/>
              </w:rPr>
            </w:pPr>
            <w:r>
              <w:rPr>
                <w:i/>
                <w:sz w:val="22"/>
                <w:szCs w:val="22"/>
                <w:highlight w:val="green"/>
              </w:rPr>
            </w:r>
          </w:p>
        </w:tc>
        <w:tc>
          <w:tcPr>
            <w:tcW w:w="1059" w:type="dxa"/>
            <w:tcBorders/>
            <w:vAlign w:val="bottom"/>
          </w:tcPr>
          <w:p>
            <w:pPr>
              <w:pStyle w:val="Normal"/>
              <w:widowControl w:val="false"/>
              <w:tabs>
                <w:tab w:val="clear" w:pos="720"/>
              </w:tabs>
              <w:jc w:val="left"/>
              <w:rPr>
                <w:i/>
                <w:i/>
                <w:sz w:val="22"/>
                <w:szCs w:val="22"/>
                <w:highlight w:val="green"/>
              </w:rPr>
            </w:pPr>
            <w:r>
              <w:rPr>
                <w:i/>
                <w:sz w:val="22"/>
                <w:szCs w:val="22"/>
                <w:highlight w:val="green"/>
              </w:rPr>
            </w:r>
          </w:p>
        </w:tc>
        <w:tc>
          <w:tcPr>
            <w:tcW w:w="1779" w:type="dxa"/>
            <w:tcBorders/>
            <w:vAlign w:val="bottom"/>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patates</w:t>
            </w:r>
          </w:p>
        </w:tc>
        <w:tc>
          <w:tcPr>
            <w:tcW w:w="2087" w:type="dxa"/>
            <w:tcBorders/>
            <w:vAlign w:val="center"/>
          </w:tcPr>
          <w:p>
            <w:pPr>
              <w:pStyle w:val="Normal"/>
              <w:widowControl w:val="false"/>
              <w:tabs>
                <w:tab w:val="clear" w:pos="720"/>
              </w:tabs>
              <w:jc w:val="center"/>
              <w:rPr>
                <w:i/>
                <w:i/>
                <w:sz w:val="22"/>
                <w:szCs w:val="22"/>
                <w:highlight w:val="green"/>
              </w:rPr>
            </w:pPr>
            <w:r>
              <w:rPr/>
              <w:t>tot l'any</w:t>
            </w:r>
          </w:p>
        </w:tc>
        <w:tc>
          <w:tcPr>
            <w:tcW w:w="2275" w:type="dxa"/>
            <w:tcBorders/>
            <w:vAlign w:val="center"/>
          </w:tcPr>
          <w:p>
            <w:pPr>
              <w:pStyle w:val="Normal"/>
              <w:widowControl w:val="false"/>
              <w:tabs>
                <w:tab w:val="clear" w:pos="720"/>
              </w:tabs>
              <w:jc w:val="center"/>
              <w:rPr>
                <w:i/>
                <w:i/>
                <w:sz w:val="22"/>
                <w:szCs w:val="22"/>
                <w:highlight w:val="green"/>
              </w:rPr>
            </w:pPr>
            <w:r>
              <w:rPr/>
              <w:t>10</w:t>
            </w:r>
          </w:p>
        </w:tc>
        <w:tc>
          <w:tcPr>
            <w:tcW w:w="1059" w:type="dxa"/>
            <w:tcBorders/>
            <w:vAlign w:val="center"/>
          </w:tcPr>
          <w:p>
            <w:pPr>
              <w:pStyle w:val="Normal"/>
              <w:widowControl w:val="false"/>
              <w:tabs>
                <w:tab w:val="clear" w:pos="720"/>
              </w:tabs>
              <w:jc w:val="center"/>
              <w:rPr>
                <w:i/>
                <w:i/>
                <w:sz w:val="22"/>
                <w:szCs w:val="22"/>
                <w:highlight w:val="green"/>
              </w:rPr>
            </w:pPr>
            <w:r>
              <w:rPr/>
              <w:t>1,22</w:t>
            </w:r>
          </w:p>
        </w:tc>
        <w:tc>
          <w:tcPr>
            <w:tcW w:w="177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tcBorders/>
            <w:vAlign w:val="center"/>
          </w:tcPr>
          <w:p>
            <w:pPr>
              <w:pStyle w:val="Normal"/>
              <w:widowControl w:val="false"/>
              <w:tabs>
                <w:tab w:val="clear" w:pos="720"/>
              </w:tabs>
              <w:jc w:val="left"/>
              <w:rPr>
                <w:shd w:fill="auto" w:val="clear"/>
              </w:rPr>
            </w:pPr>
            <w:r>
              <w:rPr>
                <w:shd w:fill="auto" w:val="clear"/>
              </w:rPr>
              <w:t>pasta</w:t>
            </w:r>
          </w:p>
        </w:tc>
        <w:tc>
          <w:tcPr>
            <w:tcW w:w="2087" w:type="dxa"/>
            <w:tcBorders/>
            <w:vAlign w:val="center"/>
          </w:tcPr>
          <w:p>
            <w:pPr>
              <w:pStyle w:val="Normal"/>
              <w:widowControl w:val="false"/>
              <w:tabs>
                <w:tab w:val="clear" w:pos="720"/>
              </w:tabs>
              <w:jc w:val="center"/>
              <w:rPr>
                <w:i/>
                <w:i/>
                <w:sz w:val="22"/>
                <w:szCs w:val="22"/>
                <w:highlight w:val="green"/>
              </w:rPr>
            </w:pPr>
            <w:r>
              <w:rPr/>
              <w:t>tot l'any</w:t>
            </w:r>
          </w:p>
        </w:tc>
        <w:tc>
          <w:tcPr>
            <w:tcW w:w="2275" w:type="dxa"/>
            <w:tcBorders/>
            <w:vAlign w:val="center"/>
          </w:tcPr>
          <w:p>
            <w:pPr>
              <w:pStyle w:val="Normal"/>
              <w:widowControl w:val="false"/>
              <w:tabs>
                <w:tab w:val="clear" w:pos="720"/>
              </w:tabs>
              <w:jc w:val="center"/>
              <w:rPr>
                <w:i/>
                <w:i/>
                <w:sz w:val="22"/>
                <w:szCs w:val="22"/>
                <w:highlight w:val="green"/>
              </w:rPr>
            </w:pPr>
            <w:r>
              <w:rPr/>
              <w:t>10</w:t>
            </w:r>
          </w:p>
        </w:tc>
        <w:tc>
          <w:tcPr>
            <w:tcW w:w="1059" w:type="dxa"/>
            <w:tcBorders/>
            <w:vAlign w:val="center"/>
          </w:tcPr>
          <w:p>
            <w:pPr>
              <w:pStyle w:val="Normal"/>
              <w:widowControl w:val="false"/>
              <w:tabs>
                <w:tab w:val="clear" w:pos="720"/>
              </w:tabs>
              <w:jc w:val="center"/>
              <w:rPr>
                <w:i/>
                <w:i/>
                <w:sz w:val="22"/>
                <w:szCs w:val="22"/>
                <w:highlight w:val="green"/>
              </w:rPr>
            </w:pPr>
            <w:r>
              <w:rPr/>
              <w:t>0,6</w:t>
            </w:r>
          </w:p>
        </w:tc>
        <w:tc>
          <w:tcPr>
            <w:tcW w:w="177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arròs</w:t>
            </w:r>
          </w:p>
        </w:tc>
        <w:tc>
          <w:tcPr>
            <w:tcW w:w="2087" w:type="dxa"/>
            <w:tcBorders/>
            <w:vAlign w:val="center"/>
          </w:tcPr>
          <w:p>
            <w:pPr>
              <w:pStyle w:val="Normal"/>
              <w:widowControl w:val="false"/>
              <w:tabs>
                <w:tab w:val="clear" w:pos="720"/>
              </w:tabs>
              <w:jc w:val="center"/>
              <w:rPr>
                <w:i/>
                <w:i/>
                <w:sz w:val="22"/>
                <w:szCs w:val="22"/>
                <w:highlight w:val="green"/>
              </w:rPr>
            </w:pPr>
            <w:r>
              <w:rPr/>
              <w:t>tot l'any</w:t>
            </w:r>
          </w:p>
        </w:tc>
        <w:tc>
          <w:tcPr>
            <w:tcW w:w="2275" w:type="dxa"/>
            <w:tcBorders/>
            <w:vAlign w:val="center"/>
          </w:tcPr>
          <w:p>
            <w:pPr>
              <w:pStyle w:val="Normal"/>
              <w:widowControl w:val="false"/>
              <w:tabs>
                <w:tab w:val="clear" w:pos="720"/>
              </w:tabs>
              <w:jc w:val="center"/>
              <w:rPr>
                <w:i/>
                <w:i/>
                <w:sz w:val="22"/>
                <w:szCs w:val="22"/>
                <w:highlight w:val="green"/>
              </w:rPr>
            </w:pPr>
            <w:r>
              <w:rPr/>
              <w:t>10</w:t>
            </w:r>
          </w:p>
        </w:tc>
        <w:tc>
          <w:tcPr>
            <w:tcW w:w="1059" w:type="dxa"/>
            <w:tcBorders/>
            <w:vAlign w:val="center"/>
          </w:tcPr>
          <w:p>
            <w:pPr>
              <w:pStyle w:val="Normal"/>
              <w:widowControl w:val="false"/>
              <w:tabs>
                <w:tab w:val="clear" w:pos="720"/>
              </w:tabs>
              <w:jc w:val="center"/>
              <w:rPr>
                <w:i/>
                <w:i/>
                <w:sz w:val="22"/>
                <w:szCs w:val="22"/>
                <w:highlight w:val="green"/>
              </w:rPr>
            </w:pPr>
            <w:r>
              <w:rPr/>
              <w:t>1,51</w:t>
            </w:r>
          </w:p>
        </w:tc>
        <w:tc>
          <w:tcPr>
            <w:tcW w:w="177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cigrons</w:t>
            </w:r>
          </w:p>
        </w:tc>
        <w:tc>
          <w:tcPr>
            <w:tcW w:w="2087" w:type="dxa"/>
            <w:tcBorders/>
            <w:vAlign w:val="center"/>
          </w:tcPr>
          <w:p>
            <w:pPr>
              <w:pStyle w:val="Normal"/>
              <w:widowControl w:val="false"/>
              <w:tabs>
                <w:tab w:val="clear" w:pos="720"/>
              </w:tabs>
              <w:jc w:val="center"/>
              <w:rPr>
                <w:i/>
                <w:i/>
                <w:sz w:val="22"/>
                <w:szCs w:val="22"/>
                <w:highlight w:val="green"/>
              </w:rPr>
            </w:pPr>
            <w:r>
              <w:rPr/>
              <w:t>tot l'any</w:t>
            </w:r>
          </w:p>
        </w:tc>
        <w:tc>
          <w:tcPr>
            <w:tcW w:w="2275" w:type="dxa"/>
            <w:tcBorders/>
            <w:vAlign w:val="center"/>
          </w:tcPr>
          <w:p>
            <w:pPr>
              <w:pStyle w:val="Normal"/>
              <w:widowControl w:val="false"/>
              <w:tabs>
                <w:tab w:val="clear" w:pos="720"/>
              </w:tabs>
              <w:jc w:val="center"/>
              <w:rPr>
                <w:i/>
                <w:i/>
                <w:sz w:val="22"/>
                <w:szCs w:val="22"/>
                <w:highlight w:val="green"/>
              </w:rPr>
            </w:pPr>
            <w:r>
              <w:rPr/>
              <w:t>10</w:t>
            </w:r>
          </w:p>
        </w:tc>
        <w:tc>
          <w:tcPr>
            <w:tcW w:w="1059" w:type="dxa"/>
            <w:tcBorders/>
            <w:vAlign w:val="center"/>
          </w:tcPr>
          <w:p>
            <w:pPr>
              <w:pStyle w:val="Normal"/>
              <w:widowControl w:val="false"/>
              <w:tabs>
                <w:tab w:val="clear" w:pos="720"/>
              </w:tabs>
              <w:jc w:val="center"/>
              <w:rPr>
                <w:i/>
                <w:i/>
                <w:sz w:val="22"/>
                <w:szCs w:val="22"/>
                <w:highlight w:val="green"/>
              </w:rPr>
            </w:pPr>
            <w:r>
              <w:rPr/>
              <w:t>0,36</w:t>
            </w:r>
          </w:p>
        </w:tc>
        <w:tc>
          <w:tcPr>
            <w:tcW w:w="177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llenties</w:t>
            </w:r>
          </w:p>
        </w:tc>
        <w:tc>
          <w:tcPr>
            <w:tcW w:w="2087" w:type="dxa"/>
            <w:tcBorders/>
            <w:vAlign w:val="center"/>
          </w:tcPr>
          <w:p>
            <w:pPr>
              <w:pStyle w:val="Normal"/>
              <w:widowControl w:val="false"/>
              <w:tabs>
                <w:tab w:val="clear" w:pos="720"/>
              </w:tabs>
              <w:jc w:val="center"/>
              <w:rPr>
                <w:i/>
                <w:i/>
                <w:sz w:val="22"/>
                <w:szCs w:val="22"/>
                <w:highlight w:val="green"/>
              </w:rPr>
            </w:pPr>
            <w:r>
              <w:rPr/>
              <w:t>tot l'any</w:t>
            </w:r>
          </w:p>
        </w:tc>
        <w:tc>
          <w:tcPr>
            <w:tcW w:w="2275" w:type="dxa"/>
            <w:tcBorders/>
            <w:vAlign w:val="center"/>
          </w:tcPr>
          <w:p>
            <w:pPr>
              <w:pStyle w:val="Normal"/>
              <w:widowControl w:val="false"/>
              <w:tabs>
                <w:tab w:val="clear" w:pos="720"/>
              </w:tabs>
              <w:jc w:val="center"/>
              <w:rPr>
                <w:i/>
                <w:i/>
                <w:sz w:val="22"/>
                <w:szCs w:val="22"/>
                <w:highlight w:val="green"/>
              </w:rPr>
            </w:pPr>
            <w:r>
              <w:rPr/>
              <w:t>10</w:t>
            </w:r>
          </w:p>
        </w:tc>
        <w:tc>
          <w:tcPr>
            <w:tcW w:w="1059" w:type="dxa"/>
            <w:tcBorders/>
            <w:vAlign w:val="center"/>
          </w:tcPr>
          <w:p>
            <w:pPr>
              <w:pStyle w:val="Normal"/>
              <w:widowControl w:val="false"/>
              <w:tabs>
                <w:tab w:val="clear" w:pos="720"/>
              </w:tabs>
              <w:jc w:val="center"/>
              <w:rPr>
                <w:i/>
                <w:i/>
                <w:sz w:val="22"/>
                <w:szCs w:val="22"/>
                <w:highlight w:val="green"/>
              </w:rPr>
            </w:pPr>
            <w:r>
              <w:rPr/>
              <w:t>0,67</w:t>
            </w:r>
          </w:p>
        </w:tc>
        <w:tc>
          <w:tcPr>
            <w:tcW w:w="177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pa</w:t>
            </w:r>
          </w:p>
        </w:tc>
        <w:tc>
          <w:tcPr>
            <w:tcW w:w="2087" w:type="dxa"/>
            <w:tcBorders/>
            <w:vAlign w:val="center"/>
          </w:tcPr>
          <w:p>
            <w:pPr>
              <w:pStyle w:val="Normal"/>
              <w:widowControl w:val="false"/>
              <w:tabs>
                <w:tab w:val="clear" w:pos="720"/>
              </w:tabs>
              <w:jc w:val="center"/>
              <w:rPr>
                <w:i/>
                <w:i/>
                <w:sz w:val="22"/>
                <w:szCs w:val="22"/>
                <w:highlight w:val="green"/>
              </w:rPr>
            </w:pPr>
            <w:r>
              <w:rPr/>
              <w:t>tot l'any</w:t>
            </w:r>
          </w:p>
        </w:tc>
        <w:tc>
          <w:tcPr>
            <w:tcW w:w="2275" w:type="dxa"/>
            <w:tcBorders/>
            <w:vAlign w:val="center"/>
          </w:tcPr>
          <w:p>
            <w:pPr>
              <w:pStyle w:val="Normal"/>
              <w:widowControl w:val="false"/>
              <w:tabs>
                <w:tab w:val="clear" w:pos="720"/>
              </w:tabs>
              <w:jc w:val="center"/>
              <w:rPr>
                <w:i/>
                <w:i/>
                <w:sz w:val="22"/>
                <w:szCs w:val="22"/>
                <w:highlight w:val="green"/>
              </w:rPr>
            </w:pPr>
            <w:r>
              <w:rPr/>
              <w:t>10</w:t>
            </w:r>
          </w:p>
        </w:tc>
        <w:tc>
          <w:tcPr>
            <w:tcW w:w="1059" w:type="dxa"/>
            <w:tcBorders/>
            <w:vAlign w:val="center"/>
          </w:tcPr>
          <w:p>
            <w:pPr>
              <w:pStyle w:val="Normal"/>
              <w:widowControl w:val="false"/>
              <w:tabs>
                <w:tab w:val="clear" w:pos="720"/>
              </w:tabs>
              <w:jc w:val="center"/>
              <w:rPr>
                <w:i/>
                <w:i/>
                <w:sz w:val="22"/>
                <w:szCs w:val="22"/>
                <w:highlight w:val="green"/>
              </w:rPr>
            </w:pPr>
            <w:r>
              <w:rPr/>
              <w:t>7,86</w:t>
            </w:r>
          </w:p>
        </w:tc>
        <w:tc>
          <w:tcPr>
            <w:tcW w:w="177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b/>
              </w:rPr>
              <w:t>FRUITES</w:t>
            </w:r>
          </w:p>
        </w:tc>
        <w:tc>
          <w:tcPr>
            <w:tcW w:w="2087"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c>
          <w:tcPr>
            <w:tcW w:w="2275"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c>
          <w:tcPr>
            <w:tcW w:w="105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c>
          <w:tcPr>
            <w:tcW w:w="177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r>
      <w:tr>
        <w:trPr>
          <w:trHeight w:val="383" w:hRule="atLeast"/>
        </w:trPr>
        <w:tc>
          <w:tcPr>
            <w:tcW w:w="2613" w:type="dxa"/>
            <w:tcBorders/>
            <w:vAlign w:val="center"/>
          </w:tcPr>
          <w:p>
            <w:pPr>
              <w:pStyle w:val="Normal"/>
              <w:widowControl w:val="false"/>
              <w:tabs>
                <w:tab w:val="clear" w:pos="720"/>
              </w:tabs>
              <w:jc w:val="left"/>
              <w:rPr>
                <w:i/>
                <w:i/>
                <w:sz w:val="22"/>
                <w:szCs w:val="22"/>
                <w:highlight w:val="green"/>
              </w:rPr>
            </w:pPr>
            <w:r>
              <w:rPr/>
              <w:t>taronja</w:t>
            </w:r>
          </w:p>
        </w:tc>
        <w:tc>
          <w:tcPr>
            <w:tcW w:w="2087" w:type="dxa"/>
            <w:tcBorders/>
            <w:vAlign w:val="center"/>
          </w:tcPr>
          <w:p>
            <w:pPr>
              <w:pStyle w:val="Normal"/>
              <w:widowControl w:val="false"/>
              <w:tabs>
                <w:tab w:val="clear" w:pos="720"/>
              </w:tabs>
              <w:jc w:val="center"/>
              <w:rPr>
                <w:i/>
                <w:i/>
                <w:sz w:val="22"/>
                <w:szCs w:val="22"/>
                <w:highlight w:val="green"/>
              </w:rPr>
            </w:pPr>
            <w:r>
              <w:rPr/>
              <w:t>tot l'any</w:t>
            </w:r>
          </w:p>
        </w:tc>
        <w:tc>
          <w:tcPr>
            <w:tcW w:w="2275" w:type="dxa"/>
            <w:tcBorders/>
            <w:vAlign w:val="center"/>
          </w:tcPr>
          <w:p>
            <w:pPr>
              <w:pStyle w:val="Normal"/>
              <w:widowControl w:val="false"/>
              <w:tabs>
                <w:tab w:val="clear" w:pos="720"/>
              </w:tabs>
              <w:jc w:val="center"/>
              <w:rPr>
                <w:i/>
                <w:i/>
                <w:sz w:val="22"/>
                <w:szCs w:val="22"/>
                <w:highlight w:val="green"/>
              </w:rPr>
            </w:pPr>
            <w:r>
              <w:rPr/>
              <w:t>10</w:t>
            </w:r>
          </w:p>
        </w:tc>
        <w:tc>
          <w:tcPr>
            <w:tcW w:w="105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c>
          <w:tcPr>
            <w:tcW w:w="1779" w:type="dxa"/>
            <w:tcBorders/>
            <w:vAlign w:val="center"/>
          </w:tcPr>
          <w:p>
            <w:pPr>
              <w:pStyle w:val="Normal"/>
              <w:widowControl w:val="false"/>
              <w:tabs>
                <w:tab w:val="clear" w:pos="720"/>
              </w:tabs>
              <w:jc w:val="center"/>
              <w:rPr>
                <w:i/>
                <w:i/>
                <w:sz w:val="22"/>
                <w:szCs w:val="22"/>
                <w:highlight w:val="green"/>
              </w:rPr>
            </w:pPr>
            <w:r>
              <w:rPr/>
              <w:t>De producció</w:t>
              <w:br/>
              <w:t>INTEGRADA</w:t>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poma</w:t>
            </w:r>
          </w:p>
        </w:tc>
        <w:tc>
          <w:tcPr>
            <w:tcW w:w="2087" w:type="dxa"/>
            <w:tcBorders/>
            <w:vAlign w:val="center"/>
          </w:tcPr>
          <w:p>
            <w:pPr>
              <w:pStyle w:val="Normal"/>
              <w:widowControl w:val="false"/>
              <w:tabs>
                <w:tab w:val="clear" w:pos="720"/>
              </w:tabs>
              <w:jc w:val="center"/>
              <w:rPr>
                <w:i/>
                <w:i/>
                <w:sz w:val="22"/>
                <w:szCs w:val="22"/>
                <w:highlight w:val="green"/>
              </w:rPr>
            </w:pPr>
            <w:r>
              <w:rPr/>
              <w:t>setembre-febrer</w:t>
            </w:r>
          </w:p>
        </w:tc>
        <w:tc>
          <w:tcPr>
            <w:tcW w:w="2275" w:type="dxa"/>
            <w:tcBorders/>
            <w:vAlign w:val="center"/>
          </w:tcPr>
          <w:p>
            <w:pPr>
              <w:pStyle w:val="Normal"/>
              <w:widowControl w:val="false"/>
              <w:tabs>
                <w:tab w:val="clear" w:pos="720"/>
              </w:tabs>
              <w:jc w:val="center"/>
              <w:rPr>
                <w:i/>
                <w:i/>
                <w:sz w:val="22"/>
                <w:szCs w:val="22"/>
                <w:highlight w:val="green"/>
              </w:rPr>
            </w:pPr>
            <w:r>
              <w:rPr/>
              <w:t>5,5</w:t>
            </w:r>
          </w:p>
        </w:tc>
        <w:tc>
          <w:tcPr>
            <w:tcW w:w="1059" w:type="dxa"/>
            <w:tcBorders/>
            <w:vAlign w:val="center"/>
          </w:tcPr>
          <w:p>
            <w:pPr>
              <w:pStyle w:val="Normal"/>
              <w:widowControl w:val="false"/>
              <w:tabs>
                <w:tab w:val="clear" w:pos="720"/>
              </w:tabs>
              <w:jc w:val="center"/>
              <w:rPr>
                <w:i/>
                <w:i/>
                <w:sz w:val="22"/>
                <w:szCs w:val="22"/>
                <w:highlight w:val="green"/>
              </w:rPr>
            </w:pPr>
            <w:r>
              <w:rPr/>
              <w:t>1,64</w:t>
            </w:r>
          </w:p>
        </w:tc>
        <w:tc>
          <w:tcPr>
            <w:tcW w:w="177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pera</w:t>
            </w:r>
          </w:p>
        </w:tc>
        <w:tc>
          <w:tcPr>
            <w:tcW w:w="2087" w:type="dxa"/>
            <w:tcBorders/>
            <w:vAlign w:val="center"/>
          </w:tcPr>
          <w:p>
            <w:pPr>
              <w:pStyle w:val="Normal"/>
              <w:widowControl w:val="false"/>
              <w:tabs>
                <w:tab w:val="clear" w:pos="720"/>
              </w:tabs>
              <w:jc w:val="center"/>
              <w:rPr>
                <w:i/>
                <w:i/>
                <w:sz w:val="22"/>
                <w:szCs w:val="22"/>
                <w:highlight w:val="green"/>
              </w:rPr>
            </w:pPr>
            <w:r>
              <w:rPr/>
              <w:t>setembre-gener</w:t>
            </w:r>
          </w:p>
        </w:tc>
        <w:tc>
          <w:tcPr>
            <w:tcW w:w="2275" w:type="dxa"/>
            <w:tcBorders/>
            <w:vAlign w:val="center"/>
          </w:tcPr>
          <w:p>
            <w:pPr>
              <w:pStyle w:val="Normal"/>
              <w:widowControl w:val="false"/>
              <w:tabs>
                <w:tab w:val="clear" w:pos="720"/>
              </w:tabs>
              <w:jc w:val="center"/>
              <w:rPr>
                <w:i/>
                <w:i/>
                <w:sz w:val="22"/>
                <w:szCs w:val="22"/>
                <w:highlight w:val="green"/>
              </w:rPr>
            </w:pPr>
            <w:r>
              <w:rPr/>
              <w:t>4,5</w:t>
            </w:r>
          </w:p>
        </w:tc>
        <w:tc>
          <w:tcPr>
            <w:tcW w:w="1059" w:type="dxa"/>
            <w:tcBorders/>
            <w:vAlign w:val="center"/>
          </w:tcPr>
          <w:p>
            <w:pPr>
              <w:pStyle w:val="Normal"/>
              <w:widowControl w:val="false"/>
              <w:tabs>
                <w:tab w:val="clear" w:pos="720"/>
              </w:tabs>
              <w:jc w:val="center"/>
              <w:rPr>
                <w:i/>
                <w:i/>
                <w:sz w:val="22"/>
                <w:szCs w:val="22"/>
                <w:highlight w:val="green"/>
              </w:rPr>
            </w:pPr>
            <w:r>
              <w:rPr/>
              <w:t>1,86</w:t>
            </w:r>
          </w:p>
        </w:tc>
        <w:tc>
          <w:tcPr>
            <w:tcW w:w="177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plàtan</w:t>
            </w:r>
          </w:p>
        </w:tc>
        <w:tc>
          <w:tcPr>
            <w:tcW w:w="2087" w:type="dxa"/>
            <w:tcBorders/>
            <w:vAlign w:val="center"/>
          </w:tcPr>
          <w:p>
            <w:pPr>
              <w:pStyle w:val="Normal"/>
              <w:widowControl w:val="false"/>
              <w:tabs>
                <w:tab w:val="clear" w:pos="720"/>
              </w:tabs>
              <w:jc w:val="center"/>
              <w:rPr>
                <w:i/>
                <w:i/>
                <w:sz w:val="22"/>
                <w:szCs w:val="22"/>
                <w:highlight w:val="green"/>
              </w:rPr>
            </w:pPr>
            <w:r>
              <w:rPr/>
              <w:t>tot l'any</w:t>
            </w:r>
          </w:p>
        </w:tc>
        <w:tc>
          <w:tcPr>
            <w:tcW w:w="2275" w:type="dxa"/>
            <w:tcBorders/>
            <w:vAlign w:val="center"/>
          </w:tcPr>
          <w:p>
            <w:pPr>
              <w:pStyle w:val="Normal"/>
              <w:widowControl w:val="false"/>
              <w:tabs>
                <w:tab w:val="clear" w:pos="720"/>
              </w:tabs>
              <w:jc w:val="center"/>
              <w:rPr>
                <w:i/>
                <w:i/>
                <w:sz w:val="22"/>
                <w:szCs w:val="22"/>
                <w:highlight w:val="green"/>
              </w:rPr>
            </w:pPr>
            <w:r>
              <w:rPr/>
              <w:t>10</w:t>
            </w:r>
          </w:p>
        </w:tc>
        <w:tc>
          <w:tcPr>
            <w:tcW w:w="1059" w:type="dxa"/>
            <w:tcBorders/>
            <w:vAlign w:val="center"/>
          </w:tcPr>
          <w:p>
            <w:pPr>
              <w:pStyle w:val="Normal"/>
              <w:widowControl w:val="false"/>
              <w:tabs>
                <w:tab w:val="clear" w:pos="720"/>
              </w:tabs>
              <w:jc w:val="center"/>
              <w:rPr>
                <w:i/>
                <w:i/>
                <w:sz w:val="22"/>
                <w:szCs w:val="22"/>
                <w:highlight w:val="green"/>
              </w:rPr>
            </w:pPr>
            <w:r>
              <w:rPr/>
              <w:t>1,46</w:t>
            </w:r>
          </w:p>
        </w:tc>
        <w:tc>
          <w:tcPr>
            <w:tcW w:w="177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b/>
              </w:rPr>
              <w:t>PROTEÏNA ANIMAL</w:t>
            </w:r>
          </w:p>
        </w:tc>
        <w:tc>
          <w:tcPr>
            <w:tcW w:w="2087"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c>
          <w:tcPr>
            <w:tcW w:w="2275"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c>
          <w:tcPr>
            <w:tcW w:w="105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c>
          <w:tcPr>
            <w:tcW w:w="177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pollastre</w:t>
            </w:r>
          </w:p>
        </w:tc>
        <w:tc>
          <w:tcPr>
            <w:tcW w:w="2087" w:type="dxa"/>
            <w:tcBorders/>
            <w:vAlign w:val="center"/>
          </w:tcPr>
          <w:p>
            <w:pPr>
              <w:pStyle w:val="Normal"/>
              <w:widowControl w:val="false"/>
              <w:tabs>
                <w:tab w:val="clear" w:pos="720"/>
              </w:tabs>
              <w:jc w:val="center"/>
              <w:rPr>
                <w:i/>
                <w:i/>
                <w:sz w:val="22"/>
                <w:szCs w:val="22"/>
                <w:highlight w:val="green"/>
              </w:rPr>
            </w:pPr>
            <w:r>
              <w:rPr/>
              <w:t>tot l'any</w:t>
            </w:r>
          </w:p>
        </w:tc>
        <w:tc>
          <w:tcPr>
            <w:tcW w:w="2275" w:type="dxa"/>
            <w:tcBorders/>
            <w:vAlign w:val="center"/>
          </w:tcPr>
          <w:p>
            <w:pPr>
              <w:pStyle w:val="Normal"/>
              <w:widowControl w:val="false"/>
              <w:tabs>
                <w:tab w:val="clear" w:pos="720"/>
              </w:tabs>
              <w:jc w:val="center"/>
              <w:rPr>
                <w:i/>
                <w:i/>
                <w:sz w:val="22"/>
                <w:szCs w:val="22"/>
                <w:highlight w:val="green"/>
              </w:rPr>
            </w:pPr>
            <w:r>
              <w:rPr/>
              <w:t>10</w:t>
            </w:r>
          </w:p>
        </w:tc>
        <w:tc>
          <w:tcPr>
            <w:tcW w:w="1059" w:type="dxa"/>
            <w:tcBorders/>
            <w:vAlign w:val="center"/>
          </w:tcPr>
          <w:p>
            <w:pPr>
              <w:pStyle w:val="Normal"/>
              <w:widowControl w:val="false"/>
              <w:tabs>
                <w:tab w:val="clear" w:pos="720"/>
              </w:tabs>
              <w:jc w:val="center"/>
              <w:rPr>
                <w:i/>
                <w:i/>
                <w:sz w:val="22"/>
                <w:szCs w:val="22"/>
                <w:highlight w:val="green"/>
              </w:rPr>
            </w:pPr>
            <w:r>
              <w:rPr/>
              <w:t>10,48</w:t>
            </w:r>
          </w:p>
        </w:tc>
        <w:tc>
          <w:tcPr>
            <w:tcW w:w="177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vedella</w:t>
            </w:r>
          </w:p>
        </w:tc>
        <w:tc>
          <w:tcPr>
            <w:tcW w:w="2087" w:type="dxa"/>
            <w:tcBorders/>
            <w:vAlign w:val="center"/>
          </w:tcPr>
          <w:p>
            <w:pPr>
              <w:pStyle w:val="Normal"/>
              <w:widowControl w:val="false"/>
              <w:tabs>
                <w:tab w:val="clear" w:pos="720"/>
              </w:tabs>
              <w:jc w:val="center"/>
              <w:rPr>
                <w:i/>
                <w:i/>
                <w:sz w:val="22"/>
                <w:szCs w:val="22"/>
                <w:highlight w:val="green"/>
              </w:rPr>
            </w:pPr>
            <w:r>
              <w:rPr/>
              <w:t>tot l'any</w:t>
            </w:r>
          </w:p>
        </w:tc>
        <w:tc>
          <w:tcPr>
            <w:tcW w:w="2275" w:type="dxa"/>
            <w:tcBorders/>
            <w:vAlign w:val="center"/>
          </w:tcPr>
          <w:p>
            <w:pPr>
              <w:pStyle w:val="Normal"/>
              <w:widowControl w:val="false"/>
              <w:tabs>
                <w:tab w:val="clear" w:pos="720"/>
              </w:tabs>
              <w:jc w:val="center"/>
              <w:rPr>
                <w:i/>
                <w:i/>
                <w:sz w:val="22"/>
                <w:szCs w:val="22"/>
                <w:highlight w:val="green"/>
              </w:rPr>
            </w:pPr>
            <w:r>
              <w:rPr/>
              <w:t>10</w:t>
            </w:r>
          </w:p>
        </w:tc>
        <w:tc>
          <w:tcPr>
            <w:tcW w:w="1059" w:type="dxa"/>
            <w:tcBorders/>
            <w:vAlign w:val="center"/>
          </w:tcPr>
          <w:p>
            <w:pPr>
              <w:pStyle w:val="Normal"/>
              <w:widowControl w:val="false"/>
              <w:tabs>
                <w:tab w:val="clear" w:pos="720"/>
              </w:tabs>
              <w:jc w:val="center"/>
              <w:rPr>
                <w:i/>
                <w:i/>
                <w:sz w:val="22"/>
                <w:szCs w:val="22"/>
                <w:highlight w:val="green"/>
              </w:rPr>
            </w:pPr>
            <w:r>
              <w:rPr/>
              <w:t>5,65</w:t>
            </w:r>
          </w:p>
        </w:tc>
        <w:tc>
          <w:tcPr>
            <w:tcW w:w="177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b/>
              </w:rPr>
              <w:t>LÀCTICS</w:t>
            </w:r>
          </w:p>
        </w:tc>
        <w:tc>
          <w:tcPr>
            <w:tcW w:w="2087"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c>
          <w:tcPr>
            <w:tcW w:w="2275"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c>
          <w:tcPr>
            <w:tcW w:w="105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c>
          <w:tcPr>
            <w:tcW w:w="177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tcBorders/>
            <w:vAlign w:val="center"/>
          </w:tcPr>
          <w:p>
            <w:pPr>
              <w:pStyle w:val="Normal"/>
              <w:widowControl w:val="false"/>
              <w:tabs>
                <w:tab w:val="clear" w:pos="720"/>
              </w:tabs>
              <w:jc w:val="left"/>
              <w:rPr>
                <w:i/>
                <w:i/>
                <w:sz w:val="22"/>
                <w:szCs w:val="22"/>
                <w:highlight w:val="green"/>
              </w:rPr>
            </w:pPr>
            <w:r>
              <w:rPr/>
              <w:t>llet</w:t>
            </w:r>
          </w:p>
        </w:tc>
        <w:tc>
          <w:tcPr>
            <w:tcW w:w="2087" w:type="dxa"/>
            <w:tcBorders/>
            <w:vAlign w:val="center"/>
          </w:tcPr>
          <w:p>
            <w:pPr>
              <w:pStyle w:val="Normal"/>
              <w:widowControl w:val="false"/>
              <w:tabs>
                <w:tab w:val="clear" w:pos="720"/>
              </w:tabs>
              <w:jc w:val="center"/>
              <w:rPr>
                <w:i/>
                <w:i/>
                <w:sz w:val="22"/>
                <w:szCs w:val="22"/>
                <w:highlight w:val="green"/>
              </w:rPr>
            </w:pPr>
            <w:r>
              <w:rPr/>
              <w:t>tot l'any</w:t>
            </w:r>
          </w:p>
        </w:tc>
        <w:tc>
          <w:tcPr>
            <w:tcW w:w="2275" w:type="dxa"/>
            <w:tcBorders/>
            <w:vAlign w:val="center"/>
          </w:tcPr>
          <w:p>
            <w:pPr>
              <w:pStyle w:val="Normal"/>
              <w:widowControl w:val="false"/>
              <w:tabs>
                <w:tab w:val="clear" w:pos="720"/>
              </w:tabs>
              <w:jc w:val="center"/>
              <w:rPr>
                <w:i/>
                <w:i/>
                <w:sz w:val="22"/>
                <w:szCs w:val="22"/>
                <w:highlight w:val="green"/>
              </w:rPr>
            </w:pPr>
            <w:r>
              <w:rPr/>
              <w:t>10</w:t>
            </w:r>
          </w:p>
        </w:tc>
        <w:tc>
          <w:tcPr>
            <w:tcW w:w="1059" w:type="dxa"/>
            <w:tcBorders/>
            <w:vAlign w:val="center"/>
          </w:tcPr>
          <w:p>
            <w:pPr>
              <w:pStyle w:val="Normal"/>
              <w:widowControl w:val="false"/>
              <w:tabs>
                <w:tab w:val="clear" w:pos="720"/>
              </w:tabs>
              <w:jc w:val="center"/>
              <w:rPr>
                <w:i/>
                <w:i/>
                <w:sz w:val="22"/>
                <w:szCs w:val="22"/>
                <w:highlight w:val="green"/>
              </w:rPr>
            </w:pPr>
            <w:r>
              <w:rPr/>
              <w:t>1,69</w:t>
            </w:r>
          </w:p>
        </w:tc>
        <w:tc>
          <w:tcPr>
            <w:tcW w:w="1779" w:type="dxa"/>
            <w:tcBorders/>
            <w:vAlign w:val="center"/>
          </w:tcPr>
          <w:p>
            <w:pPr>
              <w:pStyle w:val="Normal"/>
              <w:widowControl w:val="false"/>
              <w:tabs>
                <w:tab w:val="clear" w:pos="720"/>
              </w:tabs>
              <w:jc w:val="left"/>
              <w:rPr>
                <w:i/>
                <w:i/>
                <w:sz w:val="22"/>
                <w:szCs w:val="22"/>
                <w:highlight w:val="green"/>
              </w:rPr>
            </w:pPr>
            <w:r>
              <w:rPr>
                <w:i/>
                <w:sz w:val="22"/>
                <w:szCs w:val="22"/>
                <w:highlight w:val="green"/>
              </w:rPr>
            </w:r>
          </w:p>
        </w:tc>
      </w:tr>
    </w:tbl>
    <w:p>
      <w:pPr>
        <w:pStyle w:val="Normal"/>
        <w:rPr>
          <w:i/>
          <w:i/>
          <w:sz w:val="22"/>
          <w:szCs w:val="22"/>
          <w:highlight w:val="green"/>
        </w:rPr>
      </w:pPr>
      <w:r>
        <w:rPr>
          <w:i/>
          <w:sz w:val="22"/>
          <w:szCs w:val="22"/>
          <w:highlight w:val="green"/>
        </w:rPr>
      </w:r>
    </w:p>
    <w:p>
      <w:pPr>
        <w:pStyle w:val="Normal"/>
        <w:jc w:val="both"/>
        <w:rPr>
          <w:color w:val="000000"/>
          <w:sz w:val="22"/>
          <w:szCs w:val="22"/>
          <w:shd w:fill="auto" w:val="clear"/>
        </w:rPr>
      </w:pPr>
      <w:r>
        <w:rPr>
          <w:color w:val="000000"/>
          <w:sz w:val="22"/>
          <w:szCs w:val="22"/>
          <w:shd w:fill="auto" w:val="clear"/>
        </w:rPr>
      </w:r>
    </w:p>
    <w:p>
      <w:pPr>
        <w:pStyle w:val="Normal"/>
        <w:widowControl/>
        <w:numPr>
          <w:ilvl w:val="3"/>
          <w:numId w:val="29"/>
        </w:numPr>
        <w:tabs>
          <w:tab w:val="clear" w:pos="720"/>
          <w:tab w:val="left" w:pos="993" w:leader="none"/>
        </w:tabs>
        <w:suppressAutoHyphens w:val="true"/>
        <w:bidi w:val="0"/>
        <w:spacing w:before="198" w:after="198"/>
        <w:ind w:left="1134" w:right="0" w:hanging="0"/>
        <w:jc w:val="both"/>
        <w:rPr>
          <w:color w:val="000000"/>
          <w:sz w:val="22"/>
          <w:szCs w:val="22"/>
          <w:shd w:fill="auto" w:val="clear"/>
        </w:rPr>
      </w:pPr>
      <w:r>
        <w:rPr>
          <w:rFonts w:eastAsia="SimSun" w:cs="Arial"/>
          <w:b/>
          <w:bCs/>
          <w:i w:val="false"/>
          <w:iCs w:val="false"/>
          <w:color w:val="000000"/>
          <w:sz w:val="22"/>
          <w:szCs w:val="22"/>
          <w:u w:val="single"/>
          <w:shd w:fill="auto" w:val="clear"/>
          <w:lang w:eastAsia="es-ES"/>
        </w:rPr>
        <w:t>Incorporació dr productes de proximitat en l'elaboració del menú</w:t>
      </w:r>
      <w:r>
        <w:rPr>
          <w:rFonts w:eastAsia="SimSun" w:cs="Arial"/>
          <w:b/>
          <w:bCs/>
          <w:i w:val="false"/>
          <w:iCs w:val="false"/>
          <w:color w:val="000000"/>
          <w:sz w:val="22"/>
          <w:szCs w:val="22"/>
          <w:u w:val="none"/>
          <w:shd w:fill="auto" w:val="clear"/>
          <w:lang w:eastAsia="es-ES"/>
        </w:rPr>
        <w:t>,</w:t>
      </w:r>
      <w:r>
        <w:rPr>
          <w:rFonts w:eastAsia="SimSun" w:cs="Arial"/>
          <w:b/>
          <w:color w:val="000000"/>
          <w:sz w:val="22"/>
          <w:szCs w:val="22"/>
          <w:shd w:fill="auto" w:val="clear"/>
          <w:lang w:eastAsia="es-ES"/>
        </w:rPr>
        <w:t xml:space="preserve"> fins a un màxim de </w:t>
      </w:r>
      <w:r>
        <w:rPr>
          <w:rFonts w:eastAsia="SimSun" w:cs="Arial"/>
          <w:b/>
          <w:color w:val="000000"/>
          <w:sz w:val="22"/>
          <w:szCs w:val="22"/>
          <w:shd w:fill="auto" w:val="clear"/>
          <w:lang w:val="ca-ES" w:eastAsia="es-ES"/>
        </w:rPr>
        <w:t xml:space="preserve">10 </w:t>
      </w:r>
      <w:r>
        <w:rPr>
          <w:rFonts w:eastAsia="SimSun" w:cs="Arial"/>
          <w:b/>
          <w:color w:val="000000"/>
          <w:sz w:val="22"/>
          <w:szCs w:val="22"/>
          <w:shd w:fill="auto" w:val="clear"/>
          <w:lang w:eastAsia="es-ES"/>
        </w:rPr>
        <w:t>punts</w:t>
      </w:r>
    </w:p>
    <w:p>
      <w:pPr>
        <w:pStyle w:val="Normal"/>
        <w:jc w:val="both"/>
        <w:rPr>
          <w:i/>
          <w:i/>
          <w:sz w:val="22"/>
          <w:szCs w:val="22"/>
          <w:highlight w:val="green"/>
        </w:rPr>
      </w:pPr>
      <w:r>
        <w:rPr>
          <w:color w:val="000000"/>
          <w:sz w:val="22"/>
          <w:szCs w:val="22"/>
          <w:shd w:fill="auto" w:val="clear"/>
        </w:rPr>
        <w:t>Es valorarà</w:t>
      </w:r>
      <w:r>
        <w:rPr>
          <w:color w:val="000000"/>
          <w:sz w:val="22"/>
          <w:szCs w:val="22"/>
        </w:rPr>
        <w:t xml:space="preserve"> l’oferta de productes de proximitat per part de les empreses licitadores. </w:t>
      </w:r>
    </w:p>
    <w:p>
      <w:pPr>
        <w:pStyle w:val="Normal"/>
        <w:jc w:val="both"/>
        <w:rPr>
          <w:i/>
          <w:i/>
          <w:sz w:val="22"/>
          <w:szCs w:val="22"/>
          <w:highlight w:val="green"/>
        </w:rPr>
      </w:pPr>
      <w:r>
        <w:rPr>
          <w:i/>
          <w:sz w:val="22"/>
          <w:szCs w:val="22"/>
          <w:highlight w:val="green"/>
        </w:rPr>
      </w:r>
    </w:p>
    <w:p>
      <w:pPr>
        <w:pStyle w:val="Normal"/>
        <w:jc w:val="both"/>
        <w:rPr>
          <w:i/>
          <w:i/>
          <w:sz w:val="22"/>
          <w:szCs w:val="22"/>
          <w:highlight w:val="green"/>
        </w:rPr>
      </w:pPr>
      <w:r>
        <w:rPr>
          <w:color w:val="000009"/>
          <w:sz w:val="22"/>
          <w:szCs w:val="22"/>
        </w:rPr>
        <w:t>L'Ajuntament té la voluntat de promoure els productes de proximitat que contribueixen, entre d'altres,</w:t>
      </w:r>
      <w:r>
        <w:rPr>
          <w:color w:val="000009"/>
          <w:spacing w:val="-1"/>
          <w:sz w:val="22"/>
          <w:szCs w:val="22"/>
        </w:rPr>
        <w:t xml:space="preserve"> </w:t>
      </w:r>
      <w:r>
        <w:rPr>
          <w:color w:val="000009"/>
          <w:sz w:val="22"/>
          <w:szCs w:val="22"/>
        </w:rPr>
        <w:t>a</w:t>
      </w:r>
      <w:r>
        <w:rPr>
          <w:color w:val="000009"/>
          <w:spacing w:val="-2"/>
          <w:sz w:val="22"/>
          <w:szCs w:val="22"/>
        </w:rPr>
        <w:t xml:space="preserve"> </w:t>
      </w:r>
      <w:r>
        <w:rPr>
          <w:color w:val="000009"/>
          <w:sz w:val="22"/>
          <w:szCs w:val="22"/>
        </w:rPr>
        <w:t>rebaixar</w:t>
      </w:r>
      <w:r>
        <w:rPr>
          <w:color w:val="000009"/>
          <w:spacing w:val="-1"/>
          <w:sz w:val="22"/>
          <w:szCs w:val="22"/>
        </w:rPr>
        <w:t xml:space="preserve"> </w:t>
      </w:r>
      <w:r>
        <w:rPr>
          <w:color w:val="000009"/>
          <w:sz w:val="22"/>
          <w:szCs w:val="22"/>
        </w:rPr>
        <w:t>la petjada ecològica. Per aquest</w:t>
      </w:r>
      <w:r>
        <w:rPr>
          <w:color w:val="000009"/>
          <w:spacing w:val="-1"/>
          <w:sz w:val="22"/>
          <w:szCs w:val="22"/>
        </w:rPr>
        <w:t xml:space="preserve"> </w:t>
      </w:r>
      <w:r>
        <w:rPr>
          <w:color w:val="000009"/>
          <w:sz w:val="22"/>
          <w:szCs w:val="22"/>
        </w:rPr>
        <w:t>motiu es</w:t>
      </w:r>
      <w:r>
        <w:rPr>
          <w:color w:val="000009"/>
          <w:spacing w:val="-2"/>
          <w:sz w:val="22"/>
          <w:szCs w:val="22"/>
        </w:rPr>
        <w:t xml:space="preserve"> </w:t>
      </w:r>
      <w:r>
        <w:rPr>
          <w:color w:val="000009"/>
          <w:sz w:val="22"/>
          <w:szCs w:val="22"/>
        </w:rPr>
        <w:t>valora la inclusió d'aquests productes dins dels menús diaris.</w:t>
      </w:r>
    </w:p>
    <w:p>
      <w:pPr>
        <w:pStyle w:val="Normal"/>
        <w:jc w:val="both"/>
        <w:rPr>
          <w:i/>
          <w:i/>
          <w:sz w:val="22"/>
          <w:szCs w:val="22"/>
          <w:highlight w:val="green"/>
        </w:rPr>
      </w:pPr>
      <w:r>
        <w:rPr>
          <w:i/>
          <w:sz w:val="22"/>
          <w:szCs w:val="22"/>
          <w:highlight w:val="green"/>
        </w:rPr>
      </w:r>
    </w:p>
    <w:p>
      <w:pPr>
        <w:pStyle w:val="Cosdeltext"/>
        <w:widowControl/>
        <w:suppressAutoHyphens w:val="true"/>
        <w:bidi w:val="0"/>
        <w:spacing w:before="0" w:after="0"/>
        <w:ind w:left="0" w:right="0" w:hanging="0"/>
        <w:jc w:val="both"/>
        <w:rPr>
          <w:rFonts w:ascii="Arial" w:hAnsi="Arial" w:eastAsia="SimSun;宋体"/>
          <w:color w:val="000000"/>
          <w:sz w:val="22"/>
          <w:szCs w:val="22"/>
          <w:lang w:val="ca-ES" w:eastAsia="zh-CN"/>
        </w:rPr>
      </w:pPr>
      <w:r>
        <w:rPr>
          <w:rFonts w:eastAsia="SimSun;宋体" w:ascii="Arial" w:hAnsi="Arial"/>
          <w:color w:val="000000"/>
          <w:sz w:val="22"/>
          <w:szCs w:val="22"/>
          <w:lang w:val="ca-ES" w:eastAsia="zh-CN"/>
        </w:rPr>
        <w:t xml:space="preserve">L'oferta de productes </w:t>
      </w:r>
      <w:r>
        <w:rPr>
          <w:rFonts w:eastAsia="SimSun;宋体" w:ascii="Arial" w:hAnsi="Arial"/>
          <w:color w:val="000009"/>
          <w:sz w:val="22"/>
          <w:szCs w:val="22"/>
          <w:lang w:val="ca-ES" w:eastAsia="zh-CN"/>
        </w:rPr>
        <w:t xml:space="preserve">de proximitat </w:t>
      </w:r>
      <w:r>
        <w:rPr>
          <w:rFonts w:eastAsia="SimSun;宋体" w:ascii="Arial" w:hAnsi="Arial"/>
          <w:color w:val="000000"/>
          <w:sz w:val="22"/>
          <w:szCs w:val="22"/>
          <w:lang w:val="ca-ES" w:eastAsia="zh-CN"/>
        </w:rPr>
        <w:t xml:space="preserve"> implica que el producte s'ha de subministrar en tot el període vegetatiu (estacionalitat) indicat i per a tot el producte que requereixi l'escola (en tots els tipus de menús) i amb la freqüència detallada a la graella.</w:t>
      </w:r>
    </w:p>
    <w:p>
      <w:pPr>
        <w:pStyle w:val="Cosdeltext"/>
        <w:ind w:left="0" w:right="328" w:hanging="0"/>
        <w:jc w:val="both"/>
        <w:rPr>
          <w:rFonts w:ascii="Arial" w:hAnsi="Arial" w:eastAsia="SimSun;宋体"/>
          <w:color w:val="000000"/>
          <w:sz w:val="22"/>
          <w:szCs w:val="22"/>
          <w:lang w:val="ca-ES" w:eastAsia="zh-CN"/>
        </w:rPr>
      </w:pPr>
      <w:r>
        <w:rPr>
          <w:rFonts w:eastAsia="SimSun;宋体" w:ascii="Arial" w:hAnsi="Arial"/>
          <w:color w:val="000000"/>
          <w:sz w:val="22"/>
          <w:szCs w:val="22"/>
          <w:lang w:val="ca-ES" w:eastAsia="zh-CN"/>
        </w:rPr>
      </w:r>
    </w:p>
    <w:p>
      <w:pPr>
        <w:pStyle w:val="Cosdeltext"/>
        <w:jc w:val="both"/>
        <w:rPr>
          <w:rFonts w:ascii="Arial" w:hAnsi="Arial" w:eastAsia="SimSun;宋体" w:cs="Times New Roman"/>
          <w:color w:val="000000"/>
          <w:sz w:val="22"/>
          <w:szCs w:val="22"/>
          <w:lang w:val="ca-ES" w:eastAsia="zh-CN"/>
        </w:rPr>
      </w:pPr>
      <w:r>
        <w:rPr>
          <w:rFonts w:eastAsia="SimSun;宋体" w:cs="Times New Roman" w:ascii="Arial" w:hAnsi="Arial"/>
          <w:color w:val="000000"/>
          <w:sz w:val="22"/>
          <w:szCs w:val="22"/>
          <w:lang w:val="ca-ES" w:eastAsia="zh-CN"/>
        </w:rPr>
        <w:t>La procedència haurà ser acreditat pels mitjans establerts en el Decret 24/2013, de 8 de gener, sobre l'acreditació de la venda de proximitat de productes agroalimentaris, modificat pel Decret 254/2019, de 3 de desembre.</w:t>
      </w:r>
    </w:p>
    <w:p>
      <w:pPr>
        <w:pStyle w:val="Cosdeltext"/>
        <w:jc w:val="both"/>
        <w:rPr>
          <w:rFonts w:ascii="Arial" w:hAnsi="Arial" w:eastAsia="SimSun;宋体" w:cs="Times New Roman"/>
          <w:color w:val="000000"/>
          <w:sz w:val="22"/>
          <w:szCs w:val="22"/>
          <w:lang w:val="ca-ES" w:eastAsia="zh-CN"/>
        </w:rPr>
      </w:pPr>
      <w:r>
        <w:rPr>
          <w:rFonts w:eastAsia="SimSun;宋体" w:cs="Times New Roman" w:ascii="Arial" w:hAnsi="Arial"/>
          <w:color w:val="000000"/>
          <w:sz w:val="22"/>
          <w:szCs w:val="22"/>
          <w:lang w:val="ca-ES" w:eastAsia="zh-CN"/>
        </w:rPr>
      </w:r>
    </w:p>
    <w:p>
      <w:pPr>
        <w:pStyle w:val="Cosdeltext"/>
        <w:widowControl/>
        <w:suppressAutoHyphens w:val="true"/>
        <w:bidi w:val="0"/>
        <w:spacing w:before="0" w:after="0"/>
        <w:ind w:left="0" w:right="0" w:hanging="0"/>
        <w:jc w:val="both"/>
        <w:rPr>
          <w:i/>
          <w:i/>
          <w:sz w:val="22"/>
          <w:szCs w:val="22"/>
          <w:highlight w:val="green"/>
        </w:rPr>
      </w:pPr>
      <w:r>
        <w:rPr>
          <w:rFonts w:eastAsia="SimSun;宋体" w:cs="Times New Roman" w:ascii="Arial" w:hAnsi="Arial"/>
          <w:color w:val="000000"/>
          <w:sz w:val="22"/>
          <w:szCs w:val="22"/>
          <w:lang w:val="ca-ES" w:eastAsia="zh-CN"/>
        </w:rPr>
        <w:t xml:space="preserve">Els licitadores indicaran en la seva oferta si ofereixen o no els productes de proximitat que s’indiquen. </w:t>
      </w:r>
    </w:p>
    <w:p>
      <w:pPr>
        <w:pStyle w:val="Cosdeltext"/>
        <w:widowControl/>
        <w:suppressAutoHyphens w:val="true"/>
        <w:bidi w:val="0"/>
        <w:spacing w:before="0" w:after="0"/>
        <w:ind w:left="0" w:right="0" w:hanging="0"/>
        <w:jc w:val="both"/>
        <w:rPr>
          <w:i/>
          <w:i/>
          <w:sz w:val="22"/>
          <w:szCs w:val="22"/>
          <w:highlight w:val="green"/>
        </w:rPr>
      </w:pPr>
      <w:r>
        <w:rPr>
          <w:i/>
          <w:sz w:val="22"/>
          <w:szCs w:val="22"/>
          <w:highlight w:val="green"/>
        </w:rPr>
      </w:r>
    </w:p>
    <w:p>
      <w:pPr>
        <w:pStyle w:val="Cosdeltext"/>
        <w:widowControl/>
        <w:suppressAutoHyphens w:val="true"/>
        <w:bidi w:val="0"/>
        <w:spacing w:before="0" w:after="0"/>
        <w:ind w:left="0" w:right="328" w:hanging="0"/>
        <w:jc w:val="both"/>
        <w:rPr>
          <w:i/>
          <w:i/>
          <w:sz w:val="22"/>
          <w:szCs w:val="22"/>
          <w:highlight w:val="green"/>
        </w:rPr>
      </w:pPr>
      <w:r>
        <w:rPr>
          <w:rFonts w:eastAsia="SimSun;宋体" w:cs="Times New Roman" w:ascii="Arial" w:hAnsi="Arial"/>
          <w:color w:val="000000"/>
          <w:sz w:val="22"/>
          <w:szCs w:val="22"/>
          <w:lang w:val="ca-ES" w:eastAsia="zh-CN"/>
        </w:rPr>
        <w:t>La puntuació s’atorgarà d’acord amb la següent taula:</w:t>
      </w:r>
    </w:p>
    <w:p>
      <w:pPr>
        <w:pStyle w:val="Cosdeltext"/>
        <w:spacing w:before="24" w:after="0"/>
        <w:rPr>
          <w:sz w:val="20"/>
        </w:rPr>
      </w:pPr>
      <w:r>
        <w:rPr>
          <w:sz w:val="20"/>
        </w:rPr>
      </w:r>
    </w:p>
    <w:tbl>
      <w:tblPr>
        <w:tblW w:w="9700" w:type="dxa"/>
        <w:jc w:val="left"/>
        <w:tblInd w:w="149" w:type="dxa"/>
        <w:tblLayout w:type="fixed"/>
        <w:tblCellMar>
          <w:top w:w="28" w:type="dxa"/>
          <w:left w:w="28" w:type="dxa"/>
          <w:bottom w:w="28" w:type="dxa"/>
          <w:right w:w="28" w:type="dxa"/>
        </w:tblCellMar>
        <w:tblLook w:val="01e0"/>
      </w:tblPr>
      <w:tblGrid>
        <w:gridCol w:w="3815"/>
        <w:gridCol w:w="3783"/>
        <w:gridCol w:w="2102"/>
      </w:tblGrid>
      <w:tr>
        <w:trPr>
          <w:trHeight w:val="743" w:hRule="atLeast"/>
        </w:trPr>
        <w:tc>
          <w:tcPr>
            <w:tcW w:w="3815" w:type="dxa"/>
            <w:tcBorders>
              <w:top w:val="single" w:sz="2" w:space="0" w:color="000000"/>
              <w:left w:val="single" w:sz="2" w:space="0" w:color="000000"/>
              <w:bottom w:val="single" w:sz="2" w:space="0" w:color="000000"/>
            </w:tcBorders>
            <w:shd w:color="auto" w:fill="CCCCCC" w:val="clear"/>
            <w:vAlign w:val="center"/>
          </w:tcPr>
          <w:p>
            <w:pPr>
              <w:pStyle w:val="TableParagraph"/>
              <w:widowControl w:val="false"/>
              <w:spacing w:before="59" w:after="0"/>
              <w:ind w:left="542" w:right="0" w:hanging="0"/>
              <w:rPr>
                <w:rFonts w:ascii="Arial" w:hAnsi="Arial"/>
                <w:sz w:val="22"/>
                <w:szCs w:val="22"/>
              </w:rPr>
            </w:pPr>
            <w:r>
              <w:rPr>
                <w:rFonts w:ascii="Arial" w:hAnsi="Arial"/>
                <w:spacing w:val="-2"/>
                <w:sz w:val="22"/>
                <w:szCs w:val="22"/>
              </w:rPr>
              <w:t>PRODUCTE</w:t>
            </w:r>
          </w:p>
        </w:tc>
        <w:tc>
          <w:tcPr>
            <w:tcW w:w="3783" w:type="dxa"/>
            <w:tcBorders>
              <w:top w:val="single" w:sz="2" w:space="0" w:color="000000"/>
              <w:left w:val="single" w:sz="2" w:space="0" w:color="000000"/>
              <w:bottom w:val="single" w:sz="2" w:space="0" w:color="000000"/>
            </w:tcBorders>
            <w:shd w:color="auto" w:fill="CCCCCC" w:val="clear"/>
            <w:vAlign w:val="center"/>
          </w:tcPr>
          <w:p>
            <w:pPr>
              <w:pStyle w:val="TableParagraph"/>
              <w:widowControl w:val="false"/>
              <w:spacing w:before="59" w:after="0"/>
              <w:ind w:left="606" w:right="0" w:hanging="0"/>
              <w:rPr>
                <w:rFonts w:ascii="Arial" w:hAnsi="Arial"/>
                <w:shd w:fill="auto" w:val="clear"/>
              </w:rPr>
            </w:pPr>
            <w:r>
              <w:rPr>
                <w:rFonts w:ascii="Arial" w:hAnsi="Arial"/>
                <w:sz w:val="22"/>
                <w:szCs w:val="22"/>
                <w:shd w:fill="auto" w:val="clear"/>
              </w:rPr>
              <w:t>FREQÜÈNCIA</w:t>
            </w:r>
            <w:r>
              <w:rPr>
                <w:rFonts w:ascii="Arial" w:hAnsi="Arial"/>
                <w:spacing w:val="-5"/>
                <w:sz w:val="22"/>
                <w:szCs w:val="22"/>
                <w:shd w:fill="auto" w:val="clear"/>
              </w:rPr>
              <w:t xml:space="preserve"> </w:t>
            </w:r>
            <w:r>
              <w:rPr>
                <w:rFonts w:ascii="Arial" w:hAnsi="Arial"/>
                <w:spacing w:val="-2"/>
                <w:sz w:val="22"/>
                <w:szCs w:val="22"/>
                <w:shd w:fill="auto" w:val="clear"/>
              </w:rPr>
              <w:t>MÍNIMA</w:t>
            </w:r>
          </w:p>
        </w:tc>
        <w:tc>
          <w:tcPr>
            <w:tcW w:w="2102" w:type="dxa"/>
            <w:tcBorders>
              <w:top w:val="single" w:sz="2" w:space="0" w:color="000000"/>
              <w:left w:val="single" w:sz="2" w:space="0" w:color="000000"/>
              <w:bottom w:val="single" w:sz="2" w:space="0" w:color="000000"/>
              <w:right w:val="single" w:sz="2" w:space="0" w:color="000000"/>
            </w:tcBorders>
            <w:shd w:color="auto" w:fill="CCCCCC" w:val="clear"/>
            <w:vAlign w:val="center"/>
          </w:tcPr>
          <w:p>
            <w:pPr>
              <w:pStyle w:val="TableParagraph"/>
              <w:widowControl w:val="false"/>
              <w:spacing w:before="59" w:after="0"/>
              <w:ind w:left="6" w:right="0" w:hanging="0"/>
              <w:jc w:val="center"/>
              <w:rPr>
                <w:rFonts w:ascii="Arial" w:hAnsi="Arial"/>
                <w:sz w:val="22"/>
                <w:szCs w:val="22"/>
              </w:rPr>
            </w:pPr>
            <w:r>
              <w:rPr>
                <w:rFonts w:ascii="Arial" w:hAnsi="Arial"/>
                <w:spacing w:val="-2"/>
                <w:sz w:val="22"/>
                <w:szCs w:val="22"/>
              </w:rPr>
              <w:t>PUNTS</w:t>
            </w:r>
          </w:p>
        </w:tc>
      </w:tr>
      <w:tr>
        <w:trPr>
          <w:trHeight w:val="282" w:hRule="atLeast"/>
        </w:trPr>
        <w:tc>
          <w:tcPr>
            <w:tcW w:w="3815" w:type="dxa"/>
            <w:tcBorders>
              <w:left w:val="single" w:sz="2" w:space="0" w:color="000000"/>
              <w:bottom w:val="single" w:sz="2" w:space="0" w:color="000000"/>
            </w:tcBorders>
            <w:vAlign w:val="center"/>
          </w:tcPr>
          <w:p>
            <w:pPr>
              <w:pStyle w:val="TableParagraph"/>
              <w:widowControl w:val="false"/>
              <w:spacing w:before="59" w:after="0"/>
              <w:ind w:left="28" w:right="0" w:hanging="0"/>
              <w:rPr>
                <w:rFonts w:ascii="Arial" w:hAnsi="Arial"/>
                <w:sz w:val="22"/>
                <w:szCs w:val="22"/>
              </w:rPr>
            </w:pPr>
            <w:r>
              <w:rPr>
                <w:rFonts w:ascii="Arial" w:hAnsi="Arial"/>
                <w:spacing w:val="-2"/>
                <w:sz w:val="22"/>
                <w:szCs w:val="22"/>
              </w:rPr>
              <w:t>vedella</w:t>
            </w:r>
          </w:p>
        </w:tc>
        <w:tc>
          <w:tcPr>
            <w:tcW w:w="3783" w:type="dxa"/>
            <w:tcBorders>
              <w:left w:val="single" w:sz="2" w:space="0" w:color="000000"/>
              <w:bottom w:val="single" w:sz="2" w:space="0" w:color="000000"/>
            </w:tcBorders>
            <w:vAlign w:val="center"/>
          </w:tcPr>
          <w:p>
            <w:pPr>
              <w:pStyle w:val="TableParagraph"/>
              <w:widowControl w:val="false"/>
              <w:spacing w:before="59" w:after="0"/>
              <w:ind w:left="28" w:right="0" w:hanging="0"/>
              <w:rPr>
                <w:rFonts w:ascii="Arial" w:hAnsi="Arial"/>
                <w:shd w:fill="auto" w:val="clear"/>
              </w:rPr>
            </w:pPr>
            <w:r>
              <w:rPr>
                <w:rFonts w:ascii="Arial" w:hAnsi="Arial"/>
                <w:sz w:val="22"/>
                <w:szCs w:val="22"/>
                <w:shd w:fill="auto" w:val="clear"/>
              </w:rPr>
              <w:t>1</w:t>
            </w:r>
            <w:r>
              <w:rPr>
                <w:rFonts w:ascii="Arial" w:hAnsi="Arial"/>
                <w:spacing w:val="-2"/>
                <w:sz w:val="22"/>
                <w:szCs w:val="22"/>
                <w:shd w:fill="auto" w:val="clear"/>
              </w:rPr>
              <w:t xml:space="preserve"> </w:t>
            </w:r>
            <w:r>
              <w:rPr>
                <w:rFonts w:ascii="Arial" w:hAnsi="Arial"/>
                <w:sz w:val="22"/>
                <w:szCs w:val="22"/>
                <w:shd w:fill="auto" w:val="clear"/>
              </w:rPr>
              <w:t>cop</w:t>
            </w:r>
            <w:r>
              <w:rPr>
                <w:rFonts w:ascii="Arial" w:hAnsi="Arial"/>
                <w:spacing w:val="-2"/>
                <w:sz w:val="22"/>
                <w:szCs w:val="22"/>
                <w:shd w:fill="auto" w:val="clear"/>
              </w:rPr>
              <w:t xml:space="preserve"> </w:t>
            </w:r>
            <w:r>
              <w:rPr>
                <w:rFonts w:ascii="Arial" w:hAnsi="Arial"/>
                <w:sz w:val="22"/>
                <w:szCs w:val="22"/>
                <w:shd w:fill="auto" w:val="clear"/>
              </w:rPr>
              <w:t>per</w:t>
            </w:r>
            <w:r>
              <w:rPr>
                <w:rFonts w:ascii="Arial" w:hAnsi="Arial"/>
                <w:spacing w:val="-3"/>
                <w:sz w:val="22"/>
                <w:szCs w:val="22"/>
                <w:shd w:fill="auto" w:val="clear"/>
              </w:rPr>
              <w:t xml:space="preserve"> </w:t>
            </w:r>
            <w:r>
              <w:rPr>
                <w:rFonts w:ascii="Arial" w:hAnsi="Arial"/>
                <w:sz w:val="22"/>
                <w:szCs w:val="22"/>
                <w:shd w:fill="auto" w:val="clear"/>
              </w:rPr>
              <w:t>setmana</w:t>
            </w:r>
            <w:r>
              <w:rPr>
                <w:rFonts w:ascii="Arial" w:hAnsi="Arial"/>
                <w:spacing w:val="-1"/>
                <w:sz w:val="22"/>
                <w:szCs w:val="22"/>
                <w:shd w:fill="auto" w:val="clear"/>
              </w:rPr>
              <w:t xml:space="preserve"> </w:t>
            </w:r>
            <w:r>
              <w:rPr>
                <w:rFonts w:ascii="Arial" w:hAnsi="Arial"/>
                <w:sz w:val="22"/>
                <w:szCs w:val="22"/>
                <w:shd w:fill="auto" w:val="clear"/>
              </w:rPr>
              <w:t>com</w:t>
            </w:r>
            <w:r>
              <w:rPr>
                <w:rFonts w:ascii="Arial" w:hAnsi="Arial"/>
                <w:spacing w:val="-3"/>
                <w:sz w:val="22"/>
                <w:szCs w:val="22"/>
                <w:shd w:fill="auto" w:val="clear"/>
              </w:rPr>
              <w:t xml:space="preserve"> </w:t>
            </w:r>
            <w:r>
              <w:rPr>
                <w:rFonts w:ascii="Arial" w:hAnsi="Arial"/>
                <w:sz w:val="22"/>
                <w:szCs w:val="22"/>
                <w:shd w:fill="auto" w:val="clear"/>
              </w:rPr>
              <w:t>a</w:t>
            </w:r>
            <w:r>
              <w:rPr>
                <w:rFonts w:ascii="Arial" w:hAnsi="Arial"/>
                <w:spacing w:val="-3"/>
                <w:sz w:val="22"/>
                <w:szCs w:val="22"/>
                <w:shd w:fill="auto" w:val="clear"/>
              </w:rPr>
              <w:t xml:space="preserve"> </w:t>
            </w:r>
            <w:r>
              <w:rPr>
                <w:rFonts w:ascii="Arial" w:hAnsi="Arial"/>
                <w:sz w:val="22"/>
                <w:szCs w:val="22"/>
                <w:shd w:fill="auto" w:val="clear"/>
              </w:rPr>
              <w:t>2n</w:t>
            </w:r>
            <w:r>
              <w:rPr>
                <w:rFonts w:ascii="Arial" w:hAnsi="Arial"/>
                <w:spacing w:val="-1"/>
                <w:sz w:val="22"/>
                <w:szCs w:val="22"/>
                <w:shd w:fill="auto" w:val="clear"/>
              </w:rPr>
              <w:t xml:space="preserve"> </w:t>
            </w:r>
            <w:r>
              <w:rPr>
                <w:rFonts w:ascii="Arial" w:hAnsi="Arial"/>
                <w:spacing w:val="-4"/>
                <w:sz w:val="22"/>
                <w:szCs w:val="22"/>
                <w:shd w:fill="auto" w:val="clear"/>
              </w:rPr>
              <w:t>plat</w:t>
            </w:r>
          </w:p>
        </w:tc>
        <w:tc>
          <w:tcPr>
            <w:tcW w:w="2102" w:type="dxa"/>
            <w:tcBorders>
              <w:left w:val="single" w:sz="2" w:space="0" w:color="000000"/>
              <w:bottom w:val="single" w:sz="2" w:space="0" w:color="000000"/>
              <w:right w:val="single" w:sz="2" w:space="0" w:color="000000"/>
            </w:tcBorders>
            <w:vAlign w:val="center"/>
          </w:tcPr>
          <w:p>
            <w:pPr>
              <w:pStyle w:val="TableParagraph"/>
              <w:widowControl w:val="false"/>
              <w:spacing w:before="59" w:after="0"/>
              <w:ind w:left="6" w:right="1" w:hanging="0"/>
              <w:jc w:val="center"/>
              <w:rPr>
                <w:rFonts w:ascii="Arial" w:hAnsi="Arial"/>
                <w:sz w:val="22"/>
                <w:szCs w:val="22"/>
              </w:rPr>
            </w:pPr>
            <w:r>
              <w:rPr>
                <w:rFonts w:ascii="Arial" w:hAnsi="Arial"/>
                <w:spacing w:val="-10"/>
                <w:sz w:val="22"/>
                <w:szCs w:val="22"/>
              </w:rPr>
              <w:t>4</w:t>
            </w:r>
          </w:p>
        </w:tc>
      </w:tr>
      <w:tr>
        <w:trPr>
          <w:trHeight w:val="282" w:hRule="atLeast"/>
        </w:trPr>
        <w:tc>
          <w:tcPr>
            <w:tcW w:w="3815" w:type="dxa"/>
            <w:tcBorders>
              <w:left w:val="single" w:sz="2" w:space="0" w:color="000000"/>
              <w:bottom w:val="single" w:sz="2" w:space="0" w:color="000000"/>
            </w:tcBorders>
            <w:vAlign w:val="center"/>
          </w:tcPr>
          <w:p>
            <w:pPr>
              <w:pStyle w:val="TableParagraph"/>
              <w:widowControl w:val="false"/>
              <w:spacing w:before="59" w:after="0"/>
              <w:ind w:left="28" w:right="0" w:hanging="0"/>
              <w:rPr>
                <w:rFonts w:ascii="Arial" w:hAnsi="Arial"/>
                <w:sz w:val="22"/>
                <w:szCs w:val="22"/>
              </w:rPr>
            </w:pPr>
            <w:r>
              <w:rPr>
                <w:rFonts w:ascii="Arial" w:hAnsi="Arial"/>
                <w:sz w:val="22"/>
                <w:szCs w:val="22"/>
              </w:rPr>
              <w:t>pollastre</w:t>
            </w:r>
            <w:r>
              <w:rPr>
                <w:rFonts w:ascii="Arial" w:hAnsi="Arial"/>
                <w:spacing w:val="-4"/>
                <w:sz w:val="22"/>
                <w:szCs w:val="22"/>
              </w:rPr>
              <w:t xml:space="preserve"> </w:t>
            </w:r>
            <w:r>
              <w:rPr>
                <w:rFonts w:ascii="Arial" w:hAnsi="Arial"/>
                <w:sz w:val="22"/>
                <w:szCs w:val="22"/>
              </w:rPr>
              <w:t>o</w:t>
            </w:r>
            <w:r>
              <w:rPr>
                <w:rFonts w:ascii="Arial" w:hAnsi="Arial"/>
                <w:spacing w:val="-3"/>
                <w:sz w:val="22"/>
                <w:szCs w:val="22"/>
              </w:rPr>
              <w:t xml:space="preserve"> </w:t>
            </w:r>
            <w:r>
              <w:rPr>
                <w:rFonts w:ascii="Arial" w:hAnsi="Arial"/>
                <w:sz w:val="22"/>
                <w:szCs w:val="22"/>
              </w:rPr>
              <w:t>carn</w:t>
            </w:r>
            <w:r>
              <w:rPr>
                <w:rFonts w:ascii="Arial" w:hAnsi="Arial"/>
                <w:spacing w:val="-3"/>
                <w:sz w:val="22"/>
                <w:szCs w:val="22"/>
              </w:rPr>
              <w:t xml:space="preserve"> </w:t>
            </w:r>
            <w:r>
              <w:rPr>
                <w:rFonts w:ascii="Arial" w:hAnsi="Arial"/>
                <w:spacing w:val="-2"/>
                <w:sz w:val="22"/>
                <w:szCs w:val="22"/>
              </w:rPr>
              <w:t>blanca</w:t>
            </w:r>
          </w:p>
        </w:tc>
        <w:tc>
          <w:tcPr>
            <w:tcW w:w="3783" w:type="dxa"/>
            <w:tcBorders>
              <w:left w:val="single" w:sz="2" w:space="0" w:color="000000"/>
              <w:bottom w:val="single" w:sz="2" w:space="0" w:color="000000"/>
            </w:tcBorders>
            <w:vAlign w:val="center"/>
          </w:tcPr>
          <w:p>
            <w:pPr>
              <w:pStyle w:val="TableParagraph"/>
              <w:widowControl w:val="false"/>
              <w:spacing w:before="59" w:after="0"/>
              <w:ind w:left="28" w:right="0" w:hanging="0"/>
              <w:rPr>
                <w:rFonts w:ascii="Arial" w:hAnsi="Arial"/>
                <w:shd w:fill="auto" w:val="clear"/>
              </w:rPr>
            </w:pPr>
            <w:r>
              <w:rPr>
                <w:rFonts w:ascii="Arial" w:hAnsi="Arial"/>
                <w:sz w:val="22"/>
                <w:szCs w:val="22"/>
                <w:shd w:fill="auto" w:val="clear"/>
              </w:rPr>
              <w:t>1</w:t>
            </w:r>
            <w:r>
              <w:rPr>
                <w:rFonts w:ascii="Arial" w:hAnsi="Arial"/>
                <w:spacing w:val="-2"/>
                <w:sz w:val="22"/>
                <w:szCs w:val="22"/>
                <w:shd w:fill="auto" w:val="clear"/>
              </w:rPr>
              <w:t xml:space="preserve"> </w:t>
            </w:r>
            <w:r>
              <w:rPr>
                <w:rFonts w:ascii="Arial" w:hAnsi="Arial"/>
                <w:sz w:val="22"/>
                <w:szCs w:val="22"/>
                <w:shd w:fill="auto" w:val="clear"/>
              </w:rPr>
              <w:t>cop</w:t>
            </w:r>
            <w:r>
              <w:rPr>
                <w:rFonts w:ascii="Arial" w:hAnsi="Arial"/>
                <w:spacing w:val="-2"/>
                <w:sz w:val="22"/>
                <w:szCs w:val="22"/>
                <w:shd w:fill="auto" w:val="clear"/>
              </w:rPr>
              <w:t xml:space="preserve"> </w:t>
            </w:r>
            <w:r>
              <w:rPr>
                <w:rFonts w:ascii="Arial" w:hAnsi="Arial"/>
                <w:sz w:val="22"/>
                <w:szCs w:val="22"/>
                <w:shd w:fill="auto" w:val="clear"/>
              </w:rPr>
              <w:t>per</w:t>
            </w:r>
            <w:r>
              <w:rPr>
                <w:rFonts w:ascii="Arial" w:hAnsi="Arial"/>
                <w:spacing w:val="-3"/>
                <w:sz w:val="22"/>
                <w:szCs w:val="22"/>
                <w:shd w:fill="auto" w:val="clear"/>
              </w:rPr>
              <w:t xml:space="preserve"> </w:t>
            </w:r>
            <w:r>
              <w:rPr>
                <w:rFonts w:ascii="Arial" w:hAnsi="Arial"/>
                <w:sz w:val="22"/>
                <w:szCs w:val="22"/>
                <w:shd w:fill="auto" w:val="clear"/>
              </w:rPr>
              <w:t>setmana</w:t>
            </w:r>
            <w:r>
              <w:rPr>
                <w:rFonts w:ascii="Arial" w:hAnsi="Arial"/>
                <w:spacing w:val="-1"/>
                <w:sz w:val="22"/>
                <w:szCs w:val="22"/>
                <w:shd w:fill="auto" w:val="clear"/>
              </w:rPr>
              <w:t xml:space="preserve"> </w:t>
            </w:r>
            <w:r>
              <w:rPr>
                <w:rFonts w:ascii="Arial" w:hAnsi="Arial"/>
                <w:sz w:val="22"/>
                <w:szCs w:val="22"/>
                <w:shd w:fill="auto" w:val="clear"/>
              </w:rPr>
              <w:t>com</w:t>
            </w:r>
            <w:r>
              <w:rPr>
                <w:rFonts w:ascii="Arial" w:hAnsi="Arial"/>
                <w:spacing w:val="-3"/>
                <w:sz w:val="22"/>
                <w:szCs w:val="22"/>
                <w:shd w:fill="auto" w:val="clear"/>
              </w:rPr>
              <w:t xml:space="preserve"> </w:t>
            </w:r>
            <w:r>
              <w:rPr>
                <w:rFonts w:ascii="Arial" w:hAnsi="Arial"/>
                <w:sz w:val="22"/>
                <w:szCs w:val="22"/>
                <w:shd w:fill="auto" w:val="clear"/>
              </w:rPr>
              <w:t>a</w:t>
            </w:r>
            <w:r>
              <w:rPr>
                <w:rFonts w:ascii="Arial" w:hAnsi="Arial"/>
                <w:spacing w:val="-3"/>
                <w:sz w:val="22"/>
                <w:szCs w:val="22"/>
                <w:shd w:fill="auto" w:val="clear"/>
              </w:rPr>
              <w:t xml:space="preserve"> </w:t>
            </w:r>
            <w:r>
              <w:rPr>
                <w:rFonts w:ascii="Arial" w:hAnsi="Arial"/>
                <w:sz w:val="22"/>
                <w:szCs w:val="22"/>
                <w:shd w:fill="auto" w:val="clear"/>
              </w:rPr>
              <w:t>2n</w:t>
            </w:r>
            <w:r>
              <w:rPr>
                <w:rFonts w:ascii="Arial" w:hAnsi="Arial"/>
                <w:spacing w:val="-1"/>
                <w:sz w:val="22"/>
                <w:szCs w:val="22"/>
                <w:shd w:fill="auto" w:val="clear"/>
              </w:rPr>
              <w:t xml:space="preserve"> </w:t>
            </w:r>
            <w:r>
              <w:rPr>
                <w:rFonts w:ascii="Arial" w:hAnsi="Arial"/>
                <w:spacing w:val="-4"/>
                <w:sz w:val="22"/>
                <w:szCs w:val="22"/>
                <w:shd w:fill="auto" w:val="clear"/>
              </w:rPr>
              <w:t>plat</w:t>
            </w:r>
          </w:p>
        </w:tc>
        <w:tc>
          <w:tcPr>
            <w:tcW w:w="2102" w:type="dxa"/>
            <w:tcBorders>
              <w:left w:val="single" w:sz="2" w:space="0" w:color="000000"/>
              <w:bottom w:val="single" w:sz="2" w:space="0" w:color="000000"/>
              <w:right w:val="single" w:sz="2" w:space="0" w:color="000000"/>
            </w:tcBorders>
            <w:vAlign w:val="center"/>
          </w:tcPr>
          <w:p>
            <w:pPr>
              <w:pStyle w:val="TableParagraph"/>
              <w:widowControl w:val="false"/>
              <w:spacing w:before="59" w:after="0"/>
              <w:ind w:left="6" w:right="1" w:hanging="0"/>
              <w:jc w:val="center"/>
              <w:rPr>
                <w:rFonts w:ascii="Arial" w:hAnsi="Arial"/>
                <w:sz w:val="22"/>
                <w:szCs w:val="22"/>
              </w:rPr>
            </w:pPr>
            <w:r>
              <w:rPr>
                <w:rFonts w:ascii="Arial" w:hAnsi="Arial"/>
                <w:spacing w:val="-10"/>
                <w:sz w:val="22"/>
                <w:szCs w:val="22"/>
              </w:rPr>
              <w:t>4</w:t>
            </w:r>
          </w:p>
        </w:tc>
      </w:tr>
      <w:tr>
        <w:trPr>
          <w:trHeight w:val="283" w:hRule="atLeast"/>
        </w:trPr>
        <w:tc>
          <w:tcPr>
            <w:tcW w:w="3815" w:type="dxa"/>
            <w:tcBorders>
              <w:left w:val="single" w:sz="2" w:space="0" w:color="000000"/>
              <w:bottom w:val="single" w:sz="2" w:space="0" w:color="000000"/>
            </w:tcBorders>
            <w:vAlign w:val="center"/>
          </w:tcPr>
          <w:p>
            <w:pPr>
              <w:pStyle w:val="TableParagraph"/>
              <w:widowControl w:val="false"/>
              <w:spacing w:before="59" w:after="0"/>
              <w:ind w:left="28" w:right="0" w:hanging="0"/>
              <w:rPr>
                <w:rFonts w:ascii="Arial" w:hAnsi="Arial"/>
                <w:sz w:val="22"/>
                <w:szCs w:val="22"/>
              </w:rPr>
            </w:pPr>
            <w:r>
              <w:rPr>
                <w:rFonts w:ascii="Arial" w:hAnsi="Arial"/>
                <w:sz w:val="22"/>
                <w:szCs w:val="22"/>
              </w:rPr>
              <w:t>fruites</w:t>
            </w:r>
            <w:r>
              <w:rPr>
                <w:rFonts w:ascii="Arial" w:hAnsi="Arial"/>
                <w:spacing w:val="-3"/>
                <w:sz w:val="22"/>
                <w:szCs w:val="22"/>
              </w:rPr>
              <w:t xml:space="preserve"> </w:t>
            </w:r>
            <w:r>
              <w:rPr>
                <w:rFonts w:ascii="Arial" w:hAnsi="Arial"/>
                <w:sz w:val="22"/>
                <w:szCs w:val="22"/>
              </w:rPr>
              <w:t>de</w:t>
            </w:r>
            <w:r>
              <w:rPr>
                <w:rFonts w:ascii="Arial" w:hAnsi="Arial"/>
                <w:spacing w:val="-3"/>
                <w:sz w:val="22"/>
                <w:szCs w:val="22"/>
              </w:rPr>
              <w:t xml:space="preserve"> </w:t>
            </w:r>
            <w:r>
              <w:rPr>
                <w:rFonts w:ascii="Arial" w:hAnsi="Arial"/>
                <w:spacing w:val="-2"/>
                <w:sz w:val="22"/>
                <w:szCs w:val="22"/>
              </w:rPr>
              <w:t>temporada</w:t>
            </w:r>
          </w:p>
        </w:tc>
        <w:tc>
          <w:tcPr>
            <w:tcW w:w="3783" w:type="dxa"/>
            <w:tcBorders>
              <w:left w:val="single" w:sz="2" w:space="0" w:color="000000"/>
              <w:bottom w:val="single" w:sz="2" w:space="0" w:color="000000"/>
            </w:tcBorders>
            <w:vAlign w:val="center"/>
          </w:tcPr>
          <w:p>
            <w:pPr>
              <w:pStyle w:val="TableParagraph"/>
              <w:widowControl w:val="false"/>
              <w:spacing w:before="59" w:after="0"/>
              <w:ind w:left="28" w:right="0" w:hanging="0"/>
              <w:rPr>
                <w:rFonts w:ascii="Arial" w:hAnsi="Arial"/>
                <w:shd w:fill="auto" w:val="clear"/>
              </w:rPr>
            </w:pPr>
            <w:r>
              <w:rPr>
                <w:rFonts w:ascii="Arial" w:hAnsi="Arial"/>
                <w:sz w:val="22"/>
                <w:szCs w:val="22"/>
                <w:shd w:fill="auto" w:val="clear"/>
              </w:rPr>
              <w:t>3</w:t>
            </w:r>
            <w:r>
              <w:rPr>
                <w:rFonts w:ascii="Arial" w:hAnsi="Arial"/>
                <w:spacing w:val="-2"/>
                <w:sz w:val="22"/>
                <w:szCs w:val="22"/>
                <w:shd w:fill="auto" w:val="clear"/>
              </w:rPr>
              <w:t xml:space="preserve"> </w:t>
            </w:r>
            <w:r>
              <w:rPr>
                <w:rFonts w:ascii="Arial" w:hAnsi="Arial"/>
                <w:sz w:val="22"/>
                <w:szCs w:val="22"/>
                <w:shd w:fill="auto" w:val="clear"/>
              </w:rPr>
              <w:t>cops</w:t>
            </w:r>
            <w:r>
              <w:rPr>
                <w:rFonts w:ascii="Arial" w:hAnsi="Arial"/>
                <w:spacing w:val="-2"/>
                <w:sz w:val="22"/>
                <w:szCs w:val="22"/>
                <w:shd w:fill="auto" w:val="clear"/>
              </w:rPr>
              <w:t xml:space="preserve"> </w:t>
            </w:r>
            <w:r>
              <w:rPr>
                <w:rFonts w:ascii="Arial" w:hAnsi="Arial"/>
                <w:sz w:val="22"/>
                <w:szCs w:val="22"/>
                <w:shd w:fill="auto" w:val="clear"/>
              </w:rPr>
              <w:t>per</w:t>
            </w:r>
            <w:r>
              <w:rPr>
                <w:rFonts w:ascii="Arial" w:hAnsi="Arial"/>
                <w:spacing w:val="-3"/>
                <w:sz w:val="22"/>
                <w:szCs w:val="22"/>
                <w:shd w:fill="auto" w:val="clear"/>
              </w:rPr>
              <w:t xml:space="preserve"> </w:t>
            </w:r>
            <w:r>
              <w:rPr>
                <w:rFonts w:ascii="Arial" w:hAnsi="Arial"/>
                <w:sz w:val="22"/>
                <w:szCs w:val="22"/>
                <w:shd w:fill="auto" w:val="clear"/>
              </w:rPr>
              <w:t>setmana</w:t>
            </w:r>
            <w:r>
              <w:rPr>
                <w:rFonts w:ascii="Arial" w:hAnsi="Arial"/>
                <w:spacing w:val="-1"/>
                <w:sz w:val="22"/>
                <w:szCs w:val="22"/>
                <w:shd w:fill="auto" w:val="clear"/>
              </w:rPr>
              <w:t xml:space="preserve"> </w:t>
            </w:r>
            <w:r>
              <w:rPr>
                <w:rFonts w:ascii="Arial" w:hAnsi="Arial"/>
                <w:sz w:val="22"/>
                <w:szCs w:val="22"/>
                <w:shd w:fill="auto" w:val="clear"/>
              </w:rPr>
              <w:t>com</w:t>
            </w:r>
            <w:r>
              <w:rPr>
                <w:rFonts w:ascii="Arial" w:hAnsi="Arial"/>
                <w:spacing w:val="-3"/>
                <w:sz w:val="22"/>
                <w:szCs w:val="22"/>
                <w:shd w:fill="auto" w:val="clear"/>
              </w:rPr>
              <w:t xml:space="preserve"> </w:t>
            </w:r>
            <w:r>
              <w:rPr>
                <w:rFonts w:ascii="Arial" w:hAnsi="Arial"/>
                <w:sz w:val="22"/>
                <w:szCs w:val="22"/>
                <w:shd w:fill="auto" w:val="clear"/>
              </w:rPr>
              <w:t>a</w:t>
            </w:r>
            <w:r>
              <w:rPr>
                <w:rFonts w:ascii="Arial" w:hAnsi="Arial"/>
                <w:spacing w:val="-2"/>
                <w:sz w:val="22"/>
                <w:szCs w:val="22"/>
                <w:shd w:fill="auto" w:val="clear"/>
              </w:rPr>
              <w:t xml:space="preserve"> postre</w:t>
            </w:r>
          </w:p>
        </w:tc>
        <w:tc>
          <w:tcPr>
            <w:tcW w:w="2102" w:type="dxa"/>
            <w:tcBorders>
              <w:left w:val="single" w:sz="2" w:space="0" w:color="000000"/>
              <w:bottom w:val="single" w:sz="2" w:space="0" w:color="000000"/>
              <w:right w:val="single" w:sz="2" w:space="0" w:color="000000"/>
            </w:tcBorders>
            <w:vAlign w:val="center"/>
          </w:tcPr>
          <w:p>
            <w:pPr>
              <w:pStyle w:val="TableParagraph"/>
              <w:widowControl w:val="false"/>
              <w:spacing w:before="59" w:after="0"/>
              <w:ind w:left="6" w:right="1" w:hanging="0"/>
              <w:jc w:val="center"/>
              <w:rPr>
                <w:rFonts w:ascii="Arial" w:hAnsi="Arial"/>
                <w:sz w:val="22"/>
                <w:szCs w:val="22"/>
              </w:rPr>
            </w:pPr>
            <w:r>
              <w:rPr>
                <w:rFonts w:ascii="Arial" w:hAnsi="Arial"/>
                <w:spacing w:val="-10"/>
                <w:sz w:val="22"/>
                <w:szCs w:val="22"/>
              </w:rPr>
              <w:t>2</w:t>
            </w:r>
          </w:p>
        </w:tc>
      </w:tr>
    </w:tbl>
    <w:p>
      <w:pPr>
        <w:pStyle w:val="Cosdeltext"/>
        <w:spacing w:before="251" w:after="0"/>
        <w:jc w:val="both"/>
        <w:rPr>
          <w:color w:val="000000"/>
          <w:sz w:val="22"/>
          <w:szCs w:val="22"/>
          <w:shd w:fill="auto" w:val="clear"/>
        </w:rPr>
      </w:pPr>
      <w:r>
        <w:rPr>
          <w:color w:val="000000"/>
          <w:sz w:val="22"/>
          <w:szCs w:val="22"/>
          <w:shd w:fill="auto" w:val="clear"/>
        </w:rPr>
      </w:r>
    </w:p>
    <w:p>
      <w:pPr>
        <w:pStyle w:val="Normal"/>
        <w:widowControl/>
        <w:numPr>
          <w:ilvl w:val="3"/>
          <w:numId w:val="29"/>
        </w:numPr>
        <w:tabs>
          <w:tab w:val="clear" w:pos="720"/>
          <w:tab w:val="left" w:pos="993" w:leader="none"/>
        </w:tabs>
        <w:suppressAutoHyphens w:val="true"/>
        <w:bidi w:val="0"/>
        <w:spacing w:before="198" w:after="198"/>
        <w:ind w:left="1134" w:right="0" w:hanging="0"/>
        <w:jc w:val="both"/>
        <w:rPr>
          <w:color w:val="000000"/>
          <w:sz w:val="22"/>
          <w:szCs w:val="22"/>
          <w:shd w:fill="auto" w:val="clear"/>
        </w:rPr>
      </w:pPr>
      <w:r>
        <w:rPr>
          <w:rFonts w:eastAsia="SimSun" w:cs="Arial"/>
          <w:b/>
          <w:bCs/>
          <w:i w:val="false"/>
          <w:iCs w:val="false"/>
          <w:color w:val="000000"/>
          <w:sz w:val="22"/>
          <w:szCs w:val="22"/>
          <w:u w:val="single"/>
          <w:shd w:fill="auto" w:val="clear"/>
          <w:lang w:eastAsia="es-ES"/>
        </w:rPr>
        <w:t>Incorporació d'aliments d'economia social en l'elaboració del menú</w:t>
      </w:r>
      <w:r>
        <w:rPr>
          <w:rFonts w:eastAsia="SimSun" w:cs="Arial"/>
          <w:b/>
          <w:bCs/>
          <w:i w:val="false"/>
          <w:iCs w:val="false"/>
          <w:color w:val="000000"/>
          <w:sz w:val="22"/>
          <w:szCs w:val="22"/>
          <w:u w:val="none"/>
          <w:shd w:fill="auto" w:val="clear"/>
          <w:lang w:eastAsia="es-ES"/>
        </w:rPr>
        <w:t>,</w:t>
      </w:r>
      <w:r>
        <w:rPr>
          <w:rFonts w:eastAsia="SimSun" w:cs="Arial"/>
          <w:b/>
          <w:color w:val="000000"/>
          <w:sz w:val="22"/>
          <w:szCs w:val="22"/>
          <w:shd w:fill="auto" w:val="clear"/>
          <w:lang w:eastAsia="es-ES"/>
        </w:rPr>
        <w:t xml:space="preserve"> fins a un màxim de 10 punts</w:t>
      </w:r>
    </w:p>
    <w:p>
      <w:pPr>
        <w:pStyle w:val="Normal"/>
        <w:jc w:val="both"/>
        <w:rPr>
          <w:i/>
          <w:i/>
          <w:sz w:val="22"/>
          <w:szCs w:val="22"/>
          <w:highlight w:val="green"/>
        </w:rPr>
      </w:pPr>
      <w:r>
        <w:rPr>
          <w:color w:val="000000"/>
          <w:sz w:val="22"/>
          <w:szCs w:val="22"/>
          <w:shd w:fill="auto" w:val="clear"/>
        </w:rPr>
        <w:t>Es valorarà</w:t>
      </w:r>
      <w:r>
        <w:rPr>
          <w:color w:val="000000"/>
          <w:sz w:val="22"/>
          <w:szCs w:val="22"/>
        </w:rPr>
        <w:t xml:space="preserve"> l’oferta de productes d’economia social per part de les empreses licitadores. </w:t>
      </w:r>
    </w:p>
    <w:p>
      <w:pPr>
        <w:pStyle w:val="Normal"/>
        <w:jc w:val="both"/>
        <w:rPr>
          <w:i/>
          <w:i/>
          <w:sz w:val="22"/>
          <w:szCs w:val="22"/>
          <w:highlight w:val="green"/>
        </w:rPr>
      </w:pPr>
      <w:r>
        <w:rPr>
          <w:i/>
          <w:sz w:val="22"/>
          <w:szCs w:val="22"/>
          <w:highlight w:val="green"/>
        </w:rPr>
      </w:r>
    </w:p>
    <w:p>
      <w:pPr>
        <w:pStyle w:val="Cosdeltext"/>
        <w:jc w:val="both"/>
        <w:rPr>
          <w:rFonts w:ascii="Arial" w:hAnsi="Arial"/>
          <w:sz w:val="22"/>
          <w:szCs w:val="22"/>
          <w:lang w:val="ca-ES" w:eastAsia="zh-CN"/>
        </w:rPr>
      </w:pPr>
      <w:r>
        <w:rPr>
          <w:rFonts w:ascii="Arial" w:hAnsi="Arial"/>
          <w:sz w:val="22"/>
          <w:szCs w:val="22"/>
          <w:lang w:val="ca-ES" w:eastAsia="zh-CN"/>
        </w:rPr>
        <w:t xml:space="preserve">En les seves ofertes les licitadores hauran de determinar els productes d'economia social concrets oferts (fins a un màxim de quatre) d'entre els aliments que formaran part dels menús escolars setmanalment i indicant l'empresa proveïdora i acreditant que aquesta empresa és un Centre Especial de Treball o una Empresa d'Inserció. </w:t>
      </w:r>
    </w:p>
    <w:p>
      <w:pPr>
        <w:pStyle w:val="Cosdeltext"/>
        <w:jc w:val="both"/>
        <w:rPr>
          <w:rFonts w:ascii="Arial" w:hAnsi="Arial"/>
          <w:sz w:val="22"/>
          <w:szCs w:val="22"/>
          <w:lang w:val="ca-ES" w:eastAsia="zh-CN"/>
        </w:rPr>
      </w:pPr>
      <w:r>
        <w:rPr>
          <w:rFonts w:ascii="Arial" w:hAnsi="Arial"/>
          <w:sz w:val="22"/>
          <w:szCs w:val="22"/>
          <w:lang w:val="ca-ES" w:eastAsia="zh-CN"/>
        </w:rPr>
      </w:r>
    </w:p>
    <w:p>
      <w:pPr>
        <w:pStyle w:val="Cosdeltext"/>
        <w:jc w:val="both"/>
        <w:rPr>
          <w:rFonts w:ascii="Arial" w:hAnsi="Arial"/>
          <w:sz w:val="22"/>
          <w:szCs w:val="22"/>
          <w:lang w:val="ca-ES" w:eastAsia="zh-CN"/>
        </w:rPr>
      </w:pPr>
      <w:r>
        <w:rPr>
          <w:rFonts w:ascii="Arial" w:hAnsi="Arial"/>
          <w:sz w:val="22"/>
          <w:szCs w:val="22"/>
          <w:lang w:val="ca-ES" w:eastAsia="zh-CN"/>
        </w:rPr>
        <w:t>A aquests efectes s'atorgaran 2,5 punts per a cada producte subministrat, fins a un màxim de 10 punts.</w:t>
      </w:r>
    </w:p>
    <w:p>
      <w:pPr>
        <w:pStyle w:val="Cosdeltext"/>
        <w:jc w:val="both"/>
        <w:rPr>
          <w:rFonts w:ascii="Arial" w:hAnsi="Arial"/>
          <w:sz w:val="22"/>
          <w:szCs w:val="22"/>
          <w:lang w:val="ca-ES" w:eastAsia="zh-CN"/>
        </w:rPr>
      </w:pPr>
      <w:r>
        <w:rPr>
          <w:rFonts w:ascii="Arial" w:hAnsi="Arial"/>
          <w:sz w:val="22"/>
          <w:szCs w:val="22"/>
          <w:lang w:val="ca-ES" w:eastAsia="zh-CN"/>
        </w:rPr>
      </w:r>
    </w:p>
    <w:p>
      <w:pPr>
        <w:pStyle w:val="Cosdeltext"/>
        <w:jc w:val="both"/>
        <w:rPr>
          <w:rFonts w:ascii="Arial" w:hAnsi="Arial"/>
          <w:sz w:val="22"/>
          <w:szCs w:val="22"/>
          <w:lang w:val="ca-ES" w:eastAsia="zh-CN"/>
        </w:rPr>
      </w:pPr>
      <w:r>
        <w:rPr>
          <w:rFonts w:ascii="Arial" w:hAnsi="Arial"/>
          <w:sz w:val="22"/>
          <w:szCs w:val="22"/>
          <w:lang w:val="ca-ES" w:eastAsia="zh-CN"/>
        </w:rPr>
        <w:t>No s'admeten productes (o derivats) que no compleixen les condicions definides al PPT (ex. io- gurts ensucrats). L'oferta de productes d'economia social implica que el producte s'ha de submi- nistrar en tot el període vegetatiu (estacionalitat) indicat i per a tot el producte que requereixi l'es- cola (en tots els tipus de menús).</w:t>
      </w:r>
    </w:p>
    <w:p>
      <w:pPr>
        <w:pStyle w:val="Cosdeltext"/>
        <w:jc w:val="both"/>
        <w:rPr>
          <w:rFonts w:ascii="Arial" w:hAnsi="Arial"/>
          <w:sz w:val="22"/>
          <w:szCs w:val="22"/>
          <w:shd w:fill="FFFF00" w:val="clear"/>
          <w:lang w:val="ca-ES" w:eastAsia="zh-CN"/>
        </w:rPr>
      </w:pPr>
      <w:r>
        <w:rPr>
          <w:rFonts w:ascii="Arial" w:hAnsi="Arial"/>
          <w:sz w:val="22"/>
          <w:szCs w:val="22"/>
          <w:shd w:fill="FFFF00" w:val="clear"/>
          <w:lang w:val="ca-ES" w:eastAsia="zh-CN"/>
        </w:rPr>
      </w:r>
    </w:p>
    <w:p>
      <w:pPr>
        <w:pStyle w:val="Cosdeltext"/>
        <w:jc w:val="both"/>
        <w:rPr>
          <w:shd w:fill="auto" w:val="clear"/>
        </w:rPr>
      </w:pPr>
      <w:r>
        <w:rPr>
          <w:rFonts w:ascii="Arial" w:hAnsi="Arial"/>
          <w:b/>
          <w:bCs/>
          <w:sz w:val="22"/>
          <w:szCs w:val="22"/>
          <w:shd w:fill="auto" w:val="clear"/>
          <w:lang w:val="ca-ES" w:eastAsia="zh-CN"/>
        </w:rPr>
        <w:t xml:space="preserve">Les licitadores inclouran en la seva oferta la documentació acreditativa corresponent a què les empreses proveïdores són un Centre Especial de Treball o una Empresa d'Inserció. </w:t>
      </w:r>
    </w:p>
    <w:p>
      <w:pPr>
        <w:pStyle w:val="Cosdeltext"/>
        <w:jc w:val="both"/>
        <w:rPr>
          <w:rFonts w:ascii="Arial" w:hAnsi="Arial"/>
          <w:sz w:val="22"/>
          <w:szCs w:val="22"/>
          <w:shd w:fill="auto" w:val="clear"/>
          <w:lang w:val="ca-ES" w:eastAsia="zh-CN"/>
        </w:rPr>
      </w:pPr>
      <w:r>
        <w:rPr>
          <w:rFonts w:ascii="Arial" w:hAnsi="Arial"/>
          <w:sz w:val="22"/>
          <w:szCs w:val="22"/>
          <w:shd w:fill="auto" w:val="clear"/>
          <w:lang w:val="ca-ES" w:eastAsia="zh-CN"/>
        </w:rPr>
      </w:r>
    </w:p>
    <w:p>
      <w:pPr>
        <w:pStyle w:val="Normal"/>
        <w:widowControl/>
        <w:numPr>
          <w:ilvl w:val="2"/>
          <w:numId w:val="29"/>
        </w:numPr>
        <w:tabs>
          <w:tab w:val="clear" w:pos="720"/>
          <w:tab w:val="left" w:pos="563" w:leader="none"/>
          <w:tab w:val="left" w:pos="850" w:leader="none"/>
          <w:tab w:val="left" w:pos="1025" w:leader="none"/>
          <w:tab w:val="left" w:pos="1075" w:leader="none"/>
        </w:tabs>
        <w:suppressAutoHyphens w:val="true"/>
        <w:bidi w:val="0"/>
        <w:spacing w:before="198" w:after="198"/>
        <w:ind w:left="567" w:right="0" w:hanging="0"/>
        <w:jc w:val="both"/>
        <w:rPr/>
      </w:pPr>
      <w:r>
        <w:rPr>
          <w:b/>
          <w:sz w:val="22"/>
          <w:szCs w:val="22"/>
          <w:u w:val="single"/>
          <w:shd w:fill="auto" w:val="clear"/>
        </w:rPr>
        <w:t>Preu</w:t>
      </w:r>
      <w:r>
        <w:rPr>
          <w:b/>
          <w:sz w:val="22"/>
          <w:szCs w:val="22"/>
          <w:shd w:fill="auto" w:val="clear"/>
        </w:rPr>
        <w:t>, fins a un màxim de 36 punts</w:t>
      </w:r>
      <w:r>
        <w:rPr>
          <w:sz w:val="22"/>
          <w:szCs w:val="22"/>
          <w:shd w:fill="auto" w:val="clear"/>
        </w:rPr>
        <w:t xml:space="preserve">: </w:t>
      </w:r>
    </w:p>
    <w:p>
      <w:pPr>
        <w:pStyle w:val="Normal"/>
        <w:widowControl w:val="false"/>
        <w:tabs>
          <w:tab w:val="clear" w:pos="720"/>
          <w:tab w:val="left" w:pos="731" w:leader="none"/>
          <w:tab w:val="left" w:pos="788" w:leader="none"/>
        </w:tabs>
        <w:jc w:val="both"/>
        <w:rPr>
          <w:shd w:fill="auto" w:val="clear"/>
        </w:rPr>
      </w:pPr>
      <w:r>
        <w:rPr>
          <w:rFonts w:eastAsia="NSimSun"/>
          <w:spacing w:val="-2"/>
          <w:sz w:val="22"/>
          <w:szCs w:val="22"/>
          <w:shd w:fill="auto" w:val="clear"/>
        </w:rPr>
        <w:t>Les empreses licitadores ompliran una declaració econòmica i concretaran el preu unitari ofert  (annex  1).</w:t>
      </w:r>
    </w:p>
    <w:p>
      <w:pPr>
        <w:pStyle w:val="Normal"/>
        <w:widowControl w:val="false"/>
        <w:tabs>
          <w:tab w:val="clear" w:pos="720"/>
          <w:tab w:val="left" w:pos="731" w:leader="none"/>
          <w:tab w:val="left" w:pos="788" w:leader="none"/>
        </w:tabs>
        <w:jc w:val="both"/>
        <w:rPr>
          <w:shd w:fill="FFFF00" w:val="clear"/>
        </w:rPr>
      </w:pPr>
      <w:r>
        <w:rPr>
          <w:shd w:fill="FFFF00" w:val="clear"/>
        </w:rPr>
      </w:r>
    </w:p>
    <w:p>
      <w:pPr>
        <w:pStyle w:val="Normal"/>
        <w:widowControl w:val="false"/>
        <w:tabs>
          <w:tab w:val="clear" w:pos="720"/>
          <w:tab w:val="left" w:pos="731" w:leader="none"/>
          <w:tab w:val="left" w:pos="788" w:leader="none"/>
        </w:tabs>
        <w:jc w:val="both"/>
        <w:rPr>
          <w:shd w:fill="auto" w:val="clear"/>
        </w:rPr>
      </w:pPr>
      <w:r>
        <w:rPr>
          <w:rFonts w:eastAsia="NSimSun"/>
          <w:spacing w:val="-2"/>
          <w:sz w:val="22"/>
          <w:szCs w:val="22"/>
          <w:shd w:fill="auto" w:val="clear"/>
        </w:rPr>
        <w:t>El preu ofert de cada empresa  licitadora es calcularà  multiplicant la volumetria  estimada pel preu unitari ofert, exclòs l'IVA.</w:t>
      </w:r>
    </w:p>
    <w:p>
      <w:pPr>
        <w:pStyle w:val="Normal"/>
        <w:widowControl w:val="false"/>
        <w:tabs>
          <w:tab w:val="clear" w:pos="720"/>
          <w:tab w:val="left" w:pos="731" w:leader="none"/>
          <w:tab w:val="left" w:pos="788" w:leader="none"/>
        </w:tabs>
        <w:jc w:val="both"/>
        <w:rPr>
          <w:rFonts w:eastAsia="NSimSun"/>
          <w:spacing w:val="-2"/>
          <w:sz w:val="22"/>
          <w:szCs w:val="22"/>
          <w:shd w:fill="auto" w:val="clear"/>
        </w:rPr>
      </w:pPr>
      <w:r>
        <w:rPr>
          <w:rFonts w:eastAsia="NSimSun"/>
          <w:spacing w:val="-2"/>
          <w:sz w:val="22"/>
          <w:szCs w:val="22"/>
          <w:shd w:fill="auto" w:val="clear"/>
        </w:rPr>
      </w:r>
    </w:p>
    <w:p>
      <w:pPr>
        <w:pStyle w:val="Normal"/>
        <w:widowControl w:val="false"/>
        <w:tabs>
          <w:tab w:val="clear" w:pos="720"/>
          <w:tab w:val="left" w:pos="731" w:leader="none"/>
          <w:tab w:val="left" w:pos="788" w:leader="none"/>
        </w:tabs>
        <w:jc w:val="both"/>
        <w:rPr>
          <w:rFonts w:eastAsia="NSimSun"/>
        </w:rPr>
      </w:pPr>
      <w:r>
        <w:rPr>
          <w:rFonts w:eastAsia="NSimSun"/>
          <w:spacing w:val="-2"/>
          <w:sz w:val="22"/>
          <w:szCs w:val="22"/>
        </w:rPr>
        <w:t>Presentar una oferta de preu unitari superior al preu unitari màxim serà motiu d’exclusió del procediment d’adjudicació del contracte.</w:t>
      </w:r>
    </w:p>
    <w:p>
      <w:pPr>
        <w:pStyle w:val="Normal"/>
        <w:tabs>
          <w:tab w:val="clear" w:pos="720"/>
          <w:tab w:val="left" w:pos="993" w:leader="none"/>
        </w:tabs>
        <w:ind w:left="720" w:hanging="0"/>
        <w:jc w:val="both"/>
        <w:rPr/>
      </w:pPr>
      <w:r>
        <w:rPr/>
      </w:r>
    </w:p>
    <w:p>
      <w:pPr>
        <w:pStyle w:val="Normal"/>
        <w:widowControl w:val="false"/>
        <w:jc w:val="both"/>
        <w:rPr>
          <w:sz w:val="22"/>
        </w:rPr>
      </w:pPr>
      <w:r>
        <w:rPr>
          <w:sz w:val="22"/>
        </w:rPr>
        <w:t xml:space="preserve">S’atorgarà la màxima puntuació a l’oferta econòmica més baixa, i a la resta de forma inversament proporcional, mitjançant l’aplicació de la fórmula següent: </w:t>
      </w:r>
    </w:p>
    <w:p>
      <w:pPr>
        <w:pStyle w:val="Normal"/>
        <w:widowControl w:val="false"/>
        <w:jc w:val="both"/>
        <w:rPr>
          <w:sz w:val="22"/>
        </w:rPr>
      </w:pPr>
      <w:r>
        <w:rPr>
          <w:sz w:val="22"/>
        </w:rPr>
      </w:r>
    </w:p>
    <w:p>
      <w:pPr>
        <w:pStyle w:val="Normal"/>
        <w:widowControl w:val="false"/>
        <w:jc w:val="both"/>
        <w:rPr/>
      </w:pPr>
      <w:r>
        <w:rPr>
          <w:sz w:val="22"/>
        </w:rPr>
        <w:t>Puntuació = 36 *</w:t>
      </w:r>
      <w:r>
        <w:rPr>
          <w:sz w:val="32"/>
          <w:szCs w:val="32"/>
        </w:rPr>
        <w:t>(</w:t>
      </w:r>
      <w:r>
        <w:rPr>
          <w:sz w:val="22"/>
        </w:rPr>
        <w:t xml:space="preserve"> </w:t>
      </w:r>
      <w:r>
        <w:fldChar w:fldCharType="begin"/>
      </w:r>
      <w:r>
        <w:rPr>
          <w:sz w:val="22"/>
        </w:rPr>
        <w:instrText>QUOTE</w:instrText>
      </w:r>
      <w:r>
        <w:rPr>
          <w:sz w:val="22"/>
        </w:rPr>
      </w:r>
      <w:r>
        <w:rPr>
          <w:sz w:val="22"/>
        </w:rPr>
        <w:fldChar w:fldCharType="separate"/>
      </w:r>
      <w:r>
        <w:rPr>
          <w:sz w:val="22"/>
        </w:rPr>
      </w:r>
      <w:r>
        <w:rPr>
          <w:sz w:val="22"/>
        </w:rPr>
      </w:r>
      <w:r>
        <w:rPr>
          <w:sz w:val="22"/>
        </w:rPr>
        <w:fldChar w:fldCharType="end"/>
      </w:r>
      <w:r>
        <w:rPr/>
        <w:t>(pressupost base de licitació - preu ofert) /</w:t>
      </w:r>
      <w:r>
        <w:rPr>
          <w:sz w:val="22"/>
        </w:rPr>
        <w:t xml:space="preserve"> (</w:t>
      </w:r>
      <w:r>
        <w:rPr/>
        <w:t xml:space="preserve">pressupost base de licitació - millor preu ofert) </w:t>
      </w:r>
      <w:r>
        <w:rPr>
          <w:sz w:val="32"/>
          <w:szCs w:val="32"/>
        </w:rPr>
        <w:t>)</w:t>
      </w:r>
    </w:p>
    <w:p>
      <w:pPr>
        <w:pStyle w:val="Normal"/>
        <w:tabs>
          <w:tab w:val="clear" w:pos="720"/>
          <w:tab w:val="left" w:pos="993" w:leader="none"/>
        </w:tabs>
        <w:jc w:val="both"/>
        <w:rPr/>
      </w:pPr>
      <w:r>
        <w:fldChar w:fldCharType="begin"/>
      </w:r>
      <w:r>
        <w:rPr>
          <w:sz w:val="32"/>
          <w:szCs w:val="32"/>
        </w:rPr>
        <w:instrText>QUOTE _x005F_x0001_</w:instrText>
      </w:r>
      <w:r>
        <w:rPr>
          <w:sz w:val="32"/>
          <w:szCs w:val="32"/>
        </w:rPr>
      </w:r>
      <w:r>
        <w:rPr>
          <w:sz w:val="32"/>
          <w:szCs w:val="32"/>
        </w:rPr>
        <w:fldChar w:fldCharType="separate"/>
      </w:r>
      <w:r>
        <w:rPr>
          <w:sz w:val="32"/>
          <w:szCs w:val="32"/>
        </w:rPr>
      </w:r>
      <w:r>
        <w:rPr>
          <w:sz w:val="32"/>
          <w:szCs w:val="32"/>
        </w:rPr>
      </w:r>
      <w:r>
        <w:rPr>
          <w:sz w:val="32"/>
          <w:szCs w:val="32"/>
        </w:rPr>
        <w:fldChar w:fldCharType="end"/>
      </w:r>
    </w:p>
    <w:p>
      <w:pPr>
        <w:pStyle w:val="Normal"/>
        <w:tabs>
          <w:tab w:val="clear" w:pos="720"/>
          <w:tab w:val="left" w:pos="993" w:leader="none"/>
        </w:tabs>
        <w:jc w:val="both"/>
        <w:rPr>
          <w:sz w:val="22"/>
        </w:rPr>
      </w:pPr>
      <w:r>
        <w:rPr>
          <w:sz w:val="22"/>
        </w:rPr>
        <w:t xml:space="preserve">Es tindran en compte dos decimals. </w:t>
      </w:r>
    </w:p>
    <w:p>
      <w:pPr>
        <w:pStyle w:val="BodyTextIndent2"/>
        <w:ind w:left="993" w:hanging="0"/>
        <w:rPr>
          <w:spacing w:val="-2"/>
          <w:szCs w:val="22"/>
        </w:rPr>
      </w:pPr>
      <w:r>
        <w:rPr>
          <w:spacing w:val="-2"/>
          <w:szCs w:val="22"/>
        </w:rPr>
      </w:r>
    </w:p>
    <w:p>
      <w:pPr>
        <w:pStyle w:val="Normal"/>
        <w:suppressAutoHyphens w:val="false"/>
        <w:jc w:val="both"/>
        <w:rPr/>
      </w:pPr>
      <w:r>
        <w:rPr>
          <w:sz w:val="22"/>
          <w:szCs w:val="22"/>
          <w:lang w:eastAsia="es-ES"/>
        </w:rPr>
        <w:t>Per aplicació d’aquesta fórmula, l’oferta que proposi l’import econòmic mínim d’entre totes les ofertes rebudes i admeses obtindrà la puntuació màxima de 36 punts. I una oferta que no proposi baixa, és a dir, que sigui igual al preu de licitació, obtindrà 0 punts. La utilització d’aquesta fórmula permet un repartiment més efectiu de la puntuació perquè fa una doble comparativa de cada oferta presentada respecte al pressupost de licitació i, també, respecte l’oferta econòmica més baixa.</w:t>
      </w:r>
    </w:p>
    <w:p>
      <w:pPr>
        <w:pStyle w:val="Normal"/>
        <w:jc w:val="both"/>
        <w:rPr>
          <w:i/>
          <w:i/>
          <w:sz w:val="22"/>
          <w:szCs w:val="22"/>
          <w:highlight w:val="green"/>
        </w:rPr>
      </w:pPr>
      <w:r>
        <w:rPr>
          <w:i/>
          <w:sz w:val="22"/>
          <w:szCs w:val="22"/>
          <w:highlight w:val="green"/>
        </w:rPr>
      </w:r>
    </w:p>
    <w:p>
      <w:pPr>
        <w:pStyle w:val="Normal"/>
        <w:widowControl/>
        <w:numPr>
          <w:ilvl w:val="2"/>
          <w:numId w:val="29"/>
        </w:numPr>
        <w:tabs>
          <w:tab w:val="clear" w:pos="720"/>
          <w:tab w:val="left" w:pos="993" w:leader="none"/>
        </w:tabs>
        <w:suppressAutoHyphens w:val="true"/>
        <w:bidi w:val="0"/>
        <w:spacing w:before="198" w:after="198"/>
        <w:ind w:left="567" w:right="0" w:hanging="0"/>
        <w:jc w:val="both"/>
        <w:rPr>
          <w:color w:val="000000"/>
          <w:sz w:val="22"/>
          <w:szCs w:val="22"/>
          <w:shd w:fill="auto" w:val="clear"/>
        </w:rPr>
      </w:pPr>
      <w:r>
        <w:rPr>
          <w:rFonts w:eastAsia="Calibri" w:cs="Arial"/>
          <w:b/>
          <w:color w:val="000000"/>
          <w:sz w:val="22"/>
          <w:szCs w:val="22"/>
          <w:u w:val="single"/>
          <w:shd w:fill="auto" w:val="clear"/>
          <w:lang w:eastAsia="es-ES"/>
        </w:rPr>
        <w:t xml:space="preserve">Pel compromís d'increment de les hores de formació destinades als professionals de cuina sobre les contemplades en el conveni corresponent, </w:t>
      </w:r>
      <w:r>
        <w:rPr>
          <w:rFonts w:eastAsia="Calibri" w:cs="Arial"/>
          <w:b/>
          <w:color w:val="000000"/>
          <w:sz w:val="22"/>
          <w:szCs w:val="22"/>
          <w:shd w:fill="auto" w:val="clear"/>
          <w:lang w:eastAsia="es-ES"/>
        </w:rPr>
        <w:t>fins a un màxim de 5 punts</w:t>
      </w:r>
    </w:p>
    <w:p>
      <w:pPr>
        <w:pStyle w:val="Normal"/>
        <w:suppressAutoHyphens w:val="false"/>
        <w:jc w:val="both"/>
        <w:rPr>
          <w:shd w:fill="auto" w:val="clear"/>
        </w:rPr>
      </w:pPr>
      <w:r>
        <w:rPr>
          <w:rFonts w:eastAsia="Times New Roman"/>
          <w:color w:val="000000"/>
          <w:sz w:val="22"/>
          <w:szCs w:val="22"/>
          <w:shd w:fill="auto" w:val="clear"/>
          <w:lang w:eastAsia="es-ES"/>
        </w:rPr>
        <w:t>Les empreses licitadores declararan el seu compromís al model habilitat  (annex  1).</w:t>
      </w:r>
    </w:p>
    <w:p>
      <w:pPr>
        <w:pStyle w:val="Normal"/>
        <w:suppressAutoHyphens w:val="false"/>
        <w:jc w:val="both"/>
        <w:rPr>
          <w:rFonts w:eastAsia="Times New Roman"/>
          <w:color w:val="000000"/>
          <w:sz w:val="22"/>
          <w:szCs w:val="22"/>
          <w:lang w:eastAsia="es-ES"/>
        </w:rPr>
      </w:pPr>
      <w:r>
        <w:rPr>
          <w:rFonts w:eastAsia="Times New Roman"/>
          <w:color w:val="000000"/>
          <w:sz w:val="22"/>
          <w:szCs w:val="22"/>
          <w:lang w:eastAsia="es-ES"/>
        </w:rPr>
      </w:r>
    </w:p>
    <w:p>
      <w:pPr>
        <w:pStyle w:val="Normal"/>
        <w:suppressAutoHyphens w:val="false"/>
        <w:jc w:val="both"/>
        <w:rPr>
          <w:rFonts w:eastAsia="Times New Roman"/>
          <w:color w:val="000000"/>
          <w:sz w:val="22"/>
          <w:szCs w:val="22"/>
          <w:lang w:eastAsia="es-ES"/>
        </w:rPr>
      </w:pPr>
      <w:r>
        <w:rPr>
          <w:rFonts w:eastAsia="Times New Roman"/>
          <w:color w:val="000000"/>
          <w:sz w:val="22"/>
          <w:szCs w:val="22"/>
          <w:lang w:eastAsia="es-ES"/>
        </w:rPr>
        <w:t xml:space="preserve">Es valorarà formació específica destinada als professionals de cuina (cuiner/a i ajudant de cuina), en els àmbits que a continuació es relacionen. </w:t>
      </w:r>
    </w:p>
    <w:p>
      <w:pPr>
        <w:pStyle w:val="Normal"/>
        <w:suppressAutoHyphens w:val="false"/>
        <w:jc w:val="both"/>
        <w:rPr>
          <w:rFonts w:eastAsia="Times New Roman"/>
          <w:color w:val="000000"/>
          <w:sz w:val="22"/>
          <w:szCs w:val="22"/>
          <w:lang w:eastAsia="es-ES"/>
        </w:rPr>
      </w:pPr>
      <w:r>
        <w:rPr>
          <w:rFonts w:eastAsia="Times New Roman"/>
          <w:color w:val="000000"/>
          <w:sz w:val="22"/>
          <w:szCs w:val="22"/>
          <w:lang w:eastAsia="es-ES"/>
        </w:rPr>
      </w:r>
    </w:p>
    <w:p>
      <w:pPr>
        <w:pStyle w:val="Normal"/>
        <w:numPr>
          <w:ilvl w:val="0"/>
          <w:numId w:val="30"/>
        </w:numPr>
        <w:suppressAutoHyphens w:val="false"/>
        <w:spacing w:before="0" w:after="17"/>
        <w:jc w:val="both"/>
        <w:rPr/>
      </w:pPr>
      <w:r>
        <w:rPr>
          <w:rFonts w:eastAsia="Times New Roman"/>
          <w:color w:val="000000"/>
          <w:sz w:val="22"/>
          <w:szCs w:val="22"/>
          <w:lang w:eastAsia="es-ES"/>
        </w:rPr>
        <w:t xml:space="preserve">Hàbits d’alimentació saludable </w:t>
      </w:r>
    </w:p>
    <w:p>
      <w:pPr>
        <w:pStyle w:val="Normal"/>
        <w:numPr>
          <w:ilvl w:val="0"/>
          <w:numId w:val="30"/>
        </w:numPr>
        <w:suppressAutoHyphens w:val="false"/>
        <w:spacing w:before="0" w:after="17"/>
        <w:jc w:val="both"/>
        <w:rPr/>
      </w:pPr>
      <w:r>
        <w:rPr>
          <w:rFonts w:eastAsia="Times New Roman"/>
          <w:color w:val="000000"/>
          <w:sz w:val="22"/>
          <w:szCs w:val="22"/>
          <w:lang w:eastAsia="es-ES"/>
        </w:rPr>
        <w:t xml:space="preserve">Gestió d’al·lèrgies </w:t>
      </w:r>
    </w:p>
    <w:p>
      <w:pPr>
        <w:pStyle w:val="Normal"/>
        <w:numPr>
          <w:ilvl w:val="0"/>
          <w:numId w:val="30"/>
        </w:numPr>
        <w:suppressAutoHyphens w:val="false"/>
        <w:spacing w:before="0" w:after="17"/>
        <w:jc w:val="both"/>
        <w:rPr/>
      </w:pPr>
      <w:r>
        <w:rPr>
          <w:rFonts w:eastAsia="Times New Roman"/>
          <w:color w:val="000000"/>
          <w:sz w:val="22"/>
          <w:szCs w:val="22"/>
          <w:lang w:eastAsia="es-ES"/>
        </w:rPr>
        <w:t xml:space="preserve">Bones pràctiques de manipulació de càrregues i higiene postural </w:t>
      </w:r>
    </w:p>
    <w:p>
      <w:pPr>
        <w:pStyle w:val="Normal"/>
        <w:numPr>
          <w:ilvl w:val="0"/>
          <w:numId w:val="30"/>
        </w:numPr>
        <w:suppressAutoHyphens w:val="false"/>
        <w:spacing w:before="0" w:after="17"/>
        <w:jc w:val="both"/>
        <w:rPr/>
      </w:pPr>
      <w:r>
        <w:rPr>
          <w:rFonts w:eastAsia="Times New Roman"/>
          <w:color w:val="000000"/>
          <w:sz w:val="22"/>
          <w:szCs w:val="22"/>
          <w:lang w:eastAsia="es-ES"/>
        </w:rPr>
        <w:t>Tècniques culinàries i nova alimentació</w:t>
      </w:r>
    </w:p>
    <w:p>
      <w:pPr>
        <w:pStyle w:val="Normal"/>
        <w:numPr>
          <w:ilvl w:val="0"/>
          <w:numId w:val="30"/>
        </w:numPr>
        <w:suppressAutoHyphens w:val="false"/>
        <w:spacing w:before="0" w:after="17"/>
        <w:jc w:val="both"/>
        <w:rPr/>
      </w:pPr>
      <w:r>
        <w:rPr>
          <w:sz w:val="22"/>
        </w:rPr>
        <w:t>Origen</w:t>
      </w:r>
      <w:r>
        <w:rPr>
          <w:spacing w:val="-4"/>
          <w:sz w:val="22"/>
        </w:rPr>
        <w:t xml:space="preserve"> </w:t>
      </w:r>
      <w:r>
        <w:rPr>
          <w:sz w:val="22"/>
        </w:rPr>
        <w:t>i</w:t>
      </w:r>
      <w:r>
        <w:rPr>
          <w:spacing w:val="-5"/>
          <w:sz w:val="22"/>
        </w:rPr>
        <w:t xml:space="preserve"> </w:t>
      </w:r>
      <w:r>
        <w:rPr>
          <w:sz w:val="22"/>
        </w:rPr>
        <w:t>qualitat</w:t>
      </w:r>
      <w:r>
        <w:rPr>
          <w:spacing w:val="-2"/>
          <w:sz w:val="22"/>
        </w:rPr>
        <w:t xml:space="preserve"> </w:t>
      </w:r>
      <w:r>
        <w:rPr>
          <w:sz w:val="22"/>
        </w:rPr>
        <w:t>ambiental</w:t>
      </w:r>
      <w:r>
        <w:rPr>
          <w:spacing w:val="-3"/>
          <w:sz w:val="22"/>
        </w:rPr>
        <w:t xml:space="preserve"> </w:t>
      </w:r>
      <w:r>
        <w:rPr>
          <w:sz w:val="22"/>
        </w:rPr>
        <w:t>dels</w:t>
      </w:r>
      <w:r>
        <w:rPr>
          <w:spacing w:val="-3"/>
          <w:sz w:val="22"/>
        </w:rPr>
        <w:t xml:space="preserve"> </w:t>
      </w:r>
      <w:r>
        <w:rPr>
          <w:spacing w:val="-2"/>
          <w:sz w:val="22"/>
        </w:rPr>
        <w:t>aliments</w:t>
      </w:r>
    </w:p>
    <w:p>
      <w:pPr>
        <w:pStyle w:val="Normal"/>
        <w:numPr>
          <w:ilvl w:val="0"/>
          <w:numId w:val="30"/>
        </w:numPr>
        <w:suppressAutoHyphens w:val="false"/>
        <w:spacing w:before="0" w:after="17"/>
        <w:jc w:val="both"/>
        <w:rPr/>
      </w:pPr>
      <w:r>
        <w:rPr>
          <w:sz w:val="22"/>
        </w:rPr>
        <w:t>Maquinària</w:t>
      </w:r>
      <w:r>
        <w:rPr>
          <w:spacing w:val="-6"/>
          <w:sz w:val="22"/>
        </w:rPr>
        <w:t xml:space="preserve"> </w:t>
      </w:r>
      <w:r>
        <w:rPr>
          <w:sz w:val="22"/>
        </w:rPr>
        <w:t>eficient,</w:t>
      </w:r>
      <w:r>
        <w:rPr>
          <w:spacing w:val="-5"/>
          <w:sz w:val="22"/>
        </w:rPr>
        <w:t xml:space="preserve"> </w:t>
      </w:r>
      <w:r>
        <w:rPr>
          <w:sz w:val="22"/>
        </w:rPr>
        <w:t>estalvi</w:t>
      </w:r>
      <w:r>
        <w:rPr>
          <w:spacing w:val="-4"/>
          <w:sz w:val="22"/>
        </w:rPr>
        <w:t xml:space="preserve"> </w:t>
      </w:r>
      <w:r>
        <w:rPr>
          <w:sz w:val="22"/>
        </w:rPr>
        <w:t>energètic</w:t>
      </w:r>
      <w:r>
        <w:rPr>
          <w:spacing w:val="-6"/>
          <w:sz w:val="22"/>
        </w:rPr>
        <w:t xml:space="preserve"> </w:t>
      </w:r>
      <w:r>
        <w:rPr>
          <w:sz w:val="22"/>
        </w:rPr>
        <w:t>i</w:t>
      </w:r>
      <w:r>
        <w:rPr>
          <w:spacing w:val="-6"/>
          <w:sz w:val="22"/>
        </w:rPr>
        <w:t xml:space="preserve"> </w:t>
      </w:r>
      <w:r>
        <w:rPr>
          <w:sz w:val="22"/>
        </w:rPr>
        <w:t>consum</w:t>
      </w:r>
      <w:r>
        <w:rPr>
          <w:spacing w:val="-5"/>
          <w:sz w:val="22"/>
        </w:rPr>
        <w:t xml:space="preserve"> </w:t>
      </w:r>
      <w:r>
        <w:rPr>
          <w:sz w:val="22"/>
        </w:rPr>
        <w:t>responsable</w:t>
      </w:r>
      <w:r>
        <w:rPr>
          <w:spacing w:val="-3"/>
          <w:sz w:val="22"/>
        </w:rPr>
        <w:t xml:space="preserve"> </w:t>
      </w:r>
      <w:r>
        <w:rPr>
          <w:spacing w:val="-2"/>
          <w:sz w:val="22"/>
        </w:rPr>
        <w:t>d'aigua</w:t>
      </w:r>
    </w:p>
    <w:p>
      <w:pPr>
        <w:pStyle w:val="Normal"/>
        <w:numPr>
          <w:ilvl w:val="0"/>
          <w:numId w:val="30"/>
        </w:numPr>
        <w:suppressAutoHyphens w:val="false"/>
        <w:spacing w:before="0" w:after="17"/>
        <w:jc w:val="both"/>
        <w:rPr>
          <w:rFonts w:eastAsia="Times New Roman"/>
          <w:color w:val="000000"/>
          <w:sz w:val="22"/>
          <w:szCs w:val="22"/>
          <w:lang w:eastAsia="es-ES"/>
        </w:rPr>
      </w:pPr>
      <w:r>
        <w:rPr>
          <w:sz w:val="22"/>
        </w:rPr>
        <w:t>Neteja</w:t>
      </w:r>
      <w:r>
        <w:rPr>
          <w:spacing w:val="-4"/>
          <w:sz w:val="22"/>
        </w:rPr>
        <w:t xml:space="preserve"> </w:t>
      </w:r>
      <w:r>
        <w:rPr>
          <w:sz w:val="22"/>
        </w:rPr>
        <w:t>de</w:t>
      </w:r>
      <w:r>
        <w:rPr>
          <w:spacing w:val="-4"/>
          <w:sz w:val="22"/>
        </w:rPr>
        <w:t xml:space="preserve"> </w:t>
      </w:r>
      <w:r>
        <w:rPr>
          <w:sz w:val="22"/>
        </w:rPr>
        <w:t>les</w:t>
      </w:r>
      <w:r>
        <w:rPr>
          <w:spacing w:val="-4"/>
          <w:sz w:val="22"/>
        </w:rPr>
        <w:t xml:space="preserve"> </w:t>
      </w:r>
      <w:r>
        <w:rPr>
          <w:sz w:val="22"/>
        </w:rPr>
        <w:t>instal·lacions,</w:t>
      </w:r>
      <w:r>
        <w:rPr>
          <w:spacing w:val="-1"/>
          <w:sz w:val="22"/>
        </w:rPr>
        <w:t xml:space="preserve"> </w:t>
      </w:r>
      <w:r>
        <w:rPr>
          <w:sz w:val="22"/>
        </w:rPr>
        <w:t>gestió</w:t>
      </w:r>
      <w:r>
        <w:rPr>
          <w:spacing w:val="-4"/>
          <w:sz w:val="22"/>
        </w:rPr>
        <w:t xml:space="preserve"> </w:t>
      </w:r>
      <w:r>
        <w:rPr>
          <w:sz w:val="22"/>
        </w:rPr>
        <w:t>i</w:t>
      </w:r>
      <w:r>
        <w:rPr>
          <w:spacing w:val="-5"/>
          <w:sz w:val="22"/>
        </w:rPr>
        <w:t xml:space="preserve"> </w:t>
      </w:r>
      <w:r>
        <w:rPr>
          <w:sz w:val="22"/>
        </w:rPr>
        <w:t>prevenció</w:t>
      </w:r>
      <w:r>
        <w:rPr>
          <w:spacing w:val="-4"/>
          <w:sz w:val="22"/>
        </w:rPr>
        <w:t xml:space="preserve"> </w:t>
      </w:r>
      <w:r>
        <w:rPr>
          <w:sz w:val="22"/>
        </w:rPr>
        <w:t>de</w:t>
      </w:r>
      <w:r>
        <w:rPr>
          <w:spacing w:val="-3"/>
          <w:sz w:val="22"/>
        </w:rPr>
        <w:t xml:space="preserve"> </w:t>
      </w:r>
      <w:r>
        <w:rPr>
          <w:spacing w:val="-2"/>
          <w:sz w:val="22"/>
        </w:rPr>
        <w:t>residus:</w:t>
      </w:r>
    </w:p>
    <w:p>
      <w:pPr>
        <w:pStyle w:val="ListParagraph"/>
        <w:numPr>
          <w:ilvl w:val="2"/>
          <w:numId w:val="4"/>
        </w:numPr>
        <w:tabs>
          <w:tab w:val="clear" w:pos="720"/>
          <w:tab w:val="left" w:pos="906" w:leader="none"/>
        </w:tabs>
        <w:spacing w:lineRule="auto" w:line="240" w:before="17" w:after="0"/>
        <w:ind w:left="906" w:right="0" w:hanging="358"/>
        <w:contextualSpacing/>
        <w:jc w:val="left"/>
        <w:rPr>
          <w:rFonts w:ascii="Arial" w:hAnsi="Arial"/>
        </w:rPr>
      </w:pPr>
      <w:r>
        <w:rPr>
          <w:rFonts w:ascii="Arial" w:hAnsi="Arial"/>
          <w:sz w:val="22"/>
        </w:rPr>
        <w:t>L'eficiència</w:t>
      </w:r>
      <w:r>
        <w:rPr>
          <w:rFonts w:ascii="Arial" w:hAnsi="Arial"/>
          <w:spacing w:val="-6"/>
          <w:sz w:val="22"/>
        </w:rPr>
        <w:t xml:space="preserve"> </w:t>
      </w:r>
      <w:r>
        <w:rPr>
          <w:rFonts w:ascii="Arial" w:hAnsi="Arial"/>
          <w:sz w:val="22"/>
        </w:rPr>
        <w:t>del</w:t>
      </w:r>
      <w:r>
        <w:rPr>
          <w:rFonts w:ascii="Arial" w:hAnsi="Arial"/>
          <w:spacing w:val="-6"/>
          <w:sz w:val="22"/>
        </w:rPr>
        <w:t xml:space="preserve"> </w:t>
      </w:r>
      <w:r>
        <w:rPr>
          <w:rFonts w:ascii="Arial" w:hAnsi="Arial"/>
          <w:sz w:val="22"/>
        </w:rPr>
        <w:t>consum</w:t>
      </w:r>
      <w:r>
        <w:rPr>
          <w:rFonts w:ascii="Arial" w:hAnsi="Arial"/>
          <w:spacing w:val="-4"/>
          <w:sz w:val="22"/>
        </w:rPr>
        <w:t xml:space="preserve"> </w:t>
      </w:r>
      <w:r>
        <w:rPr>
          <w:rFonts w:ascii="Arial" w:hAnsi="Arial"/>
          <w:sz w:val="22"/>
        </w:rPr>
        <w:t>de</w:t>
      </w:r>
      <w:r>
        <w:rPr>
          <w:rFonts w:ascii="Arial" w:hAnsi="Arial"/>
          <w:spacing w:val="-5"/>
          <w:sz w:val="22"/>
        </w:rPr>
        <w:t xml:space="preserve"> </w:t>
      </w:r>
      <w:r>
        <w:rPr>
          <w:rFonts w:ascii="Arial" w:hAnsi="Arial"/>
          <w:sz w:val="22"/>
        </w:rPr>
        <w:t>productes</w:t>
      </w:r>
      <w:r>
        <w:rPr>
          <w:rFonts w:ascii="Arial" w:hAnsi="Arial"/>
          <w:spacing w:val="-5"/>
          <w:sz w:val="22"/>
        </w:rPr>
        <w:t xml:space="preserve"> </w:t>
      </w:r>
      <w:r>
        <w:rPr>
          <w:rFonts w:ascii="Arial" w:hAnsi="Arial"/>
          <w:sz w:val="22"/>
        </w:rPr>
        <w:t>(transvasament</w:t>
      </w:r>
      <w:r>
        <w:rPr>
          <w:rFonts w:ascii="Arial" w:hAnsi="Arial"/>
          <w:spacing w:val="-5"/>
          <w:sz w:val="22"/>
        </w:rPr>
        <w:t xml:space="preserve"> </w:t>
      </w:r>
      <w:r>
        <w:rPr>
          <w:rFonts w:ascii="Arial" w:hAnsi="Arial"/>
          <w:sz w:val="22"/>
        </w:rPr>
        <w:t>i</w:t>
      </w:r>
      <w:r>
        <w:rPr>
          <w:rFonts w:ascii="Arial" w:hAnsi="Arial"/>
          <w:spacing w:val="-6"/>
          <w:sz w:val="22"/>
        </w:rPr>
        <w:t xml:space="preserve"> </w:t>
      </w:r>
      <w:r>
        <w:rPr>
          <w:rFonts w:ascii="Arial" w:hAnsi="Arial"/>
          <w:sz w:val="22"/>
        </w:rPr>
        <w:t>dosificació</w:t>
      </w:r>
      <w:r>
        <w:rPr>
          <w:rFonts w:ascii="Arial" w:hAnsi="Arial"/>
          <w:spacing w:val="-2"/>
          <w:sz w:val="22"/>
        </w:rPr>
        <w:t xml:space="preserve"> </w:t>
      </w:r>
      <w:r>
        <w:rPr>
          <w:rFonts w:ascii="Arial" w:hAnsi="Arial"/>
          <w:sz w:val="22"/>
        </w:rPr>
        <w:t>de</w:t>
      </w:r>
      <w:r>
        <w:rPr>
          <w:rFonts w:ascii="Arial" w:hAnsi="Arial"/>
          <w:spacing w:val="-6"/>
          <w:sz w:val="22"/>
        </w:rPr>
        <w:t xml:space="preserve"> </w:t>
      </w:r>
      <w:r>
        <w:rPr>
          <w:rFonts w:ascii="Arial" w:hAnsi="Arial"/>
          <w:spacing w:val="-2"/>
          <w:sz w:val="22"/>
        </w:rPr>
        <w:t>productes)</w:t>
      </w:r>
    </w:p>
    <w:p>
      <w:pPr>
        <w:pStyle w:val="ListParagraph"/>
        <w:numPr>
          <w:ilvl w:val="2"/>
          <w:numId w:val="4"/>
        </w:numPr>
        <w:tabs>
          <w:tab w:val="clear" w:pos="720"/>
          <w:tab w:val="left" w:pos="906" w:leader="none"/>
        </w:tabs>
        <w:spacing w:lineRule="auto" w:line="240" w:before="17" w:after="0"/>
        <w:ind w:left="906" w:right="0" w:hanging="358"/>
        <w:contextualSpacing/>
        <w:jc w:val="left"/>
        <w:rPr>
          <w:rFonts w:ascii="Arial" w:hAnsi="Arial"/>
        </w:rPr>
      </w:pPr>
      <w:r>
        <w:rPr>
          <w:rFonts w:ascii="Arial" w:hAnsi="Arial"/>
          <w:sz w:val="22"/>
        </w:rPr>
        <w:t>El</w:t>
      </w:r>
      <w:r>
        <w:rPr>
          <w:rFonts w:ascii="Arial" w:hAnsi="Arial"/>
          <w:spacing w:val="-6"/>
          <w:sz w:val="22"/>
        </w:rPr>
        <w:t xml:space="preserve"> </w:t>
      </w:r>
      <w:r>
        <w:rPr>
          <w:rFonts w:ascii="Arial" w:hAnsi="Arial"/>
          <w:sz w:val="22"/>
        </w:rPr>
        <w:t>correcte</w:t>
      </w:r>
      <w:r>
        <w:rPr>
          <w:rFonts w:ascii="Arial" w:hAnsi="Arial"/>
          <w:spacing w:val="-3"/>
          <w:sz w:val="22"/>
        </w:rPr>
        <w:t xml:space="preserve"> </w:t>
      </w:r>
      <w:r>
        <w:rPr>
          <w:rFonts w:ascii="Arial" w:hAnsi="Arial"/>
          <w:sz w:val="22"/>
        </w:rPr>
        <w:t>ús</w:t>
      </w:r>
      <w:r>
        <w:rPr>
          <w:rFonts w:ascii="Arial" w:hAnsi="Arial"/>
          <w:spacing w:val="-3"/>
          <w:sz w:val="22"/>
        </w:rPr>
        <w:t xml:space="preserve"> </w:t>
      </w:r>
      <w:r>
        <w:rPr>
          <w:rFonts w:ascii="Arial" w:hAnsi="Arial"/>
          <w:sz w:val="22"/>
        </w:rPr>
        <w:t>dels</w:t>
      </w:r>
      <w:r>
        <w:rPr>
          <w:rFonts w:ascii="Arial" w:hAnsi="Arial"/>
          <w:spacing w:val="-3"/>
          <w:sz w:val="22"/>
        </w:rPr>
        <w:t xml:space="preserve"> </w:t>
      </w:r>
      <w:r>
        <w:rPr>
          <w:rFonts w:ascii="Arial" w:hAnsi="Arial"/>
          <w:sz w:val="22"/>
        </w:rPr>
        <w:t>productes</w:t>
      </w:r>
      <w:r>
        <w:rPr>
          <w:rFonts w:ascii="Arial" w:hAnsi="Arial"/>
          <w:spacing w:val="-3"/>
          <w:sz w:val="22"/>
        </w:rPr>
        <w:t xml:space="preserve"> </w:t>
      </w:r>
      <w:r>
        <w:rPr>
          <w:rFonts w:ascii="Arial" w:hAnsi="Arial"/>
          <w:sz w:val="22"/>
        </w:rPr>
        <w:t>per</w:t>
      </w:r>
      <w:r>
        <w:rPr>
          <w:rFonts w:ascii="Arial" w:hAnsi="Arial"/>
          <w:spacing w:val="-4"/>
          <w:sz w:val="22"/>
        </w:rPr>
        <w:t xml:space="preserve"> </w:t>
      </w:r>
      <w:r>
        <w:rPr>
          <w:rFonts w:ascii="Arial" w:hAnsi="Arial"/>
          <w:sz w:val="22"/>
        </w:rPr>
        <w:t>a</w:t>
      </w:r>
      <w:r>
        <w:rPr>
          <w:rFonts w:ascii="Arial" w:hAnsi="Arial"/>
          <w:spacing w:val="-3"/>
          <w:sz w:val="22"/>
        </w:rPr>
        <w:t xml:space="preserve"> </w:t>
      </w:r>
      <w:r>
        <w:rPr>
          <w:rFonts w:ascii="Arial" w:hAnsi="Arial"/>
          <w:sz w:val="22"/>
        </w:rPr>
        <w:t>cadascuna</w:t>
      </w:r>
      <w:r>
        <w:rPr>
          <w:rFonts w:ascii="Arial" w:hAnsi="Arial"/>
          <w:spacing w:val="-1"/>
          <w:sz w:val="22"/>
        </w:rPr>
        <w:t xml:space="preserve"> </w:t>
      </w:r>
      <w:r>
        <w:rPr>
          <w:rFonts w:ascii="Arial" w:hAnsi="Arial"/>
          <w:sz w:val="22"/>
        </w:rPr>
        <w:t>de</w:t>
      </w:r>
      <w:r>
        <w:rPr>
          <w:rFonts w:ascii="Arial" w:hAnsi="Arial"/>
          <w:spacing w:val="-3"/>
          <w:sz w:val="22"/>
        </w:rPr>
        <w:t xml:space="preserve"> </w:t>
      </w:r>
      <w:r>
        <w:rPr>
          <w:rFonts w:ascii="Arial" w:hAnsi="Arial"/>
          <w:sz w:val="22"/>
        </w:rPr>
        <w:t>les</w:t>
      </w:r>
      <w:r>
        <w:rPr>
          <w:rFonts w:ascii="Arial" w:hAnsi="Arial"/>
          <w:spacing w:val="-3"/>
          <w:sz w:val="22"/>
        </w:rPr>
        <w:t xml:space="preserve"> </w:t>
      </w:r>
      <w:r>
        <w:rPr>
          <w:rFonts w:ascii="Arial" w:hAnsi="Arial"/>
          <w:sz w:val="22"/>
        </w:rPr>
        <w:t>tasques</w:t>
      </w:r>
      <w:r>
        <w:rPr>
          <w:rFonts w:ascii="Arial" w:hAnsi="Arial"/>
          <w:spacing w:val="-3"/>
          <w:sz w:val="22"/>
        </w:rPr>
        <w:t xml:space="preserve"> </w:t>
      </w:r>
      <w:r>
        <w:rPr>
          <w:rFonts w:ascii="Arial" w:hAnsi="Arial"/>
          <w:sz w:val="22"/>
        </w:rPr>
        <w:t>de</w:t>
      </w:r>
      <w:r>
        <w:rPr>
          <w:rFonts w:ascii="Arial" w:hAnsi="Arial"/>
          <w:spacing w:val="-2"/>
          <w:sz w:val="22"/>
        </w:rPr>
        <w:t xml:space="preserve"> neteja</w:t>
      </w:r>
    </w:p>
    <w:p>
      <w:pPr>
        <w:pStyle w:val="ListParagraph"/>
        <w:numPr>
          <w:ilvl w:val="2"/>
          <w:numId w:val="4"/>
        </w:numPr>
        <w:tabs>
          <w:tab w:val="clear" w:pos="720"/>
          <w:tab w:val="left" w:pos="906" w:leader="none"/>
        </w:tabs>
        <w:spacing w:lineRule="auto" w:line="240" w:before="17" w:after="0"/>
        <w:ind w:left="906" w:right="0" w:hanging="358"/>
        <w:contextualSpacing/>
        <w:jc w:val="left"/>
        <w:rPr>
          <w:rFonts w:ascii="Arial" w:hAnsi="Arial"/>
        </w:rPr>
      </w:pPr>
      <w:r>
        <w:rPr>
          <w:rFonts w:ascii="Arial" w:hAnsi="Arial"/>
          <w:sz w:val="22"/>
        </w:rPr>
        <w:t>Les</w:t>
      </w:r>
      <w:r>
        <w:rPr>
          <w:rFonts w:ascii="Arial" w:hAnsi="Arial"/>
          <w:spacing w:val="-6"/>
          <w:sz w:val="22"/>
        </w:rPr>
        <w:t xml:space="preserve"> </w:t>
      </w:r>
      <w:r>
        <w:rPr>
          <w:rFonts w:ascii="Arial" w:hAnsi="Arial"/>
          <w:sz w:val="22"/>
        </w:rPr>
        <w:t>bones</w:t>
      </w:r>
      <w:r>
        <w:rPr>
          <w:rFonts w:ascii="Arial" w:hAnsi="Arial"/>
          <w:spacing w:val="-3"/>
          <w:sz w:val="22"/>
        </w:rPr>
        <w:t xml:space="preserve"> </w:t>
      </w:r>
      <w:r>
        <w:rPr>
          <w:rFonts w:ascii="Arial" w:hAnsi="Arial"/>
          <w:sz w:val="22"/>
        </w:rPr>
        <w:t>pràctiques</w:t>
      </w:r>
      <w:r>
        <w:rPr>
          <w:rFonts w:ascii="Arial" w:hAnsi="Arial"/>
          <w:spacing w:val="-4"/>
          <w:sz w:val="22"/>
        </w:rPr>
        <w:t xml:space="preserve"> </w:t>
      </w:r>
      <w:r>
        <w:rPr>
          <w:rFonts w:ascii="Arial" w:hAnsi="Arial"/>
          <w:sz w:val="22"/>
        </w:rPr>
        <w:t>de</w:t>
      </w:r>
      <w:r>
        <w:rPr>
          <w:rFonts w:ascii="Arial" w:hAnsi="Arial"/>
          <w:spacing w:val="-3"/>
          <w:sz w:val="22"/>
        </w:rPr>
        <w:t xml:space="preserve"> </w:t>
      </w:r>
      <w:r>
        <w:rPr>
          <w:rFonts w:ascii="Arial" w:hAnsi="Arial"/>
          <w:sz w:val="22"/>
        </w:rPr>
        <w:t>prevenció</w:t>
      </w:r>
      <w:r>
        <w:rPr>
          <w:rFonts w:ascii="Arial" w:hAnsi="Arial"/>
          <w:spacing w:val="-4"/>
          <w:sz w:val="22"/>
        </w:rPr>
        <w:t xml:space="preserve"> </w:t>
      </w:r>
      <w:r>
        <w:rPr>
          <w:rFonts w:ascii="Arial" w:hAnsi="Arial"/>
          <w:sz w:val="22"/>
        </w:rPr>
        <w:t>i</w:t>
      </w:r>
      <w:r>
        <w:rPr>
          <w:rFonts w:ascii="Arial" w:hAnsi="Arial"/>
          <w:spacing w:val="-4"/>
          <w:sz w:val="22"/>
        </w:rPr>
        <w:t xml:space="preserve"> </w:t>
      </w:r>
      <w:r>
        <w:rPr>
          <w:rFonts w:ascii="Arial" w:hAnsi="Arial"/>
          <w:sz w:val="22"/>
        </w:rPr>
        <w:t>gestió</w:t>
      </w:r>
      <w:r>
        <w:rPr>
          <w:rFonts w:ascii="Arial" w:hAnsi="Arial"/>
          <w:spacing w:val="-2"/>
          <w:sz w:val="22"/>
        </w:rPr>
        <w:t xml:space="preserve"> </w:t>
      </w:r>
      <w:r>
        <w:rPr>
          <w:rFonts w:ascii="Arial" w:hAnsi="Arial"/>
          <w:sz w:val="22"/>
        </w:rPr>
        <w:t>de</w:t>
      </w:r>
      <w:r>
        <w:rPr>
          <w:rFonts w:ascii="Arial" w:hAnsi="Arial"/>
          <w:spacing w:val="-5"/>
          <w:sz w:val="22"/>
        </w:rPr>
        <w:t xml:space="preserve"> </w:t>
      </w:r>
      <w:r>
        <w:rPr>
          <w:rFonts w:ascii="Arial" w:hAnsi="Arial"/>
          <w:sz w:val="22"/>
        </w:rPr>
        <w:t>residus</w:t>
      </w:r>
      <w:r>
        <w:rPr>
          <w:rFonts w:ascii="Arial" w:hAnsi="Arial"/>
          <w:spacing w:val="-1"/>
          <w:sz w:val="22"/>
        </w:rPr>
        <w:t xml:space="preserve"> </w:t>
      </w:r>
      <w:r>
        <w:rPr>
          <w:rFonts w:ascii="Arial" w:hAnsi="Arial"/>
          <w:spacing w:val="-2"/>
          <w:sz w:val="22"/>
        </w:rPr>
        <w:t>propis</w:t>
      </w:r>
    </w:p>
    <w:p>
      <w:pPr>
        <w:pStyle w:val="ListParagraph"/>
        <w:numPr>
          <w:ilvl w:val="2"/>
          <w:numId w:val="4"/>
        </w:numPr>
        <w:tabs>
          <w:tab w:val="clear" w:pos="720"/>
          <w:tab w:val="left" w:pos="906" w:leader="none"/>
        </w:tabs>
        <w:suppressAutoHyphens w:val="false"/>
        <w:spacing w:lineRule="auto" w:line="240" w:before="17" w:after="0"/>
        <w:ind w:left="906" w:right="0" w:hanging="358"/>
        <w:contextualSpacing/>
        <w:jc w:val="left"/>
        <w:rPr>
          <w:rFonts w:ascii="Arial" w:hAnsi="Arial"/>
        </w:rPr>
      </w:pPr>
      <w:r>
        <w:rPr>
          <w:rFonts w:eastAsia="Times New Roman" w:ascii="Arial" w:hAnsi="Arial"/>
          <w:color w:val="000000"/>
          <w:sz w:val="22"/>
          <w:szCs w:val="22"/>
          <w:lang w:eastAsia="es-ES"/>
        </w:rPr>
        <w:t>La</w:t>
      </w:r>
      <w:r>
        <w:rPr>
          <w:rFonts w:eastAsia="Times New Roman" w:ascii="Arial" w:hAnsi="Arial"/>
          <w:color w:val="000000"/>
          <w:spacing w:val="-5"/>
          <w:sz w:val="22"/>
          <w:szCs w:val="22"/>
          <w:lang w:eastAsia="es-ES"/>
        </w:rPr>
        <w:t xml:space="preserve"> </w:t>
      </w:r>
      <w:r>
        <w:rPr>
          <w:rFonts w:eastAsia="Times New Roman" w:ascii="Arial" w:hAnsi="Arial"/>
          <w:color w:val="000000"/>
          <w:sz w:val="22"/>
          <w:szCs w:val="22"/>
          <w:lang w:eastAsia="es-ES"/>
        </w:rPr>
        <w:t>correcta</w:t>
      </w:r>
      <w:r>
        <w:rPr>
          <w:rFonts w:eastAsia="Times New Roman" w:ascii="Arial" w:hAnsi="Arial"/>
          <w:color w:val="000000"/>
          <w:spacing w:val="-4"/>
          <w:sz w:val="22"/>
          <w:szCs w:val="22"/>
          <w:lang w:eastAsia="es-ES"/>
        </w:rPr>
        <w:t xml:space="preserve"> </w:t>
      </w:r>
      <w:r>
        <w:rPr>
          <w:rFonts w:eastAsia="Times New Roman" w:ascii="Arial" w:hAnsi="Arial"/>
          <w:color w:val="000000"/>
          <w:sz w:val="22"/>
          <w:szCs w:val="22"/>
          <w:lang w:eastAsia="es-ES"/>
        </w:rPr>
        <w:t>retirada</w:t>
      </w:r>
      <w:r>
        <w:rPr>
          <w:rFonts w:eastAsia="Times New Roman" w:ascii="Arial" w:hAnsi="Arial"/>
          <w:color w:val="000000"/>
          <w:spacing w:val="-4"/>
          <w:sz w:val="22"/>
          <w:szCs w:val="22"/>
          <w:lang w:eastAsia="es-ES"/>
        </w:rPr>
        <w:t xml:space="preserve"> </w:t>
      </w:r>
      <w:r>
        <w:rPr>
          <w:rFonts w:eastAsia="Times New Roman" w:ascii="Arial" w:hAnsi="Arial"/>
          <w:color w:val="000000"/>
          <w:sz w:val="22"/>
          <w:szCs w:val="22"/>
          <w:lang w:eastAsia="es-ES"/>
        </w:rPr>
        <w:t>de</w:t>
      </w:r>
      <w:r>
        <w:rPr>
          <w:rFonts w:eastAsia="Times New Roman" w:ascii="Arial" w:hAnsi="Arial"/>
          <w:color w:val="000000"/>
          <w:spacing w:val="-4"/>
          <w:sz w:val="22"/>
          <w:szCs w:val="22"/>
          <w:lang w:eastAsia="es-ES"/>
        </w:rPr>
        <w:t xml:space="preserve"> </w:t>
      </w:r>
      <w:r>
        <w:rPr>
          <w:rFonts w:eastAsia="Times New Roman" w:ascii="Arial" w:hAnsi="Arial"/>
          <w:color w:val="000000"/>
          <w:sz w:val="22"/>
          <w:szCs w:val="22"/>
          <w:lang w:eastAsia="es-ES"/>
        </w:rPr>
        <w:t>residus</w:t>
      </w:r>
      <w:r>
        <w:rPr>
          <w:rFonts w:eastAsia="Times New Roman" w:ascii="Arial" w:hAnsi="Arial"/>
          <w:color w:val="000000"/>
          <w:spacing w:val="-4"/>
          <w:sz w:val="22"/>
          <w:szCs w:val="22"/>
          <w:lang w:eastAsia="es-ES"/>
        </w:rPr>
        <w:t xml:space="preserve"> </w:t>
      </w:r>
      <w:r>
        <w:rPr>
          <w:rFonts w:eastAsia="Times New Roman" w:ascii="Arial" w:hAnsi="Arial"/>
          <w:color w:val="000000"/>
          <w:sz w:val="22"/>
          <w:szCs w:val="22"/>
          <w:lang w:eastAsia="es-ES"/>
        </w:rPr>
        <w:t>recollits</w:t>
      </w:r>
      <w:r>
        <w:rPr>
          <w:rFonts w:eastAsia="Times New Roman" w:ascii="Arial" w:hAnsi="Arial"/>
          <w:color w:val="000000"/>
          <w:spacing w:val="-2"/>
          <w:sz w:val="22"/>
          <w:szCs w:val="22"/>
          <w:lang w:eastAsia="es-ES"/>
        </w:rPr>
        <w:t xml:space="preserve"> selectivament.</w:t>
      </w:r>
    </w:p>
    <w:p>
      <w:pPr>
        <w:pStyle w:val="Normal"/>
        <w:suppressAutoHyphens w:val="false"/>
        <w:jc w:val="both"/>
        <w:rPr>
          <w:rFonts w:eastAsia="Times New Roman"/>
          <w:color w:val="000000"/>
          <w:sz w:val="22"/>
          <w:szCs w:val="22"/>
          <w:lang w:eastAsia="es-ES"/>
        </w:rPr>
      </w:pPr>
      <w:r>
        <w:rPr>
          <w:rFonts w:eastAsia="Times New Roman"/>
          <w:color w:val="000000"/>
          <w:sz w:val="22"/>
          <w:szCs w:val="22"/>
          <w:lang w:eastAsia="es-ES"/>
        </w:rPr>
      </w:r>
    </w:p>
    <w:p>
      <w:pPr>
        <w:pStyle w:val="Normal"/>
        <w:suppressLineNumbers/>
        <w:suppressAutoHyphens w:val="false"/>
        <w:jc w:val="both"/>
        <w:rPr>
          <w:rFonts w:eastAsia="Times New Roman"/>
          <w:color w:val="000000"/>
          <w:sz w:val="22"/>
          <w:szCs w:val="22"/>
          <w:lang w:eastAsia="es-ES"/>
        </w:rPr>
      </w:pPr>
      <w:r>
        <w:rPr>
          <w:rFonts w:eastAsia="Times New Roman"/>
          <w:color w:val="000000"/>
          <w:sz w:val="22"/>
          <w:szCs w:val="22"/>
          <w:lang w:eastAsia="es-ES"/>
        </w:rPr>
        <w:t xml:space="preserve">La formació específica ha de ser complementària a les hores anuals de reciclatge i formació continua que a cada treballador correspon d'acord amb el conveni col·lectiu d'aplicació. </w:t>
      </w:r>
    </w:p>
    <w:p>
      <w:pPr>
        <w:pStyle w:val="Normal"/>
        <w:suppressAutoHyphens w:val="false"/>
        <w:jc w:val="both"/>
        <w:rPr>
          <w:rFonts w:eastAsia="Times New Roman"/>
          <w:color w:val="000000"/>
          <w:sz w:val="22"/>
          <w:szCs w:val="22"/>
          <w:lang w:eastAsia="es-ES"/>
        </w:rPr>
      </w:pPr>
      <w:r>
        <w:rPr>
          <w:rFonts w:eastAsia="Times New Roman"/>
          <w:color w:val="000000"/>
          <w:sz w:val="22"/>
          <w:szCs w:val="22"/>
          <w:lang w:eastAsia="es-ES"/>
        </w:rPr>
      </w:r>
    </w:p>
    <w:p>
      <w:pPr>
        <w:pStyle w:val="Normal"/>
        <w:jc w:val="both"/>
        <w:rPr>
          <w:rFonts w:eastAsia="SimSun"/>
          <w:b/>
          <w:b/>
          <w:sz w:val="22"/>
          <w:szCs w:val="22"/>
        </w:rPr>
      </w:pPr>
      <w:r>
        <w:rPr>
          <w:rFonts w:eastAsia="Times New Roman"/>
          <w:color w:val="000000"/>
          <w:sz w:val="22"/>
          <w:szCs w:val="22"/>
          <w:lang w:eastAsia="es-ES"/>
        </w:rPr>
        <w:t>S'atorgarà un màxim de 5 punts repartits en:</w:t>
      </w:r>
    </w:p>
    <w:p>
      <w:pPr>
        <w:pStyle w:val="Normal"/>
        <w:suppressAutoHyphens w:val="false"/>
        <w:jc w:val="both"/>
        <w:rPr>
          <w:rFonts w:ascii="Courier New" w:hAnsi="Courier New" w:eastAsia="Times New Roman" w:cs="Courier New"/>
          <w:color w:val="000000"/>
          <w:sz w:val="24"/>
          <w:szCs w:val="24"/>
          <w:lang w:eastAsia="es-ES"/>
        </w:rPr>
      </w:pPr>
      <w:r>
        <w:rPr>
          <w:rFonts w:eastAsia="Times New Roman" w:cs="Courier New" w:ascii="Courier New" w:hAnsi="Courier New"/>
          <w:color w:val="000000"/>
          <w:sz w:val="24"/>
          <w:szCs w:val="24"/>
          <w:lang w:eastAsia="es-ES"/>
        </w:rPr>
      </w:r>
    </w:p>
    <w:p>
      <w:pPr>
        <w:pStyle w:val="Normal"/>
        <w:suppressAutoHyphens w:val="false"/>
        <w:jc w:val="both"/>
        <w:rPr>
          <w:rFonts w:eastAsia="Times New Roman"/>
          <w:color w:val="000000"/>
          <w:sz w:val="22"/>
          <w:szCs w:val="22"/>
          <w:lang w:eastAsia="es-ES"/>
        </w:rPr>
      </w:pPr>
      <w:r>
        <w:rPr>
          <w:rFonts w:eastAsia="Times New Roman" w:cs="Courier New" w:ascii="Courier New" w:hAnsi="Courier New"/>
          <w:color w:val="000000"/>
          <w:sz w:val="22"/>
          <w:szCs w:val="22"/>
          <w:lang w:eastAsia="es-ES"/>
        </w:rPr>
        <w:t xml:space="preserve">- </w:t>
      </w:r>
      <w:r>
        <w:rPr>
          <w:rFonts w:eastAsia="Times New Roman"/>
          <w:b/>
          <w:color w:val="000000"/>
          <w:sz w:val="22"/>
          <w:szCs w:val="22"/>
          <w:lang w:eastAsia="es-ES"/>
        </w:rPr>
        <w:t>5 punts</w:t>
      </w:r>
      <w:r>
        <w:rPr>
          <w:rFonts w:eastAsia="Times New Roman"/>
          <w:color w:val="000000"/>
          <w:sz w:val="22"/>
          <w:szCs w:val="22"/>
          <w:lang w:eastAsia="es-ES"/>
        </w:rPr>
        <w:t xml:space="preserve"> com a màxim, si es forma el 100% del </w:t>
      </w:r>
      <w:r>
        <w:rPr>
          <w:rFonts w:eastAsia="Times New Roman"/>
          <w:b/>
          <w:color w:val="000000"/>
          <w:sz w:val="22"/>
          <w:szCs w:val="22"/>
          <w:lang w:eastAsia="es-ES"/>
        </w:rPr>
        <w:t>personal de cuina</w:t>
      </w:r>
      <w:r>
        <w:rPr>
          <w:rFonts w:eastAsia="Times New Roman"/>
          <w:color w:val="000000"/>
          <w:sz w:val="22"/>
          <w:szCs w:val="22"/>
          <w:lang w:eastAsia="es-ES"/>
        </w:rPr>
        <w:t xml:space="preserve"> durant l'execució del contracte, en com a mínim 10 hores de formació a repartir entre les activitats proposades. La resta de punts s'atorgaran en funció del percentatge ofert de personal a formar en com a mínim 10 hores de formació segons l'escala següent:  </w:t>
      </w:r>
    </w:p>
    <w:p>
      <w:pPr>
        <w:pStyle w:val="Normal"/>
        <w:suppressAutoHyphens w:val="false"/>
        <w:jc w:val="both"/>
        <w:rPr>
          <w:rFonts w:eastAsia="Times New Roman"/>
          <w:color w:val="000000"/>
          <w:sz w:val="22"/>
          <w:szCs w:val="22"/>
          <w:lang w:eastAsia="es-ES"/>
        </w:rPr>
      </w:pPr>
      <w:r>
        <w:rPr>
          <w:rFonts w:eastAsia="Times New Roman"/>
          <w:color w:val="000000"/>
          <w:sz w:val="22"/>
          <w:szCs w:val="22"/>
          <w:lang w:eastAsia="es-ES"/>
        </w:rPr>
      </w:r>
    </w:p>
    <w:p>
      <w:pPr>
        <w:pStyle w:val="Normal"/>
        <w:suppressAutoHyphens w:val="false"/>
        <w:ind w:left="720" w:hanging="0"/>
        <w:jc w:val="both"/>
        <w:rPr>
          <w:rFonts w:eastAsia="Times New Roman"/>
          <w:color w:val="000000"/>
          <w:sz w:val="22"/>
          <w:szCs w:val="22"/>
          <w:lang w:eastAsia="es-ES"/>
        </w:rPr>
      </w:pPr>
      <w:r>
        <w:rPr>
          <w:rFonts w:eastAsia="Times New Roman"/>
          <w:color w:val="000000"/>
          <w:sz w:val="22"/>
          <w:szCs w:val="22"/>
          <w:lang w:eastAsia="es-ES"/>
        </w:rPr>
        <w:t xml:space="preserve">20 % del personal: 1 punt </w:t>
      </w:r>
    </w:p>
    <w:p>
      <w:pPr>
        <w:pStyle w:val="Normal"/>
        <w:suppressAutoHyphens w:val="false"/>
        <w:ind w:left="720" w:hanging="0"/>
        <w:jc w:val="both"/>
        <w:rPr>
          <w:rFonts w:eastAsia="Times New Roman"/>
          <w:color w:val="000000"/>
          <w:sz w:val="22"/>
          <w:szCs w:val="22"/>
          <w:lang w:eastAsia="es-ES"/>
        </w:rPr>
      </w:pPr>
      <w:r>
        <w:rPr>
          <w:rFonts w:eastAsia="Times New Roman"/>
          <w:color w:val="000000"/>
          <w:sz w:val="22"/>
          <w:szCs w:val="22"/>
          <w:lang w:eastAsia="es-ES"/>
        </w:rPr>
        <w:t xml:space="preserve">40 % del personal: 2 punts </w:t>
      </w:r>
    </w:p>
    <w:p>
      <w:pPr>
        <w:pStyle w:val="Normal"/>
        <w:suppressAutoHyphens w:val="false"/>
        <w:ind w:left="720" w:hanging="0"/>
        <w:jc w:val="both"/>
        <w:rPr>
          <w:rFonts w:eastAsia="Times New Roman"/>
          <w:color w:val="000000"/>
          <w:sz w:val="22"/>
          <w:szCs w:val="22"/>
          <w:lang w:eastAsia="es-ES"/>
        </w:rPr>
      </w:pPr>
      <w:r>
        <w:rPr>
          <w:rFonts w:eastAsia="Times New Roman"/>
          <w:color w:val="000000"/>
          <w:sz w:val="22"/>
          <w:szCs w:val="22"/>
          <w:lang w:eastAsia="es-ES"/>
        </w:rPr>
        <w:t xml:space="preserve">60 % del personal: 3 punts </w:t>
      </w:r>
    </w:p>
    <w:p>
      <w:pPr>
        <w:pStyle w:val="Normal"/>
        <w:suppressAutoHyphens w:val="false"/>
        <w:ind w:left="720" w:hanging="0"/>
        <w:jc w:val="both"/>
        <w:rPr>
          <w:rFonts w:eastAsia="Times New Roman"/>
          <w:color w:val="000000"/>
          <w:sz w:val="22"/>
          <w:szCs w:val="22"/>
          <w:lang w:eastAsia="es-ES"/>
        </w:rPr>
      </w:pPr>
      <w:r>
        <w:rPr>
          <w:rFonts w:eastAsia="Times New Roman"/>
          <w:color w:val="000000"/>
          <w:sz w:val="22"/>
          <w:szCs w:val="22"/>
          <w:lang w:eastAsia="es-ES"/>
        </w:rPr>
        <w:t xml:space="preserve">80 % del personal: 4 punts </w:t>
      </w:r>
    </w:p>
    <w:p>
      <w:pPr>
        <w:pStyle w:val="Normal"/>
        <w:suppressAutoHyphens w:val="false"/>
        <w:jc w:val="both"/>
        <w:rPr>
          <w:rFonts w:eastAsia="Times New Roman"/>
          <w:color w:val="000000"/>
          <w:sz w:val="22"/>
          <w:szCs w:val="22"/>
          <w:lang w:eastAsia="es-ES"/>
        </w:rPr>
      </w:pPr>
      <w:r>
        <w:rPr>
          <w:rFonts w:eastAsia="Times New Roman"/>
          <w:color w:val="000000"/>
          <w:sz w:val="22"/>
          <w:szCs w:val="22"/>
          <w:lang w:eastAsia="es-ES"/>
        </w:rPr>
      </w:r>
    </w:p>
    <w:p>
      <w:pPr>
        <w:pStyle w:val="Cosdeltext"/>
        <w:suppressAutoHyphens w:val="false"/>
        <w:spacing w:before="1" w:after="0"/>
        <w:ind w:left="0" w:right="317" w:hanging="0"/>
        <w:jc w:val="both"/>
        <w:rPr>
          <w:b/>
          <w:b/>
          <w:bCs/>
        </w:rPr>
      </w:pPr>
      <w:r>
        <w:rPr>
          <w:rFonts w:eastAsia="Times New Roman" w:ascii="Arial" w:hAnsi="Arial"/>
          <w:b/>
          <w:bCs/>
          <w:color w:val="000000"/>
          <w:sz w:val="22"/>
          <w:szCs w:val="22"/>
          <w:lang w:val="ca-ES" w:eastAsia="es-ES"/>
        </w:rPr>
        <w:t xml:space="preserve">Les empreses licitadores adjuntaran amb la seva oferta el Pla de formació previst i que inclogui els terminis en que es compromet a realitzar-lo. </w:t>
      </w:r>
    </w:p>
    <w:p>
      <w:pPr>
        <w:pStyle w:val="Normal"/>
        <w:jc w:val="both"/>
        <w:rPr>
          <w:rFonts w:eastAsia="Calibri"/>
          <w:color w:val="000000"/>
          <w:sz w:val="22"/>
          <w:szCs w:val="22"/>
          <w:shd w:fill="FFFFFF" w:val="clear"/>
        </w:rPr>
      </w:pPr>
      <w:r>
        <w:rPr>
          <w:rFonts w:eastAsia="Calibri"/>
          <w:color w:val="000000"/>
          <w:sz w:val="22"/>
          <w:szCs w:val="22"/>
          <w:shd w:fill="FFFFFF" w:val="clear"/>
        </w:rPr>
      </w:r>
    </w:p>
    <w:p>
      <w:pPr>
        <w:pStyle w:val="Normal"/>
        <w:widowControl/>
        <w:numPr>
          <w:ilvl w:val="2"/>
          <w:numId w:val="29"/>
        </w:numPr>
        <w:tabs>
          <w:tab w:val="clear" w:pos="720"/>
          <w:tab w:val="left" w:pos="993" w:leader="none"/>
        </w:tabs>
        <w:suppressAutoHyphens w:val="true"/>
        <w:bidi w:val="0"/>
        <w:spacing w:before="198" w:after="198"/>
        <w:ind w:left="567" w:right="0" w:hanging="0"/>
        <w:jc w:val="both"/>
        <w:rPr>
          <w:rFonts w:eastAsia="Calibri"/>
          <w:color w:val="000000"/>
          <w:sz w:val="22"/>
          <w:szCs w:val="22"/>
          <w:shd w:fill="FFFFFF" w:val="clear"/>
        </w:rPr>
      </w:pPr>
      <w:r>
        <w:rPr>
          <w:rFonts w:eastAsia="Calibri" w:cs="Arial"/>
          <w:b/>
          <w:u w:val="single"/>
        </w:rPr>
        <w:t>I</w:t>
      </w:r>
      <w:r>
        <w:rPr>
          <w:rFonts w:eastAsia="Calibri" w:cs="Arial"/>
          <w:b/>
          <w:sz w:val="22"/>
          <w:szCs w:val="22"/>
          <w:u w:val="single"/>
        </w:rPr>
        <w:t>ncorporació d’alumnes en convenis de pràctiques de Formació Professional en modalitat Dual,</w:t>
      </w:r>
      <w:r>
        <w:rPr>
          <w:rFonts w:eastAsia="Calibri" w:cs="Arial"/>
          <w:b/>
          <w:sz w:val="22"/>
          <w:szCs w:val="22"/>
        </w:rPr>
        <w:t xml:space="preserve"> fins a un màxim de 4 punts</w:t>
      </w:r>
    </w:p>
    <w:p>
      <w:pPr>
        <w:pStyle w:val="Normal"/>
        <w:jc w:val="both"/>
        <w:rPr>
          <w:shd w:fill="auto" w:val="clear"/>
        </w:rPr>
      </w:pPr>
      <w:r>
        <w:rPr>
          <w:color w:val="000000"/>
          <w:sz w:val="22"/>
          <w:szCs w:val="22"/>
          <w:shd w:fill="auto" w:val="clear"/>
        </w:rPr>
        <w:t>Les empreses licitadores declararan el seu compromís al model habilitat  (annex  1).</w:t>
      </w:r>
    </w:p>
    <w:p>
      <w:pPr>
        <w:pStyle w:val="Normal"/>
        <w:jc w:val="both"/>
        <w:rPr>
          <w:color w:val="000000"/>
          <w:sz w:val="22"/>
          <w:szCs w:val="22"/>
        </w:rPr>
      </w:pPr>
      <w:r>
        <w:rPr>
          <w:color w:val="000000"/>
          <w:sz w:val="22"/>
          <w:szCs w:val="22"/>
        </w:rPr>
      </w:r>
      <w:bookmarkStart w:id="5" w:name="_GoBack1"/>
      <w:bookmarkStart w:id="6" w:name="_GoBack1"/>
      <w:bookmarkEnd w:id="6"/>
    </w:p>
    <w:p>
      <w:pPr>
        <w:pStyle w:val="Normal"/>
        <w:jc w:val="both"/>
        <w:rPr>
          <w:color w:val="000000"/>
          <w:sz w:val="22"/>
          <w:szCs w:val="22"/>
        </w:rPr>
      </w:pPr>
      <w:r>
        <w:rPr>
          <w:color w:val="000000"/>
          <w:sz w:val="22"/>
          <w:szCs w:val="22"/>
        </w:rPr>
        <w:t>Es valorarà la incorporació d’alumnes en pràctiques d’aquesta modalitat de formació professional als centres de treball relacionats amb el servei de menjador escolar de Terrassa i en les especiali - tats que s’hi relacionen (hostaleria i turisme).</w:t>
      </w:r>
    </w:p>
    <w:p>
      <w:pPr>
        <w:pStyle w:val="Normal"/>
        <w:jc w:val="both"/>
        <w:rPr>
          <w:color w:val="000000"/>
          <w:sz w:val="22"/>
          <w:szCs w:val="22"/>
        </w:rPr>
      </w:pPr>
      <w:r>
        <w:rPr>
          <w:color w:val="000000"/>
          <w:sz w:val="22"/>
          <w:szCs w:val="22"/>
        </w:rPr>
      </w:r>
    </w:p>
    <w:p>
      <w:pPr>
        <w:pStyle w:val="Normal"/>
        <w:jc w:val="both"/>
        <w:rPr>
          <w:color w:val="000000"/>
          <w:sz w:val="22"/>
          <w:szCs w:val="22"/>
        </w:rPr>
      </w:pPr>
      <w:r>
        <w:rPr>
          <w:color w:val="000000"/>
          <w:sz w:val="22"/>
          <w:szCs w:val="22"/>
        </w:rPr>
        <w:t>La incorporació d'alumnes en convenis de pràctiques de formació professional en modalitat Dual Intensiva es puntuarà amb un màxim de 4 punts, 2 punts per alumne/a fins a 2 alumnes. La incor- poració s’haurà de produir durant l’execució del contracte, prèvia signatura de convenis entre l’em- presa adjudicatària i centres formatius de FP de la ciutat de Terrassa que imparteixin la modalitat Dual.</w:t>
      </w:r>
    </w:p>
    <w:p>
      <w:pPr>
        <w:pStyle w:val="Normal"/>
        <w:jc w:val="both"/>
        <w:rPr>
          <w:color w:val="000000"/>
          <w:sz w:val="22"/>
          <w:szCs w:val="22"/>
        </w:rPr>
      </w:pPr>
      <w:r>
        <w:rPr>
          <w:color w:val="000000"/>
          <w:sz w:val="22"/>
          <w:szCs w:val="22"/>
        </w:rPr>
      </w:r>
    </w:p>
    <w:p>
      <w:pPr>
        <w:pStyle w:val="Normal"/>
        <w:jc w:val="both"/>
        <w:rPr>
          <w:color w:val="000000"/>
          <w:sz w:val="22"/>
          <w:szCs w:val="22"/>
        </w:rPr>
      </w:pPr>
      <w:r>
        <w:rPr>
          <w:color w:val="000000"/>
          <w:sz w:val="22"/>
          <w:szCs w:val="22"/>
        </w:rPr>
        <w:t>La incorporació d'aquest/s alumnes en pràctiques en cap cas pot substituir al personal de cuina estructural que l'empesa adjudicatària ha de contractar seguint les ràtios establertes al PPT.</w:t>
      </w:r>
    </w:p>
    <w:p>
      <w:pPr>
        <w:pStyle w:val="Normal"/>
        <w:jc w:val="both"/>
        <w:rPr>
          <w:color w:val="000000"/>
          <w:sz w:val="22"/>
          <w:szCs w:val="22"/>
        </w:rPr>
      </w:pPr>
      <w:r>
        <w:rPr>
          <w:color w:val="000000"/>
          <w:sz w:val="22"/>
          <w:szCs w:val="22"/>
        </w:rPr>
      </w:r>
    </w:p>
    <w:p>
      <w:pPr>
        <w:pStyle w:val="Normal"/>
        <w:jc w:val="both"/>
        <w:rPr>
          <w:color w:val="000000"/>
          <w:sz w:val="22"/>
          <w:szCs w:val="22"/>
        </w:rPr>
      </w:pPr>
      <w:r>
        <w:rPr>
          <w:color w:val="000000"/>
          <w:sz w:val="22"/>
          <w:szCs w:val="22"/>
        </w:rPr>
        <w:t>Per acreditar el compliment caldrà que un cop adjudicat el contracte l'empresa adjudicatària pre- senti els convenis i els documents que acreditin que les pràctiques estan sent remunerades.</w:t>
      </w:r>
    </w:p>
    <w:p>
      <w:pPr>
        <w:pStyle w:val="Normal"/>
        <w:jc w:val="both"/>
        <w:rPr>
          <w:color w:val="000000"/>
          <w:sz w:val="22"/>
          <w:szCs w:val="22"/>
        </w:rPr>
      </w:pPr>
      <w:r>
        <w:rPr>
          <w:color w:val="000000"/>
          <w:sz w:val="22"/>
          <w:szCs w:val="22"/>
        </w:rPr>
      </w:r>
    </w:p>
    <w:p>
      <w:pPr>
        <w:pStyle w:val="Normal"/>
        <w:jc w:val="both"/>
        <w:rPr>
          <w:color w:val="000000"/>
          <w:sz w:val="22"/>
          <w:szCs w:val="22"/>
          <w:shd w:fill="auto" w:val="clear"/>
        </w:rPr>
      </w:pPr>
      <w:r>
        <w:rPr>
          <w:color w:val="000000"/>
          <w:sz w:val="22"/>
          <w:szCs w:val="22"/>
          <w:shd w:fill="auto" w:val="clear"/>
        </w:rPr>
      </w:r>
    </w:p>
    <w:p>
      <w:pPr>
        <w:pStyle w:val="Normal"/>
        <w:jc w:val="both"/>
        <w:rPr>
          <w:b/>
          <w:b/>
          <w:sz w:val="22"/>
        </w:rPr>
      </w:pPr>
      <w:r>
        <w:rPr>
          <w:b/>
          <w:sz w:val="22"/>
        </w:rPr>
        <w:t>SETZENA.-</w:t>
      </w:r>
      <w:r>
        <w:rPr>
          <w:sz w:val="22"/>
        </w:rPr>
        <w:t xml:space="preserve"> </w:t>
      </w:r>
      <w:r>
        <w:rPr>
          <w:b/>
          <w:sz w:val="22"/>
        </w:rPr>
        <w:t>Ofertes anormalment baixes</w:t>
      </w:r>
    </w:p>
    <w:p>
      <w:pPr>
        <w:pStyle w:val="Normal"/>
        <w:jc w:val="both"/>
        <w:rPr/>
      </w:pPr>
      <w:r>
        <w:rPr/>
      </w:r>
    </w:p>
    <w:p>
      <w:pPr>
        <w:pStyle w:val="Normal"/>
        <w:jc w:val="both"/>
        <w:rPr>
          <w:shd w:fill="auto" w:val="clear"/>
        </w:rPr>
      </w:pPr>
      <w:r>
        <w:rPr>
          <w:spacing w:val="-2"/>
          <w:sz w:val="22"/>
          <w:szCs w:val="22"/>
          <w:shd w:fill="auto" w:val="clear"/>
        </w:rPr>
        <w:t>Per determinar la anormalitat de les ofertes es configuren com a paràmetres objectius vàlids</w:t>
      </w:r>
    </w:p>
    <w:p>
      <w:pPr>
        <w:pStyle w:val="Normal"/>
        <w:jc w:val="both"/>
        <w:rPr>
          <w:shd w:fill="auto" w:val="clear"/>
        </w:rPr>
      </w:pPr>
      <w:r>
        <w:rPr>
          <w:spacing w:val="-2"/>
          <w:sz w:val="22"/>
          <w:szCs w:val="22"/>
          <w:shd w:fill="auto" w:val="clear"/>
        </w:rPr>
        <w:t xml:space="preserve">els criteris d'adjudicació quantificables mitjançant xifres o percentatges obtinguts a través de la mera aplicació de fórmules. Es considera que el preu final ofert d'acord amb el punt 15.1.2 d'aquest plec, té en compte el cost vinculat a les millores proposades per l'empresa licitadora mitjançant la resta de criteris d'adjudicació quantificables mitjançant xifres,  i, per tant, és un paràmetre que permet valorar l'oferta considerada en el seu conjunt. </w:t>
      </w:r>
    </w:p>
    <w:p>
      <w:pPr>
        <w:pStyle w:val="Plectext"/>
        <w:rPr>
          <w:i/>
          <w:i/>
          <w:spacing w:val="-2"/>
          <w:highlight w:val="green"/>
        </w:rPr>
      </w:pPr>
      <w:r>
        <w:rPr>
          <w:i/>
          <w:spacing w:val="-2"/>
          <w:highlight w:val="green"/>
        </w:rPr>
      </w:r>
    </w:p>
    <w:p>
      <w:pPr>
        <w:pStyle w:val="Plectext"/>
        <w:rPr/>
      </w:pPr>
      <w:r>
        <w:rPr>
          <w:spacing w:val="-2"/>
        </w:rPr>
        <w:t xml:space="preserve">Els paràmetres objectius que determinen el llindar d’anormalitat d’una oferta o tenen valors desproporcionats o temeraris, als </w:t>
      </w:r>
      <w:r>
        <w:rPr/>
        <w:t>efectes d’allò establert a l’article  149 de la LCSP, es considerarà que una oferta o ofertes tenen valors desproporcionats o temeraris si s’aprecien els següents supòsits:</w:t>
      </w:r>
    </w:p>
    <w:p>
      <w:pPr>
        <w:pStyle w:val="Normal"/>
        <w:jc w:val="both"/>
        <w:rPr>
          <w:spacing w:val="-2"/>
          <w:sz w:val="22"/>
          <w:szCs w:val="22"/>
        </w:rPr>
      </w:pPr>
      <w:r>
        <w:rPr>
          <w:spacing w:val="-2"/>
          <w:sz w:val="22"/>
          <w:szCs w:val="22"/>
        </w:rPr>
      </w:r>
    </w:p>
    <w:p>
      <w:pPr>
        <w:pStyle w:val="Normal"/>
        <w:numPr>
          <w:ilvl w:val="0"/>
          <w:numId w:val="9"/>
        </w:numPr>
        <w:tabs>
          <w:tab w:val="clear" w:pos="720"/>
          <w:tab w:val="left" w:pos="426" w:leader="none"/>
        </w:tabs>
        <w:ind w:left="426" w:hanging="426"/>
        <w:jc w:val="both"/>
        <w:rPr>
          <w:sz w:val="22"/>
          <w:szCs w:val="22"/>
        </w:rPr>
      </w:pPr>
      <w:r>
        <w:rPr>
          <w:sz w:val="22"/>
          <w:szCs w:val="22"/>
        </w:rPr>
        <w:t>Quan, en cas que hi concorri una empresa licitadora, sigui inferior al pressupost base de licitació en més de 25 unitats percentuals.</w:t>
      </w:r>
    </w:p>
    <w:p>
      <w:pPr>
        <w:pStyle w:val="Normal"/>
        <w:numPr>
          <w:ilvl w:val="0"/>
          <w:numId w:val="9"/>
        </w:numPr>
        <w:tabs>
          <w:tab w:val="clear" w:pos="720"/>
          <w:tab w:val="left" w:pos="426" w:leader="none"/>
        </w:tabs>
        <w:ind w:left="426" w:hanging="426"/>
        <w:jc w:val="both"/>
        <w:rPr>
          <w:sz w:val="22"/>
          <w:szCs w:val="22"/>
        </w:rPr>
      </w:pPr>
      <w:r>
        <w:rPr>
          <w:sz w:val="22"/>
          <w:szCs w:val="22"/>
        </w:rPr>
        <w:t>Quan hi concorrin dos empreses licitadores, la que sigui inferior en més de 20 unitats percentuals a l’altra oferta.</w:t>
      </w:r>
    </w:p>
    <w:p>
      <w:pPr>
        <w:pStyle w:val="Normal"/>
        <w:numPr>
          <w:ilvl w:val="0"/>
          <w:numId w:val="9"/>
        </w:numPr>
        <w:tabs>
          <w:tab w:val="clear" w:pos="720"/>
          <w:tab w:val="left" w:pos="426" w:leader="none"/>
        </w:tabs>
        <w:ind w:left="426" w:hanging="426"/>
        <w:jc w:val="both"/>
        <w:rPr>
          <w:sz w:val="22"/>
          <w:szCs w:val="22"/>
        </w:rPr>
      </w:pPr>
      <w:r>
        <w:rPr>
          <w:sz w:val="22"/>
          <w:szCs w:val="22"/>
        </w:rPr>
        <w:t>Quan hi concorrin tres empreses licitadores, les que siguin inferiors en més de 10 unitats percentuals a la mitjana aritmètica de les ofertes presentades. No obstant això, per al còmput d’aquesta mitjana s’ha d’excloure l’oferta que sigui d’una quantia més elevada quan sigui superior en més de 10 unitats percentuals a la mitjana. En qualsevol cas, es considera desproporcionada la baixa superior a 25 unitats percentuals.</w:t>
      </w:r>
    </w:p>
    <w:p>
      <w:pPr>
        <w:pStyle w:val="Normal"/>
        <w:numPr>
          <w:ilvl w:val="0"/>
          <w:numId w:val="9"/>
        </w:numPr>
        <w:tabs>
          <w:tab w:val="clear" w:pos="720"/>
          <w:tab w:val="left" w:pos="426" w:leader="none"/>
        </w:tabs>
        <w:ind w:left="426" w:hanging="426"/>
        <w:jc w:val="both"/>
        <w:rPr>
          <w:sz w:val="22"/>
          <w:szCs w:val="22"/>
        </w:rPr>
      </w:pPr>
      <w:r>
        <w:rPr>
          <w:sz w:val="22"/>
          <w:szCs w:val="22"/>
        </w:rPr>
        <w:t>Quan hi concorrin quatre empreses licitadores o més, les que siguin inferiors en més de 10 unitats percentuals a la mitjana aritmètica de les ofertes presentades. No obstant això, si entre aquestes hi ha ofertes superiors a la mitjana en més de 10 unitats percentuals, s’ha de calcular una nova mitjana només amb les ofertes que no estiguin en el cas indicat. En tot cas, si el nombre de les altres ofertes és inferior a tres, la nova mitjana s’ha de calcular sobre les tres ofertes de menor quantia.</w:t>
      </w:r>
    </w:p>
    <w:p>
      <w:pPr>
        <w:pStyle w:val="Normal"/>
        <w:jc w:val="both"/>
        <w:rPr>
          <w:spacing w:val="-2"/>
          <w:sz w:val="22"/>
          <w:szCs w:val="22"/>
        </w:rPr>
      </w:pPr>
      <w:r>
        <w:rPr>
          <w:spacing w:val="-2"/>
          <w:sz w:val="22"/>
          <w:szCs w:val="22"/>
        </w:rPr>
      </w:r>
    </w:p>
    <w:p>
      <w:pPr>
        <w:pStyle w:val="Normal"/>
        <w:suppressAutoHyphens w:val="false"/>
        <w:jc w:val="both"/>
        <w:rPr>
          <w:spacing w:val="-2"/>
          <w:sz w:val="22"/>
          <w:szCs w:val="22"/>
        </w:rPr>
      </w:pPr>
      <w:r>
        <w:rPr>
          <w:spacing w:val="-2"/>
          <w:sz w:val="22"/>
          <w:szCs w:val="22"/>
        </w:rPr>
        <w:t xml:space="preserve">Quan s’identifiqui una o diverses proposició/ns que pugui ser considerada desproporcionada o anormal, es donarà audiència a l’empresa/s licitadora/s que l’hagi presentat perquè justifiquin i desglossin raonadament i detalladament el baix nivell dels preus, o de costos, o qualsevol altre paràmetre sobre la base del qual s’hagi definit la anormalitat de l’oferta així com  la valoració de l’oferta i en precisi les condicions, en particular pel que fa a l’estalvi que permeti el procediment d’execució del contracte, les solucions tècniques adoptades i les condicions excepcionalment favorables de què disposi per executar la prestació, l’originalitat de les prestacions proposades, el respecte de les disposicions relatives a la protecció de l’ocupació i les condicions de treball vigents al lloc en què s’hagi de realitzar la prestació, o la possible obtenció d’una ajuda d’Estat. </w:t>
      </w:r>
    </w:p>
    <w:p>
      <w:pPr>
        <w:pStyle w:val="Normal"/>
        <w:suppressAutoHyphens w:val="false"/>
        <w:jc w:val="both"/>
        <w:rPr>
          <w:spacing w:val="-2"/>
          <w:sz w:val="22"/>
          <w:szCs w:val="22"/>
          <w:highlight w:val="magenta"/>
        </w:rPr>
      </w:pPr>
      <w:r>
        <w:rPr>
          <w:spacing w:val="-2"/>
          <w:sz w:val="22"/>
          <w:szCs w:val="22"/>
          <w:highlight w:val="magenta"/>
        </w:rPr>
      </w:r>
    </w:p>
    <w:p>
      <w:pPr>
        <w:pStyle w:val="Normal"/>
        <w:tabs>
          <w:tab w:val="clear" w:pos="720"/>
          <w:tab w:val="left" w:pos="426" w:leader="none"/>
        </w:tabs>
        <w:jc w:val="both"/>
        <w:rPr/>
      </w:pPr>
      <w:r>
        <w:rPr>
          <w:spacing w:val="-2"/>
          <w:sz w:val="22"/>
          <w:szCs w:val="22"/>
        </w:rPr>
        <w:t>Es a dir, es requerirà al licitador que hagi presentat una oferta considerada com a anormal o desproporcionada, perquè en un termini màxim de tres (3) dies des de la seva recepció, presenti una justificació de la viabilitat de la seva proposta econòmica. En aquest requeriment es farà constar la data límit de presentació.</w:t>
      </w:r>
    </w:p>
    <w:p>
      <w:pPr>
        <w:pStyle w:val="Normal"/>
        <w:suppressAutoHyphens w:val="false"/>
        <w:jc w:val="both"/>
        <w:rPr>
          <w:spacing w:val="-2"/>
          <w:sz w:val="22"/>
          <w:szCs w:val="22"/>
          <w:highlight w:val="magenta"/>
        </w:rPr>
      </w:pPr>
      <w:r>
        <w:rPr>
          <w:spacing w:val="-2"/>
          <w:sz w:val="22"/>
          <w:szCs w:val="22"/>
          <w:highlight w:val="magenta"/>
        </w:rPr>
      </w:r>
    </w:p>
    <w:p>
      <w:pPr>
        <w:pStyle w:val="Normal"/>
        <w:tabs>
          <w:tab w:val="clear" w:pos="720"/>
          <w:tab w:val="left" w:pos="426" w:leader="none"/>
        </w:tabs>
        <w:jc w:val="both"/>
        <w:rPr>
          <w:spacing w:val="-2"/>
          <w:sz w:val="22"/>
          <w:szCs w:val="22"/>
        </w:rPr>
      </w:pPr>
      <w:r>
        <w:rPr>
          <w:spacing w:val="-2"/>
          <w:sz w:val="22"/>
          <w:szCs w:val="22"/>
        </w:rPr>
        <w:t xml:space="preserve">Concretament, la mesa de contractació o, si no n’hi ha, l’òrgan de contractació pot demanar justificació a aquests licitadors sobre aquelles condicions de l’oferta que siguin susceptibles de determinar el seu baix nivell del preu o costos, i en particular, pel que fa als valors següents: </w:t>
      </w:r>
    </w:p>
    <w:p>
      <w:pPr>
        <w:pStyle w:val="Normal"/>
        <w:suppressAutoHyphens w:val="false"/>
        <w:jc w:val="both"/>
        <w:rPr>
          <w:spacing w:val="-2"/>
          <w:sz w:val="22"/>
          <w:szCs w:val="22"/>
        </w:rPr>
      </w:pPr>
      <w:r>
        <w:rPr>
          <w:spacing w:val="-2"/>
          <w:sz w:val="22"/>
          <w:szCs w:val="22"/>
        </w:rPr>
      </w:r>
    </w:p>
    <w:p>
      <w:pPr>
        <w:pStyle w:val="Normal"/>
        <w:tabs>
          <w:tab w:val="clear" w:pos="720"/>
          <w:tab w:val="left" w:pos="426" w:leader="none"/>
        </w:tabs>
        <w:jc w:val="both"/>
        <w:rPr>
          <w:spacing w:val="-2"/>
          <w:sz w:val="22"/>
          <w:szCs w:val="22"/>
        </w:rPr>
      </w:pPr>
      <w:r>
        <w:rPr>
          <w:spacing w:val="-2"/>
          <w:sz w:val="22"/>
          <w:szCs w:val="22"/>
        </w:rPr>
        <w:t xml:space="preserve">a)L’estalvi que permeti el procediment de fabricació, els serveis prestats i el mètode de construcció. </w:t>
      </w:r>
    </w:p>
    <w:p>
      <w:pPr>
        <w:pStyle w:val="Normal"/>
        <w:tabs>
          <w:tab w:val="clear" w:pos="720"/>
          <w:tab w:val="left" w:pos="426" w:leader="none"/>
        </w:tabs>
        <w:jc w:val="both"/>
        <w:rPr>
          <w:spacing w:val="-2"/>
          <w:sz w:val="22"/>
          <w:szCs w:val="22"/>
        </w:rPr>
      </w:pPr>
      <w:r>
        <w:rPr>
          <w:spacing w:val="-2"/>
          <w:sz w:val="22"/>
          <w:szCs w:val="22"/>
        </w:rPr>
        <w:t xml:space="preserve">b)Les solucions tècniques adoptades i les condicions excepcionalment favorables de què disposi per subministrar els productes, prestar els serveis o executar les obres, </w:t>
      </w:r>
    </w:p>
    <w:p>
      <w:pPr>
        <w:pStyle w:val="Normal"/>
        <w:tabs>
          <w:tab w:val="clear" w:pos="720"/>
          <w:tab w:val="left" w:pos="426" w:leader="none"/>
        </w:tabs>
        <w:jc w:val="both"/>
        <w:rPr>
          <w:spacing w:val="-2"/>
          <w:sz w:val="22"/>
          <w:szCs w:val="22"/>
        </w:rPr>
      </w:pPr>
      <w:r>
        <w:rPr>
          <w:spacing w:val="-2"/>
          <w:sz w:val="22"/>
          <w:szCs w:val="22"/>
        </w:rPr>
        <w:t xml:space="preserve">c)La innovació i originalitat de les solucions proposades, per subministrar els productes, prestar els serveis o executar les obres. </w:t>
      </w:r>
    </w:p>
    <w:p>
      <w:pPr>
        <w:pStyle w:val="Normal"/>
        <w:tabs>
          <w:tab w:val="clear" w:pos="720"/>
          <w:tab w:val="left" w:pos="426" w:leader="none"/>
        </w:tabs>
        <w:jc w:val="both"/>
        <w:rPr>
          <w:spacing w:val="-2"/>
          <w:sz w:val="22"/>
          <w:szCs w:val="22"/>
        </w:rPr>
      </w:pPr>
      <w:r>
        <w:rPr>
          <w:spacing w:val="-2"/>
          <w:sz w:val="22"/>
          <w:szCs w:val="22"/>
        </w:rPr>
        <w:t>d)El respecte d’obligacions que siguin aplicables en matèria mediambiental, social o laboral, i subcontractació, i no són justificables preus per sota de mercat  o que incompleixin el que estableix l’article 201.</w:t>
      </w:r>
    </w:p>
    <w:p>
      <w:pPr>
        <w:pStyle w:val="Normal"/>
        <w:tabs>
          <w:tab w:val="clear" w:pos="720"/>
          <w:tab w:val="left" w:pos="426" w:leader="none"/>
        </w:tabs>
        <w:jc w:val="both"/>
        <w:rPr>
          <w:spacing w:val="-2"/>
          <w:sz w:val="22"/>
          <w:szCs w:val="22"/>
        </w:rPr>
      </w:pPr>
      <w:r>
        <w:rPr>
          <w:spacing w:val="-2"/>
          <w:sz w:val="22"/>
          <w:szCs w:val="22"/>
        </w:rPr>
        <w:t xml:space="preserve">e) O la possible obtenció d’una ajuda d’Estat. </w:t>
      </w:r>
    </w:p>
    <w:p>
      <w:pPr>
        <w:pStyle w:val="Normal"/>
        <w:suppressAutoHyphens w:val="false"/>
        <w:ind w:left="360" w:hanging="0"/>
        <w:jc w:val="both"/>
        <w:rPr>
          <w:i/>
          <w:i/>
          <w:spacing w:val="-2"/>
          <w:sz w:val="22"/>
          <w:szCs w:val="22"/>
          <w:highlight w:val="magenta"/>
        </w:rPr>
      </w:pPr>
      <w:r>
        <w:rPr>
          <w:i/>
          <w:spacing w:val="-2"/>
          <w:sz w:val="22"/>
          <w:szCs w:val="22"/>
          <w:highlight w:val="magenta"/>
        </w:rPr>
      </w:r>
    </w:p>
    <w:p>
      <w:pPr>
        <w:pStyle w:val="Normal"/>
        <w:jc w:val="both"/>
        <w:rPr>
          <w:sz w:val="22"/>
          <w:szCs w:val="22"/>
        </w:rPr>
      </w:pPr>
      <w:r>
        <w:rPr>
          <w:sz w:val="22"/>
          <w:szCs w:val="22"/>
        </w:rPr>
        <w:t xml:space="preserve">En el procediment s’haurà de sol·licitar l’assessorament tècnic del servei corresponent. </w:t>
      </w:r>
    </w:p>
    <w:p>
      <w:pPr>
        <w:pStyle w:val="BodyTextIndent2"/>
        <w:ind w:left="0" w:hanging="0"/>
        <w:rPr>
          <w:szCs w:val="22"/>
        </w:rPr>
      </w:pPr>
      <w:r>
        <w:rPr>
          <w:szCs w:val="22"/>
        </w:rPr>
      </w:r>
    </w:p>
    <w:p>
      <w:pPr>
        <w:pStyle w:val="BodyTextIndent2"/>
        <w:ind w:left="0" w:hanging="0"/>
        <w:rPr/>
      </w:pPr>
      <w:r>
        <w:rPr>
          <w:szCs w:val="22"/>
        </w:rPr>
        <w:t>De conformitat amb el que estableix</w:t>
      </w:r>
      <w:r>
        <w:rPr>
          <w:color w:val="auto"/>
          <w:szCs w:val="22"/>
        </w:rPr>
        <w:t xml:space="preserve"> l’a</w:t>
      </w:r>
      <w:r>
        <w:rPr>
          <w:color w:val="000000"/>
          <w:szCs w:val="22"/>
        </w:rPr>
        <w:t>rticle 149.4 de la LCSP i l’article 69 la Directiva 2014/24/UE</w:t>
      </w:r>
      <w:r>
        <w:rPr>
          <w:szCs w:val="22"/>
        </w:rPr>
        <w:t xml:space="preserve"> sobre contractació pública, l’òrgan de contractació rebutjarà l’oferta si comprova que és anormalment baixa perquè no compleix les obligacions aplicables en matèria mediambiental, social o laboral establertes en el Dret de la Unió, el Dret nacional, els convenis col·lectius o per les disposicions de Dret internacional mediambiental, social i laboral (convenis OIT, convenis de Viena, Basilea, Estocolm i Rotterdam).</w:t>
      </w:r>
    </w:p>
    <w:p>
      <w:pPr>
        <w:pStyle w:val="Normal"/>
        <w:jc w:val="both"/>
        <w:rPr>
          <w:sz w:val="22"/>
          <w:szCs w:val="22"/>
        </w:rPr>
      </w:pPr>
      <w:r>
        <w:rPr>
          <w:sz w:val="22"/>
          <w:szCs w:val="22"/>
        </w:rPr>
      </w:r>
    </w:p>
    <w:p>
      <w:pPr>
        <w:pStyle w:val="Default"/>
        <w:jc w:val="both"/>
        <w:rPr>
          <w:sz w:val="22"/>
          <w:szCs w:val="22"/>
          <w:lang w:val="ca-ES"/>
        </w:rPr>
      </w:pPr>
      <w:r>
        <w:rPr>
          <w:sz w:val="22"/>
          <w:szCs w:val="22"/>
          <w:lang w:val="ca-ES"/>
        </w:rPr>
        <w:t>Si l’òrgan de contractació, tenint en compte la justificació efectuada per l’empresa licitadora i els informes esmentats a l’apartat anterior, estimés que l’oferta no pot ser complerta com a conseqüència de la inclusió de valors anormals o desproporcionats, l’haurà d’excloure de la classificació i acordar l’adjudicació a favor de la següent millor oferta, d’acord amb l’ordre en què hagin estat classificades.</w:t>
      </w:r>
    </w:p>
    <w:p>
      <w:pPr>
        <w:pStyle w:val="Default"/>
        <w:jc w:val="both"/>
        <w:rPr>
          <w:sz w:val="22"/>
          <w:szCs w:val="22"/>
          <w:lang w:val="ca-ES"/>
        </w:rPr>
      </w:pPr>
      <w:r>
        <w:rPr>
          <w:sz w:val="22"/>
          <w:szCs w:val="22"/>
          <w:lang w:val="ca-ES"/>
        </w:rPr>
      </w:r>
    </w:p>
    <w:p>
      <w:pPr>
        <w:pStyle w:val="Default"/>
        <w:jc w:val="both"/>
        <w:rPr>
          <w:b/>
          <w:b/>
          <w:sz w:val="22"/>
          <w:szCs w:val="22"/>
          <w:lang w:val="ca-ES"/>
        </w:rPr>
      </w:pPr>
      <w:r>
        <w:rPr>
          <w:b/>
          <w:sz w:val="22"/>
          <w:szCs w:val="22"/>
          <w:lang w:val="ca-ES"/>
        </w:rPr>
      </w:r>
    </w:p>
    <w:p>
      <w:pPr>
        <w:pStyle w:val="Default"/>
        <w:jc w:val="both"/>
        <w:rPr>
          <w:b/>
          <w:b/>
          <w:sz w:val="22"/>
          <w:szCs w:val="22"/>
          <w:lang w:val="ca-ES"/>
        </w:rPr>
      </w:pPr>
      <w:r>
        <w:rPr>
          <w:b/>
          <w:sz w:val="22"/>
          <w:szCs w:val="22"/>
          <w:lang w:val="ca-ES"/>
        </w:rPr>
        <w:t>DISSETENA.- Criteris de desempat</w:t>
      </w:r>
    </w:p>
    <w:p>
      <w:pPr>
        <w:pStyle w:val="Normal"/>
        <w:widowControl w:val="false"/>
        <w:jc w:val="both"/>
        <w:rPr>
          <w:b/>
          <w:b/>
          <w:sz w:val="22"/>
          <w:szCs w:val="22"/>
        </w:rPr>
      </w:pPr>
      <w:r>
        <w:rPr>
          <w:b/>
          <w:sz w:val="22"/>
          <w:szCs w:val="22"/>
        </w:rPr>
      </w:r>
    </w:p>
    <w:p>
      <w:pPr>
        <w:pStyle w:val="Normal"/>
        <w:jc w:val="both"/>
        <w:rPr>
          <w:sz w:val="22"/>
          <w:szCs w:val="22"/>
        </w:rPr>
      </w:pPr>
      <w:r>
        <w:rPr>
          <w:sz w:val="22"/>
          <w:szCs w:val="22"/>
        </w:rPr>
        <w:t>Per al cas que, després de l’aplicació dels criteris d’adjudicació, es produeixi un empat entre dues o més ofertes s’aplicarà el que s’estableix a l’article 147.2 de la LCSP.</w:t>
      </w:r>
    </w:p>
    <w:p>
      <w:pPr>
        <w:pStyle w:val="Normal"/>
        <w:widowControl w:val="false"/>
        <w:jc w:val="both"/>
        <w:rPr>
          <w:rFonts w:ascii="ArialMT;MS Mincho" w:hAnsi="ArialMT;MS Mincho" w:cs="ArialMT;MS Mincho"/>
          <w:b/>
          <w:b/>
          <w:color w:val="3A3A3A"/>
          <w:sz w:val="22"/>
          <w:szCs w:val="22"/>
          <w:lang w:eastAsia="es-ES"/>
        </w:rPr>
      </w:pPr>
      <w:r>
        <w:rPr>
          <w:rFonts w:cs="ArialMT;MS Mincho" w:ascii="ArialMT;MS Mincho" w:hAnsi="ArialMT;MS Mincho"/>
          <w:b/>
          <w:color w:val="3A3A3A"/>
          <w:sz w:val="22"/>
          <w:szCs w:val="22"/>
          <w:lang w:eastAsia="es-ES"/>
        </w:rPr>
      </w:r>
    </w:p>
    <w:p>
      <w:pPr>
        <w:pStyle w:val="Normal"/>
        <w:widowControl w:val="false"/>
        <w:jc w:val="both"/>
        <w:rPr>
          <w:rFonts w:ascii="ArialMT;MS Mincho" w:hAnsi="ArialMT;MS Mincho" w:cs="ArialMT;MS Mincho"/>
          <w:b/>
          <w:b/>
          <w:color w:val="3A3A3A"/>
          <w:sz w:val="22"/>
          <w:szCs w:val="22"/>
          <w:lang w:eastAsia="es-ES"/>
        </w:rPr>
      </w:pPr>
      <w:r>
        <w:rPr>
          <w:rFonts w:cs="ArialMT;MS Mincho" w:ascii="ArialMT;MS Mincho" w:hAnsi="ArialMT;MS Mincho"/>
          <w:b/>
          <w:color w:val="3A3A3A"/>
          <w:sz w:val="22"/>
          <w:szCs w:val="22"/>
          <w:lang w:eastAsia="es-ES"/>
        </w:rPr>
      </w:r>
    </w:p>
    <w:p>
      <w:pPr>
        <w:pStyle w:val="Normal"/>
        <w:widowControl w:val="false"/>
        <w:jc w:val="both"/>
        <w:rPr>
          <w:b/>
          <w:b/>
          <w:sz w:val="22"/>
          <w:szCs w:val="22"/>
        </w:rPr>
      </w:pPr>
      <w:r>
        <w:rPr>
          <w:b/>
          <w:sz w:val="22"/>
          <w:szCs w:val="22"/>
        </w:rPr>
        <w:t>DIVUITENA.- Capacitat</w:t>
      </w:r>
    </w:p>
    <w:p>
      <w:pPr>
        <w:pStyle w:val="Normal"/>
        <w:widowControl w:val="false"/>
        <w:jc w:val="both"/>
        <w:rPr>
          <w:b/>
          <w:b/>
          <w:sz w:val="22"/>
          <w:szCs w:val="22"/>
        </w:rPr>
      </w:pPr>
      <w:r>
        <w:rPr>
          <w:b/>
          <w:sz w:val="22"/>
          <w:szCs w:val="22"/>
        </w:rPr>
      </w:r>
    </w:p>
    <w:p>
      <w:pPr>
        <w:pStyle w:val="Normal"/>
        <w:widowControl w:val="false"/>
        <w:jc w:val="both"/>
        <w:rPr>
          <w:sz w:val="22"/>
          <w:szCs w:val="22"/>
        </w:rPr>
      </w:pPr>
      <w:r>
        <w:rPr>
          <w:sz w:val="22"/>
          <w:szCs w:val="22"/>
        </w:rPr>
        <w:t>Les empreses licitadores hauran d'acreditar la seva personalitat jurídica i capacitat d'obrar.</w:t>
      </w:r>
    </w:p>
    <w:p>
      <w:pPr>
        <w:pStyle w:val="Normal"/>
        <w:widowControl w:val="false"/>
        <w:jc w:val="both"/>
        <w:rPr>
          <w:strike/>
          <w:sz w:val="22"/>
          <w:szCs w:val="22"/>
        </w:rPr>
      </w:pPr>
      <w:r>
        <w:rPr>
          <w:strike/>
          <w:sz w:val="22"/>
          <w:szCs w:val="22"/>
        </w:rPr>
      </w:r>
    </w:p>
    <w:p>
      <w:pPr>
        <w:pStyle w:val="Normal"/>
        <w:widowControl w:val="false"/>
        <w:jc w:val="both"/>
        <w:rPr>
          <w:sz w:val="22"/>
          <w:szCs w:val="22"/>
        </w:rPr>
      </w:pPr>
      <w:r>
        <w:rPr>
          <w:sz w:val="22"/>
          <w:szCs w:val="22"/>
        </w:rPr>
        <w:t>La capacitat d’obrar de les empreses espanyoles persones jurídiques s’acredita mitjançant l’escriptura de constitució o modificació inscrita en el Registre Mercantil, quan sigui exigible conforme a la legislació mercantil. Quan no ho sigui, s’acredita mitjançant l’escriptura o document de constitució, estatuts o acta fundacional, en què constin les normes que regulen la seva activitat, inscrits, si s’escau, en el corresponent registre oficial, segons el tipus de persona jurídica de què es tracti. També cal aportar el NIF de l’empresa.</w:t>
      </w:r>
    </w:p>
    <w:p>
      <w:pPr>
        <w:pStyle w:val="Normal"/>
        <w:widowControl w:val="false"/>
        <w:rPr>
          <w:sz w:val="22"/>
          <w:szCs w:val="22"/>
        </w:rPr>
      </w:pPr>
      <w:r>
        <w:rPr>
          <w:sz w:val="22"/>
          <w:szCs w:val="22"/>
        </w:rPr>
      </w:r>
    </w:p>
    <w:p>
      <w:pPr>
        <w:pStyle w:val="Normal"/>
        <w:widowControl w:val="false"/>
        <w:rPr>
          <w:sz w:val="22"/>
          <w:szCs w:val="22"/>
        </w:rPr>
      </w:pPr>
      <w:r>
        <w:rPr>
          <w:sz w:val="22"/>
          <w:szCs w:val="22"/>
        </w:rPr>
        <w:t>La capacitat d’obrar de les empreses  persones físiques s’acredita amb la presentació del NIF.</w:t>
      </w:r>
    </w:p>
    <w:p>
      <w:pPr>
        <w:pStyle w:val="Normal"/>
        <w:widowControl w:val="false"/>
        <w:jc w:val="both"/>
        <w:rPr>
          <w:strike/>
          <w:sz w:val="22"/>
          <w:szCs w:val="22"/>
        </w:rPr>
      </w:pPr>
      <w:r>
        <w:rPr>
          <w:strike/>
          <w:sz w:val="22"/>
          <w:szCs w:val="22"/>
        </w:rPr>
      </w:r>
    </w:p>
    <w:p>
      <w:pPr>
        <w:pStyle w:val="Normal"/>
        <w:widowControl w:val="false"/>
        <w:jc w:val="both"/>
        <w:rPr>
          <w:sz w:val="22"/>
          <w:szCs w:val="22"/>
        </w:rPr>
      </w:pPr>
      <w:r>
        <w:rPr>
          <w:sz w:val="22"/>
          <w:szCs w:val="22"/>
        </w:rPr>
        <w:t>Les persones jurídiques només poden ser adjudicatàries de contractes les prestacions dels quals estiguin compreses dins dels fins, objecte o àmbit d’activitat que, segons els seus estatuts o regles fundacionals, els siguin propis.</w:t>
      </w:r>
    </w:p>
    <w:p>
      <w:pPr>
        <w:pStyle w:val="Normal"/>
        <w:widowControl w:val="false"/>
        <w:jc w:val="both"/>
        <w:rPr>
          <w:sz w:val="22"/>
          <w:szCs w:val="22"/>
        </w:rPr>
      </w:pPr>
      <w:r>
        <w:rPr>
          <w:sz w:val="22"/>
          <w:szCs w:val="22"/>
        </w:rPr>
      </w:r>
    </w:p>
    <w:p>
      <w:pPr>
        <w:pStyle w:val="Normal"/>
        <w:widowControl w:val="false"/>
        <w:jc w:val="both"/>
        <w:rPr>
          <w:sz w:val="22"/>
          <w:szCs w:val="22"/>
        </w:rPr>
      </w:pPr>
      <w:r>
        <w:rPr>
          <w:sz w:val="22"/>
          <w:szCs w:val="22"/>
        </w:rPr>
        <w:t>La inscripció en el Registre Oficial de Licitadors i Empreses Classificades l’Estat (ROLECE) i en el Registre Electrònic de Licitadors (RELI) acredita, segons el que hi estigui reflectit, les condicions d’aptitud de l’empresari quant a la seva personalitat i capacitat d’obrar.</w:t>
      </w:r>
    </w:p>
    <w:p>
      <w:pPr>
        <w:pStyle w:val="Normal"/>
        <w:jc w:val="both"/>
        <w:rPr>
          <w:sz w:val="22"/>
          <w:szCs w:val="22"/>
          <w:u w:val="single"/>
        </w:rPr>
      </w:pPr>
      <w:r>
        <w:rPr>
          <w:sz w:val="22"/>
          <w:szCs w:val="22"/>
          <w:u w:val="single"/>
        </w:rPr>
      </w:r>
    </w:p>
    <w:p>
      <w:pPr>
        <w:pStyle w:val="Normal"/>
        <w:jc w:val="both"/>
        <w:rPr>
          <w:sz w:val="22"/>
          <w:szCs w:val="22"/>
        </w:rPr>
      </w:pPr>
      <w:r>
        <w:rPr>
          <w:sz w:val="22"/>
          <w:szCs w:val="22"/>
        </w:rPr>
        <w:t>El moment decisiu per apreciar la concurrència del requisit de capacitat exigit per contractar amb l'Administració serà el de finalització del termini de presentació de les ofertes.</w:t>
      </w:r>
    </w:p>
    <w:p>
      <w:pPr>
        <w:pStyle w:val="Normal"/>
        <w:jc w:val="both"/>
        <w:rPr>
          <w:sz w:val="22"/>
          <w:szCs w:val="22"/>
        </w:rPr>
      </w:pPr>
      <w:r>
        <w:rPr>
          <w:sz w:val="22"/>
          <w:szCs w:val="22"/>
        </w:rPr>
      </w:r>
    </w:p>
    <w:p>
      <w:pPr>
        <w:pStyle w:val="Normal"/>
        <w:jc w:val="both"/>
        <w:rPr>
          <w:sz w:val="22"/>
          <w:szCs w:val="22"/>
        </w:rPr>
      </w:pPr>
      <w:r>
        <w:rPr>
          <w:sz w:val="22"/>
          <w:szCs w:val="22"/>
        </w:rPr>
      </w:r>
    </w:p>
    <w:p>
      <w:pPr>
        <w:pStyle w:val="Normal"/>
        <w:widowControl w:val="false"/>
        <w:jc w:val="both"/>
        <w:rPr>
          <w:b/>
          <w:b/>
          <w:sz w:val="22"/>
          <w:szCs w:val="22"/>
        </w:rPr>
      </w:pPr>
      <w:r>
        <w:rPr>
          <w:b/>
          <w:sz w:val="22"/>
          <w:szCs w:val="22"/>
        </w:rPr>
        <w:t>DINOVENA.-  Prohibició de contractar</w:t>
      </w:r>
    </w:p>
    <w:p>
      <w:pPr>
        <w:pStyle w:val="Normal"/>
        <w:widowControl w:val="false"/>
        <w:jc w:val="both"/>
        <w:rPr>
          <w:b/>
          <w:b/>
          <w:sz w:val="22"/>
          <w:szCs w:val="22"/>
        </w:rPr>
      </w:pPr>
      <w:r>
        <w:rPr>
          <w:b/>
          <w:sz w:val="22"/>
          <w:szCs w:val="22"/>
        </w:rPr>
      </w:r>
    </w:p>
    <w:p>
      <w:pPr>
        <w:pStyle w:val="Normal"/>
        <w:jc w:val="both"/>
        <w:rPr/>
      </w:pPr>
      <w:r>
        <w:rPr>
          <w:sz w:val="22"/>
          <w:szCs w:val="22"/>
        </w:rPr>
        <w:t xml:space="preserve">Els candidats no hauran d’estar incursos en cap de les circumstàncies de prohibició de contractar amb l'Administració Pública, previstes a l'art. 71 de la LCSP, </w:t>
      </w:r>
      <w:r>
        <w:rPr>
          <w:sz w:val="22"/>
        </w:rPr>
        <w:t xml:space="preserve">en la data de conclusió del termini de presentació de sol·licituds de participació </w:t>
      </w:r>
      <w:r>
        <w:rPr>
          <w:sz w:val="22"/>
          <w:szCs w:val="22"/>
        </w:rPr>
        <w:t xml:space="preserve">la qual cosa poden acreditar per qualsevol dels mitjans establerts en l’article 85 de la LCSP. </w:t>
      </w:r>
    </w:p>
    <w:p>
      <w:pPr>
        <w:pStyle w:val="Normal"/>
        <w:jc w:val="both"/>
        <w:rPr>
          <w:sz w:val="22"/>
          <w:szCs w:val="22"/>
        </w:rPr>
      </w:pPr>
      <w:r>
        <w:rPr>
          <w:sz w:val="22"/>
          <w:szCs w:val="22"/>
        </w:rPr>
      </w:r>
    </w:p>
    <w:p>
      <w:pPr>
        <w:pStyle w:val="Normal"/>
        <w:jc w:val="both"/>
        <w:rPr>
          <w:sz w:val="22"/>
          <w:szCs w:val="22"/>
        </w:rPr>
      </w:pPr>
      <w:r>
        <w:rPr>
          <w:sz w:val="22"/>
          <w:szCs w:val="22"/>
        </w:rPr>
        <w:t>D’acord amb l’article 28.2 de la llei 39/2015, del Procediment Administratiu Comú de les Administracions Públiques, no es precisarà l’autorització per a què l’Ajuntament de Terrassa consulti, de forma directa l’acreditació dels licitadors, d’estar al corrent de pagament de l’Agència Tributària i Tresoreria General de la Seguretat Social. En cas contrari, el licitador haurà de fer constar la seva oposició expressa i presentar els documents acreditatius conforme està al corrent de pagaments.</w:t>
      </w:r>
    </w:p>
    <w:p>
      <w:pPr>
        <w:pStyle w:val="Normal"/>
        <w:jc w:val="both"/>
        <w:rPr>
          <w:sz w:val="22"/>
          <w:szCs w:val="22"/>
        </w:rPr>
      </w:pPr>
      <w:r>
        <w:rPr>
          <w:sz w:val="22"/>
          <w:szCs w:val="22"/>
        </w:rPr>
      </w:r>
    </w:p>
    <w:p>
      <w:pPr>
        <w:pStyle w:val="Normal"/>
        <w:jc w:val="both"/>
        <w:rPr>
          <w:sz w:val="22"/>
          <w:szCs w:val="22"/>
        </w:rPr>
      </w:pPr>
      <w:r>
        <w:rPr>
          <w:sz w:val="22"/>
          <w:szCs w:val="22"/>
        </w:rPr>
      </w:r>
    </w:p>
    <w:p>
      <w:pPr>
        <w:pStyle w:val="Encapalament7"/>
        <w:rPr/>
      </w:pPr>
      <w:r>
        <w:rPr>
          <w:szCs w:val="22"/>
        </w:rPr>
        <w:t>VINTENA.- Solvència econòmica i financera</w:t>
      </w:r>
    </w:p>
    <w:p>
      <w:pPr>
        <w:pStyle w:val="Normal"/>
        <w:rPr>
          <w:szCs w:val="22"/>
        </w:rPr>
      </w:pPr>
      <w:r>
        <w:rPr>
          <w:szCs w:val="22"/>
        </w:rPr>
      </w:r>
    </w:p>
    <w:p>
      <w:pPr>
        <w:pStyle w:val="Normal"/>
        <w:jc w:val="both"/>
        <w:rPr>
          <w:sz w:val="22"/>
          <w:szCs w:val="22"/>
          <w:highlight w:val="green"/>
        </w:rPr>
      </w:pPr>
      <w:r>
        <w:rPr>
          <w:sz w:val="22"/>
          <w:szCs w:val="22"/>
        </w:rPr>
        <w:t>L</w:t>
      </w:r>
      <w:r>
        <w:rPr>
          <w:sz w:val="22"/>
          <w:szCs w:val="22"/>
          <w:shd w:fill="auto" w:val="clear"/>
        </w:rPr>
        <w:t>es empreses licitadores hauran d’acreditar la solvència econòmica i financera, mitjançant el volum anual de negocis en l’àmbit al qual es refereix el contracte, referit al millor exercici dins dels tres últims anys disponibles en funció de les dates de constitució o d’inici d’activitats de l’empresari i de presentació de l’oferta per un import d’</w:t>
      </w:r>
      <w:r>
        <w:rPr>
          <w:sz w:val="22"/>
          <w:shd w:fill="auto" w:val="clear"/>
        </w:rPr>
        <w:t>almenys una vegada i mitja el valor anual mitjà del contracte (1.562.895,18 €).</w:t>
      </w:r>
    </w:p>
    <w:p>
      <w:pPr>
        <w:pStyle w:val="Normal"/>
        <w:jc w:val="both"/>
        <w:rPr>
          <w:sz w:val="22"/>
          <w:shd w:fill="auto" w:val="clear"/>
        </w:rPr>
      </w:pPr>
      <w:r>
        <w:rPr>
          <w:sz w:val="22"/>
          <w:shd w:fill="auto" w:val="clear"/>
        </w:rPr>
      </w:r>
    </w:p>
    <w:tbl>
      <w:tblPr>
        <w:tblW w:w="6125" w:type="dxa"/>
        <w:jc w:val="left"/>
        <w:tblInd w:w="55" w:type="dxa"/>
        <w:tblLayout w:type="fixed"/>
        <w:tblCellMar>
          <w:top w:w="55" w:type="dxa"/>
          <w:left w:w="55" w:type="dxa"/>
          <w:bottom w:w="55" w:type="dxa"/>
          <w:right w:w="55" w:type="dxa"/>
        </w:tblCellMar>
      </w:tblPr>
      <w:tblGrid>
        <w:gridCol w:w="4024"/>
        <w:gridCol w:w="2100"/>
      </w:tblGrid>
      <w:tr>
        <w:trPr/>
        <w:tc>
          <w:tcPr>
            <w:tcW w:w="4024" w:type="dxa"/>
            <w:tcBorders>
              <w:top w:val="single" w:sz="2" w:space="0" w:color="000000"/>
              <w:left w:val="single" w:sz="2" w:space="0" w:color="000000"/>
              <w:bottom w:val="single" w:sz="2" w:space="0" w:color="000000"/>
            </w:tcBorders>
          </w:tcPr>
          <w:p>
            <w:pPr>
              <w:pStyle w:val="Contingutdelataula"/>
              <w:widowControl w:val="false"/>
              <w:rPr>
                <w:sz w:val="22"/>
                <w:szCs w:val="22"/>
              </w:rPr>
            </w:pPr>
            <w:r>
              <w:rPr>
                <w:sz w:val="22"/>
                <w:szCs w:val="22"/>
              </w:rPr>
              <w:t>Valor estimat del contracte</w:t>
            </w:r>
          </w:p>
        </w:tc>
        <w:tc>
          <w:tcPr>
            <w:tcW w:w="2100" w:type="dxa"/>
            <w:tcBorders>
              <w:top w:val="single" w:sz="2" w:space="0" w:color="000000"/>
              <w:left w:val="single" w:sz="2" w:space="0" w:color="000000"/>
              <w:bottom w:val="single" w:sz="2" w:space="0" w:color="000000"/>
              <w:right w:val="single" w:sz="2" w:space="0" w:color="000000"/>
            </w:tcBorders>
          </w:tcPr>
          <w:p>
            <w:pPr>
              <w:pStyle w:val="Contingutdelataula"/>
              <w:widowControl w:val="false"/>
              <w:jc w:val="right"/>
              <w:rPr>
                <w:sz w:val="22"/>
                <w:szCs w:val="22"/>
                <w:shd w:fill="auto" w:val="clear"/>
              </w:rPr>
            </w:pPr>
            <w:r>
              <w:rPr>
                <w:sz w:val="22"/>
                <w:szCs w:val="22"/>
                <w:shd w:fill="auto" w:val="clear"/>
              </w:rPr>
              <w:t>4.167.720,48 €</w:t>
            </w:r>
          </w:p>
        </w:tc>
      </w:tr>
      <w:tr>
        <w:trPr/>
        <w:tc>
          <w:tcPr>
            <w:tcW w:w="4024" w:type="dxa"/>
            <w:tcBorders>
              <w:left w:val="single" w:sz="2" w:space="0" w:color="000000"/>
              <w:bottom w:val="single" w:sz="2" w:space="0" w:color="000000"/>
            </w:tcBorders>
          </w:tcPr>
          <w:p>
            <w:pPr>
              <w:pStyle w:val="Contingutdelataula"/>
              <w:widowControl w:val="false"/>
              <w:rPr>
                <w:sz w:val="22"/>
                <w:szCs w:val="22"/>
              </w:rPr>
            </w:pPr>
            <w:r>
              <w:rPr>
                <w:sz w:val="22"/>
                <w:szCs w:val="22"/>
              </w:rPr>
              <w:t>Valor anual mitjá del contracte</w:t>
            </w:r>
          </w:p>
        </w:tc>
        <w:tc>
          <w:tcPr>
            <w:tcW w:w="2100" w:type="dxa"/>
            <w:tcBorders>
              <w:left w:val="single" w:sz="2" w:space="0" w:color="000000"/>
              <w:bottom w:val="single" w:sz="2" w:space="0" w:color="000000"/>
              <w:right w:val="single" w:sz="2" w:space="0" w:color="000000"/>
            </w:tcBorders>
          </w:tcPr>
          <w:p>
            <w:pPr>
              <w:pStyle w:val="Contingutdelataula"/>
              <w:widowControl w:val="false"/>
              <w:jc w:val="right"/>
              <w:rPr>
                <w:sz w:val="22"/>
                <w:szCs w:val="22"/>
              </w:rPr>
            </w:pPr>
            <w:r>
              <w:rPr>
                <w:sz w:val="22"/>
                <w:szCs w:val="22"/>
              </w:rPr>
              <w:t>1.041.930,12 €</w:t>
            </w:r>
          </w:p>
        </w:tc>
      </w:tr>
      <w:tr>
        <w:trPr/>
        <w:tc>
          <w:tcPr>
            <w:tcW w:w="4024" w:type="dxa"/>
            <w:tcBorders>
              <w:left w:val="single" w:sz="2" w:space="0" w:color="000000"/>
              <w:bottom w:val="single" w:sz="2" w:space="0" w:color="000000"/>
            </w:tcBorders>
          </w:tcPr>
          <w:p>
            <w:pPr>
              <w:pStyle w:val="Contingutdelataula"/>
              <w:widowControl w:val="false"/>
              <w:rPr>
                <w:sz w:val="22"/>
                <w:szCs w:val="22"/>
              </w:rPr>
            </w:pPr>
            <w:r>
              <w:rPr>
                <w:sz w:val="22"/>
                <w:szCs w:val="22"/>
              </w:rPr>
              <w:t>1,5 x Valor anual mitjá del contracte</w:t>
            </w:r>
          </w:p>
        </w:tc>
        <w:tc>
          <w:tcPr>
            <w:tcW w:w="2100" w:type="dxa"/>
            <w:tcBorders>
              <w:left w:val="single" w:sz="2" w:space="0" w:color="000000"/>
              <w:bottom w:val="single" w:sz="2" w:space="0" w:color="000000"/>
              <w:right w:val="single" w:sz="2" w:space="0" w:color="000000"/>
            </w:tcBorders>
          </w:tcPr>
          <w:p>
            <w:pPr>
              <w:pStyle w:val="Contingutdelataula"/>
              <w:widowControl w:val="false"/>
              <w:jc w:val="right"/>
              <w:rPr>
                <w:sz w:val="22"/>
                <w:szCs w:val="22"/>
              </w:rPr>
            </w:pPr>
            <w:r>
              <w:rPr>
                <w:sz w:val="22"/>
                <w:szCs w:val="22"/>
              </w:rPr>
              <w:t>1.562.895,18 €</w:t>
            </w:r>
          </w:p>
        </w:tc>
      </w:tr>
    </w:tbl>
    <w:p>
      <w:pPr>
        <w:pStyle w:val="Normal"/>
        <w:jc w:val="both"/>
        <w:rPr>
          <w:sz w:val="22"/>
          <w:shd w:fill="auto" w:val="clear"/>
        </w:rPr>
      </w:pPr>
      <w:r>
        <w:rPr>
          <w:sz w:val="22"/>
          <w:shd w:fill="auto" w:val="clear"/>
        </w:rPr>
      </w:r>
    </w:p>
    <w:p>
      <w:pPr>
        <w:pStyle w:val="Normal"/>
        <w:jc w:val="both"/>
        <w:rPr>
          <w:sz w:val="22"/>
        </w:rPr>
      </w:pPr>
      <w:r>
        <w:rPr>
          <w:sz w:val="22"/>
        </w:rPr>
        <w:t>El requeriment de solvència econòmica i financera té caràcter selectiu.</w:t>
      </w:r>
    </w:p>
    <w:p>
      <w:pPr>
        <w:pStyle w:val="Normal"/>
        <w:jc w:val="both"/>
        <w:rPr>
          <w:sz w:val="22"/>
        </w:rPr>
      </w:pPr>
      <w:r>
        <w:rPr>
          <w:sz w:val="22"/>
        </w:rPr>
      </w:r>
    </w:p>
    <w:p>
      <w:pPr>
        <w:pStyle w:val="Normal"/>
        <w:rPr>
          <w:sz w:val="22"/>
          <w:szCs w:val="22"/>
        </w:rPr>
      </w:pPr>
      <w:r>
        <w:rPr>
          <w:sz w:val="22"/>
          <w:szCs w:val="22"/>
        </w:rPr>
        <w:t>La solvència econòmica i financera s’acredita pels següents mitjans:</w:t>
      </w:r>
    </w:p>
    <w:p>
      <w:pPr>
        <w:pStyle w:val="Normal"/>
        <w:rPr>
          <w:sz w:val="22"/>
          <w:szCs w:val="22"/>
        </w:rPr>
      </w:pPr>
      <w:r>
        <w:rPr>
          <w:sz w:val="22"/>
          <w:szCs w:val="22"/>
        </w:rPr>
      </w:r>
    </w:p>
    <w:p>
      <w:pPr>
        <w:pStyle w:val="Normal"/>
        <w:numPr>
          <w:ilvl w:val="0"/>
          <w:numId w:val="31"/>
        </w:numPr>
        <w:tabs>
          <w:tab w:val="clear" w:pos="720"/>
          <w:tab w:val="left" w:pos="426" w:leader="none"/>
        </w:tabs>
        <w:jc w:val="both"/>
        <w:rPr>
          <w:sz w:val="22"/>
          <w:szCs w:val="22"/>
        </w:rPr>
      </w:pPr>
      <w:r>
        <w:rPr>
          <w:sz w:val="22"/>
          <w:szCs w:val="22"/>
        </w:rPr>
        <w:t>Comptes anuals i declaració de l’empresari indicant el volum de negocis global de l’empresa.</w:t>
      </w:r>
    </w:p>
    <w:p>
      <w:pPr>
        <w:pStyle w:val="Normal"/>
        <w:jc w:val="both"/>
        <w:rPr>
          <w:sz w:val="22"/>
          <w:szCs w:val="22"/>
        </w:rPr>
      </w:pPr>
      <w:r>
        <w:rPr>
          <w:sz w:val="22"/>
          <w:szCs w:val="22"/>
        </w:rPr>
      </w:r>
    </w:p>
    <w:p>
      <w:pPr>
        <w:pStyle w:val="Normal"/>
        <w:jc w:val="both"/>
        <w:rPr/>
      </w:pPr>
      <w:r>
        <w:rPr>
          <w:sz w:val="22"/>
          <w:szCs w:val="22"/>
        </w:rPr>
        <w:t>Es podrà acreditar la solvència econòmica i financera per qualsevol dels altres mitjans previstos a l’article 87 de la LCSP.</w:t>
      </w:r>
    </w:p>
    <w:p>
      <w:pPr>
        <w:pStyle w:val="Normal"/>
        <w:jc w:val="both"/>
        <w:rPr>
          <w:sz w:val="22"/>
          <w:szCs w:val="22"/>
        </w:rPr>
      </w:pPr>
      <w:r>
        <w:rPr>
          <w:sz w:val="22"/>
          <w:szCs w:val="22"/>
        </w:rPr>
      </w:r>
    </w:p>
    <w:p>
      <w:pPr>
        <w:pStyle w:val="Normal"/>
        <w:jc w:val="both"/>
        <w:rPr/>
      </w:pPr>
      <w:r>
        <w:rPr>
          <w:sz w:val="22"/>
        </w:rPr>
        <w:t xml:space="preserve">La inscripció en </w:t>
      </w:r>
      <w:r>
        <w:rPr>
          <w:sz w:val="22"/>
          <w:szCs w:val="22"/>
        </w:rPr>
        <w:t>el Registre Oficial de Licitadors i Empreses Classificades de l’Estat (ROLECE) i/o en el Registre Electrònic de Licitadors (RELI)</w:t>
      </w:r>
      <w:r>
        <w:rPr>
          <w:sz w:val="22"/>
        </w:rPr>
        <w:t xml:space="preserve"> acredita, segons el que hi estigui reflectit, les condicions d’aptitud de l’empresari quant a la seva solvència econòmica i financera.</w:t>
      </w:r>
    </w:p>
    <w:p>
      <w:pPr>
        <w:pStyle w:val="Normal"/>
        <w:jc w:val="both"/>
        <w:rPr>
          <w:sz w:val="22"/>
        </w:rPr>
      </w:pPr>
      <w:r>
        <w:rPr>
          <w:sz w:val="22"/>
        </w:rPr>
      </w:r>
    </w:p>
    <w:p>
      <w:pPr>
        <w:pStyle w:val="Normal"/>
        <w:jc w:val="both"/>
        <w:rPr>
          <w:sz w:val="22"/>
          <w:szCs w:val="22"/>
        </w:rPr>
      </w:pPr>
      <w:r>
        <w:rPr>
          <w:sz w:val="22"/>
          <w:szCs w:val="22"/>
        </w:rPr>
        <w:t xml:space="preserve">El moment decisiu per apreciar la concurrència dels requisits de solvència exigits per contractar amb l'Administració serà la data de finalització de la presentació d’ofertes. </w:t>
      </w:r>
    </w:p>
    <w:p>
      <w:pPr>
        <w:pStyle w:val="Normal"/>
        <w:jc w:val="both"/>
        <w:rPr>
          <w:sz w:val="22"/>
        </w:rPr>
      </w:pPr>
      <w:r>
        <w:rPr>
          <w:sz w:val="22"/>
        </w:rPr>
      </w:r>
    </w:p>
    <w:p>
      <w:pPr>
        <w:pStyle w:val="Normal"/>
        <w:jc w:val="both"/>
        <w:rPr>
          <w:sz w:val="22"/>
          <w:szCs w:val="22"/>
        </w:rPr>
      </w:pPr>
      <w:r>
        <w:rPr>
          <w:sz w:val="22"/>
          <w:szCs w:val="22"/>
        </w:rPr>
        <w:t>Les empreses licitadores poden recórrer per a l’execució del contracte a les capacitats d'altres entitats, amb independència de la naturalesa jurídica dels vincles que tinguin amb elles, per tal d’acreditar la seva solvència econòmica i financera i tècnica i professional, sempre que aquestes entitats no estiguin incurses en prohibició de contractar i que les empreses licitadores demostrin que durant tota la durada de l’execució del contracte disposaran efectivament dels recursos necessaris mitjançant la presentació a tal efecte del compromís per escrit de les entitats esmentades. No obstant això, respecte als criteris relatius als títols d'estudis i professionals i a l'experiència professional, les empreses només poden recórrer a les capacitats d'altres entitats si aquestes presten els serveis per als quals són necessàries les capacitats esmentades.</w:t>
      </w:r>
    </w:p>
    <w:p>
      <w:pPr>
        <w:pStyle w:val="Normal"/>
        <w:jc w:val="both"/>
        <w:rPr>
          <w:sz w:val="22"/>
          <w:szCs w:val="22"/>
        </w:rPr>
      </w:pPr>
      <w:r>
        <w:rPr>
          <w:sz w:val="22"/>
          <w:szCs w:val="22"/>
        </w:rPr>
      </w:r>
    </w:p>
    <w:p>
      <w:pPr>
        <w:pStyle w:val="Normal"/>
        <w:jc w:val="both"/>
        <w:rPr>
          <w:sz w:val="22"/>
          <w:szCs w:val="22"/>
        </w:rPr>
      </w:pPr>
      <w:r>
        <w:rPr>
          <w:sz w:val="22"/>
          <w:szCs w:val="22"/>
        </w:rPr>
        <w:t>En les mateixes condicions, les UTE poden recórrer a les capacitats dels participants en la unió o d'altres entitats.</w:t>
      </w:r>
    </w:p>
    <w:p>
      <w:pPr>
        <w:pStyle w:val="Normal"/>
        <w:jc w:val="both"/>
        <w:rPr>
          <w:sz w:val="22"/>
          <w:szCs w:val="22"/>
        </w:rPr>
      </w:pPr>
      <w:r>
        <w:rPr>
          <w:sz w:val="22"/>
          <w:szCs w:val="22"/>
        </w:rPr>
      </w:r>
    </w:p>
    <w:p>
      <w:pPr>
        <w:pStyle w:val="Normal"/>
        <w:jc w:val="both"/>
        <w:rPr>
          <w:sz w:val="22"/>
          <w:szCs w:val="22"/>
        </w:rPr>
      </w:pPr>
      <w:r>
        <w:rPr>
          <w:sz w:val="22"/>
          <w:szCs w:val="22"/>
        </w:rPr>
        <w:t>Els certificats comunitaris d’empresaris autoritzats per contractar als que fa referència l’article 97 de la LCSP constitueixen una presumpció d’aptitud en relació amb els requisits de selecció qualitativa que figurin en aquests.</w:t>
      </w:r>
    </w:p>
    <w:p>
      <w:pPr>
        <w:pStyle w:val="Normal"/>
        <w:jc w:val="both"/>
        <w:rPr>
          <w:sz w:val="22"/>
          <w:szCs w:val="22"/>
        </w:rPr>
      </w:pPr>
      <w:r>
        <w:rPr>
          <w:sz w:val="22"/>
          <w:szCs w:val="22"/>
        </w:rPr>
      </w:r>
    </w:p>
    <w:p>
      <w:pPr>
        <w:pStyle w:val="Normal"/>
        <w:jc w:val="both"/>
        <w:rPr>
          <w:sz w:val="22"/>
          <w:szCs w:val="22"/>
        </w:rPr>
      </w:pPr>
      <w:r>
        <w:rPr>
          <w:sz w:val="22"/>
          <w:szCs w:val="22"/>
        </w:rPr>
        <w:t>En les UTE, totes les empreses que en formen part han d’acreditar la seva solvència. Per tal de determinar la solvència de la unió temporal, s’acumula l’acreditada per cadascuna de les seves integrants.</w:t>
      </w:r>
    </w:p>
    <w:p>
      <w:pPr>
        <w:pStyle w:val="Normal"/>
        <w:jc w:val="both"/>
        <w:rPr>
          <w:sz w:val="22"/>
          <w:szCs w:val="22"/>
        </w:rPr>
      </w:pPr>
      <w:r>
        <w:rPr>
          <w:sz w:val="22"/>
          <w:szCs w:val="22"/>
        </w:rPr>
      </w:r>
    </w:p>
    <w:p>
      <w:pPr>
        <w:pStyle w:val="Encapalament7"/>
        <w:numPr>
          <w:ilvl w:val="0"/>
          <w:numId w:val="0"/>
        </w:numPr>
        <w:ind w:left="0" w:hanging="0"/>
        <w:rPr>
          <w:szCs w:val="22"/>
          <w:highlight w:val="green"/>
        </w:rPr>
      </w:pPr>
      <w:r>
        <w:rPr>
          <w:szCs w:val="22"/>
          <w:highlight w:val="green"/>
        </w:rPr>
      </w:r>
    </w:p>
    <w:p>
      <w:pPr>
        <w:pStyle w:val="Encapalament7"/>
        <w:rPr/>
      </w:pPr>
      <w:r>
        <w:rPr>
          <w:szCs w:val="22"/>
        </w:rPr>
        <w:t>VINT-I-UNENA.- Solvència tècnica o professional</w:t>
      </w:r>
    </w:p>
    <w:p>
      <w:pPr>
        <w:pStyle w:val="Normal"/>
        <w:rPr>
          <w:szCs w:val="22"/>
        </w:rPr>
      </w:pPr>
      <w:r>
        <w:rPr>
          <w:szCs w:val="22"/>
        </w:rPr>
      </w:r>
    </w:p>
    <w:p>
      <w:pPr>
        <w:pStyle w:val="Normal"/>
        <w:jc w:val="both"/>
        <w:rPr>
          <w:sz w:val="22"/>
        </w:rPr>
      </w:pPr>
      <w:r>
        <w:rPr>
          <w:sz w:val="22"/>
        </w:rPr>
      </w:r>
    </w:p>
    <w:p>
      <w:pPr>
        <w:pStyle w:val="Normal"/>
        <w:jc w:val="both"/>
        <w:rPr>
          <w:sz w:val="22"/>
        </w:rPr>
      </w:pPr>
      <w:r>
        <w:rPr>
          <w:sz w:val="22"/>
        </w:rPr>
        <w:t xml:space="preserve">La solvència tècnica o professional dels empresaris ha de ser la següent: </w:t>
      </w:r>
    </w:p>
    <w:p>
      <w:pPr>
        <w:pStyle w:val="Normal"/>
        <w:jc w:val="both"/>
        <w:rPr>
          <w:sz w:val="22"/>
        </w:rPr>
      </w:pPr>
      <w:r>
        <w:rPr>
          <w:sz w:val="22"/>
        </w:rPr>
      </w:r>
    </w:p>
    <w:p>
      <w:pPr>
        <w:pStyle w:val="Normal"/>
        <w:tabs>
          <w:tab w:val="clear" w:pos="720"/>
          <w:tab w:val="left" w:pos="426" w:leader="none"/>
        </w:tabs>
        <w:ind w:left="426" w:hanging="426"/>
        <w:jc w:val="both"/>
        <w:rPr>
          <w:sz w:val="22"/>
        </w:rPr>
      </w:pPr>
      <w:r>
        <w:rPr>
          <w:sz w:val="22"/>
        </w:rPr>
        <w:t>a)</w:t>
        <w:tab/>
      </w:r>
      <w:r>
        <w:rPr>
          <w:sz w:val="22"/>
          <w:shd w:fill="auto" w:val="clear"/>
        </w:rPr>
        <w:t>Haver realitzat serveis de la mateixa o similar naturalesa als que constitueixen l’objecte del contracte en el curs de, com a màxim, els últims tres anys.</w:t>
      </w:r>
    </w:p>
    <w:p>
      <w:pPr>
        <w:pStyle w:val="Normal"/>
        <w:tabs>
          <w:tab w:val="clear" w:pos="720"/>
          <w:tab w:val="left" w:pos="426" w:leader="none"/>
        </w:tabs>
        <w:ind w:left="426" w:hanging="426"/>
        <w:jc w:val="both"/>
        <w:rPr>
          <w:sz w:val="22"/>
          <w:shd w:fill="auto" w:val="clear"/>
        </w:rPr>
      </w:pPr>
      <w:r>
        <w:rPr>
          <w:sz w:val="22"/>
          <w:shd w:fill="auto" w:val="clear"/>
        </w:rPr>
      </w:r>
    </w:p>
    <w:p>
      <w:pPr>
        <w:pStyle w:val="Normal"/>
        <w:jc w:val="both"/>
        <w:rPr>
          <w:shd w:fill="auto" w:val="clear"/>
        </w:rPr>
      </w:pPr>
      <w:r>
        <w:rPr>
          <w:sz w:val="22"/>
          <w:shd w:fill="auto" w:val="clear"/>
        </w:rPr>
        <w:t>El requeriment de solvència tècnica o professional té caràcter selectiu.</w:t>
      </w:r>
    </w:p>
    <w:p>
      <w:pPr>
        <w:pStyle w:val="Normal"/>
        <w:jc w:val="both"/>
        <w:rPr>
          <w:sz w:val="22"/>
        </w:rPr>
      </w:pPr>
      <w:r>
        <w:rPr>
          <w:sz w:val="22"/>
        </w:rPr>
      </w:r>
    </w:p>
    <w:p>
      <w:pPr>
        <w:pStyle w:val="Normal"/>
        <w:jc w:val="both"/>
        <w:rPr>
          <w:sz w:val="22"/>
        </w:rPr>
      </w:pPr>
      <w:r>
        <w:rPr>
          <w:sz w:val="22"/>
        </w:rPr>
        <w:t xml:space="preserve">La solvència tècnica o professional dels empresaris s'acreditarà pels següents mitjans: </w:t>
      </w:r>
    </w:p>
    <w:p>
      <w:pPr>
        <w:pStyle w:val="Normal"/>
        <w:jc w:val="both"/>
        <w:rPr>
          <w:sz w:val="22"/>
        </w:rPr>
      </w:pPr>
      <w:r>
        <w:rPr>
          <w:sz w:val="22"/>
        </w:rPr>
      </w:r>
    </w:p>
    <w:p>
      <w:pPr>
        <w:pStyle w:val="Normal"/>
        <w:jc w:val="both"/>
        <w:rPr>
          <w:i/>
          <w:i/>
          <w:sz w:val="22"/>
          <w:highlight w:val="green"/>
        </w:rPr>
      </w:pPr>
      <w:r>
        <w:rPr>
          <w:i/>
          <w:sz w:val="22"/>
          <w:highlight w:val="green"/>
        </w:rPr>
      </w:r>
    </w:p>
    <w:p>
      <w:pPr>
        <w:pStyle w:val="Normal"/>
        <w:tabs>
          <w:tab w:val="clear" w:pos="720"/>
          <w:tab w:val="left" w:pos="426" w:leader="none"/>
        </w:tabs>
        <w:ind w:left="426" w:hanging="426"/>
        <w:jc w:val="both"/>
        <w:rPr/>
      </w:pPr>
      <w:r>
        <w:rPr>
          <w:sz w:val="22"/>
        </w:rPr>
        <w:t>a)</w:t>
        <w:tab/>
      </w:r>
      <w:r>
        <w:rPr>
          <w:sz w:val="22"/>
          <w:shd w:fill="auto" w:val="clear"/>
        </w:rPr>
        <w:t xml:space="preserve">Una relació dels principals </w:t>
      </w:r>
      <w:r>
        <w:rPr>
          <w:color w:val="000000"/>
          <w:sz w:val="22"/>
          <w:shd w:fill="auto" w:val="clear"/>
        </w:rPr>
        <w:t xml:space="preserve">serveis </w:t>
      </w:r>
      <w:r>
        <w:rPr>
          <w:sz w:val="22"/>
          <w:shd w:fill="auto" w:val="clear"/>
        </w:rPr>
        <w:t>o treballs efectuats de la mateixa o similar naturalesa que els que constitueixen l’objecte del contracte en el curs de, com a màxim, els tres últims anys, en la qual se n’indiqui l’import, la data i el destinatari, públic o privat. Quan li ho requereixin els serveis que depenen de l’òrgan de contractació, els serveis o treballs efectuats s’han d’acreditar mitjançant certificats expedits o visats per l’òrgan competent, quan el destinatari sigui una entitat del sector públic; quan el destinatari sigui un subjecte privat, mitjançant un certificat expedit per aquest o, a falta d’aquest certificat, mitjançant una declaració de l’empresari, acompanyada dels documents en poder seu que acreditin la realització de la prestació.</w:t>
      </w:r>
    </w:p>
    <w:p>
      <w:pPr>
        <w:pStyle w:val="Normal"/>
        <w:jc w:val="both"/>
        <w:rPr>
          <w:i/>
          <w:i/>
          <w:sz w:val="22"/>
          <w:szCs w:val="22"/>
        </w:rPr>
      </w:pPr>
      <w:r>
        <w:rPr>
          <w:i/>
          <w:sz w:val="22"/>
          <w:szCs w:val="22"/>
        </w:rPr>
      </w:r>
    </w:p>
    <w:p>
      <w:pPr>
        <w:pStyle w:val="Normal"/>
        <w:jc w:val="both"/>
        <w:rPr>
          <w:shd w:fill="auto" w:val="clear"/>
        </w:rPr>
      </w:pPr>
      <w:r>
        <w:rPr>
          <w:sz w:val="22"/>
          <w:shd w:fill="auto" w:val="clear"/>
        </w:rPr>
        <w:t>Es podrà acreditar la solvència tècnica i professional per qualsevol dels altres mitjans previstos a l’article 90 de la LCSP.</w:t>
      </w:r>
    </w:p>
    <w:p>
      <w:pPr>
        <w:pStyle w:val="Normal"/>
        <w:tabs>
          <w:tab w:val="clear" w:pos="720"/>
          <w:tab w:val="left" w:pos="426" w:leader="none"/>
        </w:tabs>
        <w:ind w:left="426" w:hanging="426"/>
        <w:jc w:val="both"/>
        <w:rPr>
          <w:sz w:val="22"/>
        </w:rPr>
      </w:pPr>
      <w:r>
        <w:rPr>
          <w:sz w:val="22"/>
        </w:rPr>
      </w:r>
    </w:p>
    <w:p>
      <w:pPr>
        <w:pStyle w:val="Normal"/>
        <w:jc w:val="both"/>
        <w:rPr>
          <w:sz w:val="22"/>
          <w:szCs w:val="22"/>
        </w:rPr>
      </w:pPr>
      <w:r>
        <w:rPr>
          <w:sz w:val="22"/>
          <w:szCs w:val="22"/>
        </w:rPr>
        <w:t>El moment decisiu per apreciar la concurrència dels requisits de solvència exigits per contractar amb l'Administració serà la data de finalització de la presentació d’ofertes.</w:t>
      </w:r>
    </w:p>
    <w:p>
      <w:pPr>
        <w:pStyle w:val="Normal"/>
        <w:jc w:val="both"/>
        <w:rPr>
          <w:color w:val="000000"/>
          <w:sz w:val="22"/>
          <w:szCs w:val="22"/>
        </w:rPr>
      </w:pPr>
      <w:r>
        <w:rPr>
          <w:color w:val="000000"/>
          <w:sz w:val="22"/>
          <w:szCs w:val="22"/>
        </w:rPr>
      </w:r>
    </w:p>
    <w:p>
      <w:pPr>
        <w:pStyle w:val="Normal"/>
        <w:jc w:val="both"/>
        <w:rPr>
          <w:sz w:val="22"/>
        </w:rPr>
      </w:pPr>
      <w:r>
        <w:rPr>
          <w:sz w:val="22"/>
        </w:rPr>
        <w:t xml:space="preserve">La inscripció en </w:t>
      </w:r>
      <w:r>
        <w:rPr>
          <w:sz w:val="22"/>
          <w:szCs w:val="22"/>
        </w:rPr>
        <w:t>el Registre Oficial de Licitadors i Empreses Classificades de l’Estat (ROLECE) i/o en el Registre Electrònic de Licitadors (RELI)</w:t>
      </w:r>
      <w:r>
        <w:rPr>
          <w:sz w:val="22"/>
        </w:rPr>
        <w:t xml:space="preserve"> acredita, segons el que hi estigui reflectit, les condicions d’aptitud de l’empresari quant a la seva solvència tècnica o professional.</w:t>
      </w:r>
    </w:p>
    <w:p>
      <w:pPr>
        <w:pStyle w:val="Normal"/>
        <w:jc w:val="both"/>
        <w:rPr>
          <w:sz w:val="22"/>
        </w:rPr>
      </w:pPr>
      <w:r>
        <w:rPr>
          <w:sz w:val="22"/>
        </w:rPr>
      </w:r>
    </w:p>
    <w:p>
      <w:pPr>
        <w:pStyle w:val="Encapalament7"/>
        <w:numPr>
          <w:ilvl w:val="0"/>
          <w:numId w:val="0"/>
        </w:numPr>
        <w:ind w:left="0" w:hanging="0"/>
        <w:rPr/>
      </w:pPr>
      <w:r>
        <w:rPr/>
      </w:r>
    </w:p>
    <w:p>
      <w:pPr>
        <w:pStyle w:val="Normal"/>
        <w:jc w:val="both"/>
        <w:rPr>
          <w:b/>
          <w:b/>
          <w:sz w:val="22"/>
          <w:szCs w:val="22"/>
        </w:rPr>
      </w:pPr>
      <w:r>
        <w:rPr>
          <w:b/>
          <w:sz w:val="22"/>
          <w:szCs w:val="22"/>
        </w:rPr>
        <w:t>VINT-I-DOSENA.- Condicions especials d’execució del contracte</w:t>
      </w:r>
    </w:p>
    <w:p>
      <w:pPr>
        <w:pStyle w:val="Normal"/>
        <w:jc w:val="both"/>
        <w:rPr>
          <w:b/>
          <w:b/>
          <w:sz w:val="22"/>
          <w:szCs w:val="22"/>
        </w:rPr>
      </w:pPr>
      <w:r>
        <w:rPr>
          <w:b/>
          <w:sz w:val="22"/>
          <w:szCs w:val="22"/>
        </w:rPr>
      </w:r>
    </w:p>
    <w:p>
      <w:pPr>
        <w:pStyle w:val="Normal"/>
        <w:jc w:val="both"/>
        <w:rPr/>
      </w:pPr>
      <w:r>
        <w:rPr>
          <w:sz w:val="22"/>
          <w:szCs w:val="22"/>
        </w:rPr>
        <w:t xml:space="preserve">S’estableixen les condicions especials següents en relació a l’execució del contracte, a les quals </w:t>
      </w:r>
      <w:bookmarkStart w:id="7" w:name="OLE_LINK1"/>
      <w:bookmarkStart w:id="8" w:name="OLE_LINK2"/>
      <w:r>
        <w:rPr>
          <w:sz w:val="22"/>
          <w:szCs w:val="22"/>
        </w:rPr>
        <w:t>s’atribueix el caràcter d’obligacions contractuals essencials als efectes assenyalats a l’article 211.1 f) de la LCSP</w:t>
      </w:r>
      <w:bookmarkEnd w:id="7"/>
      <w:bookmarkEnd w:id="8"/>
      <w:r>
        <w:rPr>
          <w:sz w:val="22"/>
          <w:szCs w:val="22"/>
        </w:rPr>
        <w:t>:</w:t>
      </w:r>
    </w:p>
    <w:p>
      <w:pPr>
        <w:pStyle w:val="Normal"/>
        <w:jc w:val="both"/>
        <w:rPr>
          <w:color w:val="000000"/>
          <w:sz w:val="22"/>
          <w:szCs w:val="22"/>
          <w:shd w:fill="auto" w:val="clear"/>
        </w:rPr>
      </w:pPr>
      <w:r>
        <w:rPr>
          <w:color w:val="000000"/>
          <w:sz w:val="22"/>
          <w:szCs w:val="22"/>
          <w:shd w:fill="auto" w:val="clear"/>
        </w:rPr>
      </w:r>
    </w:p>
    <w:p>
      <w:pPr>
        <w:pStyle w:val="Normal"/>
        <w:numPr>
          <w:ilvl w:val="0"/>
          <w:numId w:val="17"/>
        </w:numPr>
        <w:jc w:val="both"/>
        <w:rPr>
          <w:shd w:fill="auto" w:val="clear"/>
        </w:rPr>
      </w:pPr>
      <w:r>
        <w:rPr>
          <w:sz w:val="22"/>
          <w:szCs w:val="22"/>
          <w:shd w:fill="auto" w:val="clear"/>
        </w:rPr>
        <w:t>Atenent que aquesta prestació implica relació habitual amb menors d’edat, caldrà que l'empresa adjudicatària certifiqui que el personal adscrit al contracte dona compliment als requeriments de la Llei orgànica 8/2021, de 4 de juny, de protecció integral a la infància i l'adolescència enfront de la violència, la qual estableix al seu article 57 que serà requisit per a l'accés i exercici de qualssevol professions, oficis i activitats que impliquin contacte habitual amb persones menors d'edat, el no haver estat condemnat per sentència ferma per qualsevol delicte contra la llibertat i indemnitat sexuals tipificats en el títol VIII de la Llei orgànica 10/1995, de 23 de novembre, del Codi Penal, així com per qualsevol delicte de tràfic d'éssers humans tipificat en el títol VII bis del Codi Penal. A aquest efecte, qui pretengui l'accés a tals professions, oficis o activitats haurà d'acreditar aquesta circumstància mitjançant l'aportació d'una certificació negativa del Registre Central de delinqüents sexuals.</w:t>
      </w:r>
    </w:p>
    <w:p>
      <w:pPr>
        <w:pStyle w:val="Normal"/>
        <w:suppressAutoHyphens w:val="false"/>
        <w:jc w:val="both"/>
        <w:rPr>
          <w:shd w:fill="auto" w:val="clear"/>
        </w:rPr>
      </w:pPr>
      <w:r>
        <w:rPr>
          <w:shd w:fill="auto" w:val="clear"/>
        </w:rPr>
      </w:r>
    </w:p>
    <w:p>
      <w:pPr>
        <w:pStyle w:val="Normal"/>
        <w:numPr>
          <w:ilvl w:val="0"/>
          <w:numId w:val="17"/>
        </w:numPr>
        <w:jc w:val="both"/>
        <w:rPr>
          <w:shd w:fill="auto" w:val="clear"/>
        </w:rPr>
      </w:pPr>
      <w:r>
        <w:rPr>
          <w:sz w:val="22"/>
          <w:szCs w:val="22"/>
          <w:shd w:fill="auto" w:val="clear"/>
        </w:rPr>
        <w:t xml:space="preserve">Sobre l’arbitratge de consum:  (En determinats casos, si hi ha persones usuàries) </w:t>
      </w:r>
    </w:p>
    <w:p>
      <w:pPr>
        <w:pStyle w:val="Normal"/>
        <w:ind w:left="720" w:hanging="0"/>
        <w:jc w:val="both"/>
        <w:rPr>
          <w:shd w:fill="auto" w:val="clear"/>
        </w:rPr>
      </w:pPr>
      <w:r>
        <w:rPr>
          <w:sz w:val="22"/>
          <w:szCs w:val="22"/>
          <w:shd w:fill="auto" w:val="clear"/>
        </w:rPr>
        <w:t>Els conflictes, controvèrsies i reclamacions que sorgeixin entre l’empresa adjudicatària i les persones usuàries, en les relacions jurídiques de consum que es donin durant l’execució del contracte, s’han de resoldre per mitjà del Sistema Arbitral de Consum si les persones consumidores o usuàries presenten la sol·licitud corresponent davant una Junta Arbitral de Consum.</w:t>
      </w:r>
    </w:p>
    <w:p>
      <w:pPr>
        <w:pStyle w:val="Normal"/>
        <w:tabs>
          <w:tab w:val="clear" w:pos="720"/>
          <w:tab w:val="left" w:pos="3375" w:leader="none"/>
        </w:tabs>
        <w:jc w:val="both"/>
        <w:rPr>
          <w:shd w:fill="auto" w:val="clear"/>
        </w:rPr>
      </w:pPr>
      <w:r>
        <w:rPr>
          <w:sz w:val="22"/>
          <w:szCs w:val="22"/>
          <w:shd w:fill="auto" w:val="clear"/>
        </w:rPr>
        <w:tab/>
      </w:r>
    </w:p>
    <w:p>
      <w:pPr>
        <w:pStyle w:val="Normal"/>
        <w:numPr>
          <w:ilvl w:val="0"/>
          <w:numId w:val="17"/>
        </w:numPr>
        <w:jc w:val="both"/>
        <w:rPr>
          <w:sz w:val="22"/>
          <w:szCs w:val="22"/>
        </w:rPr>
      </w:pPr>
      <w:r>
        <w:rPr>
          <w:sz w:val="22"/>
          <w:szCs w:val="22"/>
        </w:rPr>
        <w:t xml:space="preserve">Sobre l’adscripció de mitjans personals i materials: </w:t>
      </w:r>
    </w:p>
    <w:p>
      <w:pPr>
        <w:pStyle w:val="Normal"/>
        <w:jc w:val="both"/>
        <w:rPr>
          <w:color w:val="000000"/>
          <w:sz w:val="22"/>
          <w:szCs w:val="22"/>
        </w:rPr>
      </w:pPr>
      <w:r>
        <w:rPr>
          <w:color w:val="000000"/>
          <w:sz w:val="22"/>
          <w:szCs w:val="22"/>
        </w:rPr>
      </w:r>
    </w:p>
    <w:p>
      <w:pPr>
        <w:pStyle w:val="Normal"/>
        <w:ind w:left="426" w:hanging="0"/>
        <w:jc w:val="both"/>
        <w:rPr/>
      </w:pPr>
      <w:r>
        <w:rPr>
          <w:color w:val="000000"/>
          <w:sz w:val="22"/>
          <w:szCs w:val="22"/>
        </w:rPr>
        <w:t xml:space="preserve">L’empresa contractista dedicarà o adscriurà </w:t>
      </w:r>
      <w:r>
        <w:rPr>
          <w:sz w:val="22"/>
          <w:szCs w:val="22"/>
        </w:rPr>
        <w:t xml:space="preserve">a l'execució del contracte els mitjans personals i materials suficients per a això. </w:t>
      </w:r>
    </w:p>
    <w:p>
      <w:pPr>
        <w:pStyle w:val="Normal"/>
        <w:ind w:left="426" w:hanging="0"/>
        <w:jc w:val="both"/>
        <w:rPr>
          <w:sz w:val="22"/>
          <w:szCs w:val="22"/>
        </w:rPr>
      </w:pPr>
      <w:r>
        <w:rPr>
          <w:sz w:val="22"/>
          <w:szCs w:val="22"/>
        </w:rPr>
      </w:r>
    </w:p>
    <w:p>
      <w:pPr>
        <w:pStyle w:val="Normal"/>
        <w:ind w:left="567" w:hanging="567"/>
        <w:jc w:val="both"/>
        <w:rPr>
          <w:color w:val="000000"/>
          <w:sz w:val="22"/>
          <w:szCs w:val="22"/>
        </w:rPr>
      </w:pPr>
      <w:r>
        <w:rPr>
          <w:color w:val="000000"/>
          <w:sz w:val="22"/>
          <w:szCs w:val="22"/>
        </w:rPr>
      </w:r>
    </w:p>
    <w:p>
      <w:pPr>
        <w:pStyle w:val="Normal"/>
        <w:numPr>
          <w:ilvl w:val="0"/>
          <w:numId w:val="17"/>
        </w:numPr>
        <w:jc w:val="both"/>
        <w:rPr>
          <w:sz w:val="22"/>
          <w:szCs w:val="22"/>
        </w:rPr>
      </w:pPr>
      <w:r>
        <w:rPr>
          <w:sz w:val="22"/>
          <w:szCs w:val="22"/>
        </w:rPr>
        <w:t xml:space="preserve">Sobre el personal laboral de l’empresa contractista: </w:t>
      </w:r>
    </w:p>
    <w:p>
      <w:pPr>
        <w:pStyle w:val="Normal"/>
        <w:jc w:val="both"/>
        <w:rPr>
          <w:sz w:val="22"/>
          <w:szCs w:val="22"/>
        </w:rPr>
      </w:pPr>
      <w:r>
        <w:rPr>
          <w:sz w:val="22"/>
          <w:szCs w:val="22"/>
        </w:rPr>
      </w:r>
    </w:p>
    <w:p>
      <w:pPr>
        <w:pStyle w:val="Normal"/>
        <w:numPr>
          <w:ilvl w:val="1"/>
          <w:numId w:val="7"/>
        </w:numPr>
        <w:tabs>
          <w:tab w:val="clear" w:pos="720"/>
          <w:tab w:val="left" w:pos="0" w:leader="none"/>
          <w:tab w:val="left" w:pos="851" w:leader="none"/>
        </w:tabs>
        <w:ind w:left="851" w:hanging="425"/>
        <w:jc w:val="both"/>
        <w:rPr>
          <w:sz w:val="22"/>
          <w:szCs w:val="22"/>
        </w:rPr>
      </w:pPr>
      <w:r>
        <w:rPr>
          <w:sz w:val="22"/>
          <w:szCs w:val="22"/>
        </w:rPr>
        <w:t xml:space="preserve">Correspon exclusivament a l’empresa la selecció del personal que formarà part de l’equip de treball adscrit a l’execució del contracte. </w:t>
      </w:r>
    </w:p>
    <w:p>
      <w:pPr>
        <w:pStyle w:val="Normal"/>
        <w:tabs>
          <w:tab w:val="clear" w:pos="720"/>
          <w:tab w:val="left" w:pos="851" w:leader="none"/>
        </w:tabs>
        <w:ind w:left="851" w:hanging="425"/>
        <w:jc w:val="both"/>
        <w:rPr>
          <w:sz w:val="22"/>
          <w:szCs w:val="22"/>
        </w:rPr>
      </w:pPr>
      <w:r>
        <w:rPr>
          <w:sz w:val="22"/>
          <w:szCs w:val="22"/>
        </w:rPr>
      </w:r>
    </w:p>
    <w:p>
      <w:pPr>
        <w:pStyle w:val="Normal"/>
        <w:tabs>
          <w:tab w:val="clear" w:pos="720"/>
          <w:tab w:val="left" w:pos="851" w:leader="none"/>
        </w:tabs>
        <w:ind w:left="851" w:hanging="425"/>
        <w:jc w:val="both"/>
        <w:rPr>
          <w:sz w:val="22"/>
          <w:szCs w:val="22"/>
        </w:rPr>
      </w:pPr>
      <w:r>
        <w:rPr>
          <w:sz w:val="22"/>
          <w:szCs w:val="22"/>
        </w:rPr>
        <w:tab/>
        <w:t xml:space="preserve">L’empresa contractista procurarà que existeixi estabilitat en l’equip de treball, i que les variacions en la seva composició siguin puntuals o obeeixin a raons justificades, amb l’objectiu de no alterar el bon funcionament dels serveis, informant en tot moment l’Ajuntament. </w:t>
      </w:r>
    </w:p>
    <w:p>
      <w:pPr>
        <w:pStyle w:val="Normal"/>
        <w:tabs>
          <w:tab w:val="clear" w:pos="720"/>
          <w:tab w:val="left" w:pos="851" w:leader="none"/>
        </w:tabs>
        <w:ind w:left="851" w:hanging="425"/>
        <w:jc w:val="both"/>
        <w:rPr>
          <w:sz w:val="22"/>
          <w:szCs w:val="22"/>
        </w:rPr>
      </w:pPr>
      <w:r>
        <w:rPr>
          <w:sz w:val="22"/>
          <w:szCs w:val="22"/>
        </w:rPr>
      </w:r>
    </w:p>
    <w:p>
      <w:pPr>
        <w:pStyle w:val="Normal"/>
        <w:numPr>
          <w:ilvl w:val="1"/>
          <w:numId w:val="7"/>
        </w:numPr>
        <w:tabs>
          <w:tab w:val="clear" w:pos="720"/>
          <w:tab w:val="left" w:pos="0" w:leader="none"/>
          <w:tab w:val="left" w:pos="851" w:leader="none"/>
        </w:tabs>
        <w:ind w:left="851" w:hanging="425"/>
        <w:jc w:val="both"/>
        <w:rPr>
          <w:sz w:val="22"/>
          <w:szCs w:val="22"/>
        </w:rPr>
      </w:pPr>
      <w:r>
        <w:rPr>
          <w:sz w:val="22"/>
          <w:szCs w:val="22"/>
        </w:rPr>
        <w:t xml:space="preserve">L’empresa contractista assumeix l’obligació d’exercir de manera real, efectiva i continua, sobre el personal integrant de l’equip de treball encarregat de l’execució del contracte, el poder de direcció inherent a tot empresari. En particular, assumirà la negociació i pagament dels salaris, la concessió de permisos, llicències i vacances, les substitucions dels treballadors en cas de baixa o absència, les obligacions legals en matèria de Seguretat Social, inclús l’abonament de cotitzacions i el pagament de prestacions, quan procedeixi, les obligacions legals en matèria de prevenció de riscos laborals, l’exercici de potestat disciplinària, així com quants drets i obligacions derivin de la relació contractual entre treballador i ocupant. </w:t>
      </w:r>
    </w:p>
    <w:p>
      <w:pPr>
        <w:pStyle w:val="Normal"/>
        <w:tabs>
          <w:tab w:val="clear" w:pos="720"/>
          <w:tab w:val="left" w:pos="851" w:leader="none"/>
        </w:tabs>
        <w:ind w:left="851" w:hanging="425"/>
        <w:jc w:val="both"/>
        <w:rPr>
          <w:sz w:val="22"/>
          <w:szCs w:val="22"/>
        </w:rPr>
      </w:pPr>
      <w:r>
        <w:rPr>
          <w:sz w:val="22"/>
          <w:szCs w:val="22"/>
        </w:rPr>
      </w:r>
    </w:p>
    <w:p>
      <w:pPr>
        <w:pStyle w:val="Normal"/>
        <w:numPr>
          <w:ilvl w:val="1"/>
          <w:numId w:val="7"/>
        </w:numPr>
        <w:tabs>
          <w:tab w:val="clear" w:pos="720"/>
          <w:tab w:val="left" w:pos="0" w:leader="none"/>
          <w:tab w:val="left" w:pos="851" w:leader="none"/>
        </w:tabs>
        <w:ind w:left="851" w:hanging="425"/>
        <w:jc w:val="both"/>
        <w:rPr>
          <w:sz w:val="22"/>
          <w:szCs w:val="22"/>
        </w:rPr>
      </w:pPr>
      <w:r>
        <w:rPr>
          <w:sz w:val="22"/>
          <w:szCs w:val="22"/>
        </w:rPr>
        <w:t xml:space="preserve">L’empresa contractista vetllarà especialment perquè els treballadors adscrits a l’execució del contracte desenvolupin la seva activitat sense extralimitar-se en les seves funcions desenvolupades respecte a l’activitat delimitada en els plecs com a objecte del contracte. </w:t>
      </w:r>
    </w:p>
    <w:p>
      <w:pPr>
        <w:pStyle w:val="Normal"/>
        <w:tabs>
          <w:tab w:val="clear" w:pos="720"/>
          <w:tab w:val="left" w:pos="851" w:leader="none"/>
        </w:tabs>
        <w:ind w:left="851" w:hanging="425"/>
        <w:jc w:val="both"/>
        <w:rPr>
          <w:sz w:val="22"/>
          <w:szCs w:val="22"/>
        </w:rPr>
      </w:pPr>
      <w:r>
        <w:rPr>
          <w:sz w:val="22"/>
          <w:szCs w:val="22"/>
        </w:rPr>
      </w:r>
    </w:p>
    <w:p>
      <w:pPr>
        <w:pStyle w:val="Normal"/>
        <w:numPr>
          <w:ilvl w:val="1"/>
          <w:numId w:val="7"/>
        </w:numPr>
        <w:tabs>
          <w:tab w:val="clear" w:pos="720"/>
          <w:tab w:val="left" w:pos="0" w:leader="none"/>
          <w:tab w:val="left" w:pos="851" w:leader="none"/>
        </w:tabs>
        <w:ind w:left="851" w:hanging="425"/>
        <w:jc w:val="both"/>
        <w:rPr>
          <w:sz w:val="22"/>
          <w:szCs w:val="22"/>
        </w:rPr>
      </w:pPr>
      <w:r>
        <w:rPr>
          <w:sz w:val="22"/>
          <w:szCs w:val="22"/>
        </w:rPr>
        <w:t xml:space="preserve">L’empresa contractista haurà de designar almenys un coordinador tècnic o responsable, que tindrà entre les seves obligacions: </w:t>
      </w:r>
    </w:p>
    <w:p>
      <w:pPr>
        <w:pStyle w:val="Normal"/>
        <w:jc w:val="both"/>
        <w:rPr>
          <w:sz w:val="22"/>
          <w:szCs w:val="22"/>
        </w:rPr>
      </w:pPr>
      <w:r>
        <w:rPr>
          <w:sz w:val="22"/>
          <w:szCs w:val="22"/>
        </w:rPr>
      </w:r>
    </w:p>
    <w:p>
      <w:pPr>
        <w:pStyle w:val="Normal"/>
        <w:numPr>
          <w:ilvl w:val="0"/>
          <w:numId w:val="5"/>
        </w:numPr>
        <w:tabs>
          <w:tab w:val="clear" w:pos="720"/>
          <w:tab w:val="left" w:pos="1276" w:leader="none"/>
        </w:tabs>
        <w:ind w:left="1276" w:hanging="425"/>
        <w:jc w:val="both"/>
        <w:rPr>
          <w:sz w:val="22"/>
          <w:szCs w:val="22"/>
        </w:rPr>
      </w:pPr>
      <w:r>
        <w:rPr>
          <w:sz w:val="22"/>
          <w:szCs w:val="22"/>
        </w:rPr>
        <w:t xml:space="preserve">Actuar com a interlocutor de l’empresa contractista davant l’Ajuntament, canalitzant la comunicació entre l’empresa contractista i el personal integrant de l’equip de treball adscrit a l’execució del contracte, d’una banda, i l’Ajuntament, de l’altra., en tot allò que faci referència a les qüestions derivades de l’execució del contracte. </w:t>
      </w:r>
    </w:p>
    <w:p>
      <w:pPr>
        <w:pStyle w:val="Normal"/>
        <w:ind w:left="851" w:hanging="0"/>
        <w:jc w:val="both"/>
        <w:rPr>
          <w:sz w:val="22"/>
          <w:szCs w:val="22"/>
        </w:rPr>
      </w:pPr>
      <w:r>
        <w:rPr>
          <w:sz w:val="22"/>
          <w:szCs w:val="22"/>
        </w:rPr>
      </w:r>
    </w:p>
    <w:p>
      <w:pPr>
        <w:pStyle w:val="Normal"/>
        <w:numPr>
          <w:ilvl w:val="0"/>
          <w:numId w:val="5"/>
        </w:numPr>
        <w:tabs>
          <w:tab w:val="clear" w:pos="720"/>
          <w:tab w:val="left" w:pos="1276" w:leader="none"/>
        </w:tabs>
        <w:ind w:left="1276" w:hanging="425"/>
        <w:jc w:val="both"/>
        <w:rPr>
          <w:sz w:val="22"/>
          <w:szCs w:val="22"/>
        </w:rPr>
      </w:pPr>
      <w:r>
        <w:rPr>
          <w:sz w:val="22"/>
          <w:szCs w:val="22"/>
        </w:rPr>
        <w:t xml:space="preserve">Distribuir el treball entre el personal encarregat de l’execució del contracte, i impartir a aquests treballadors les ordres i instruccions de treball que siguin necessàries en relació amb la prestació dels serveis contractats. </w:t>
      </w:r>
    </w:p>
    <w:p>
      <w:pPr>
        <w:pStyle w:val="Normal"/>
        <w:jc w:val="both"/>
        <w:rPr>
          <w:sz w:val="22"/>
          <w:szCs w:val="22"/>
        </w:rPr>
      </w:pPr>
      <w:r>
        <w:rPr>
          <w:sz w:val="22"/>
          <w:szCs w:val="22"/>
        </w:rPr>
      </w:r>
    </w:p>
    <w:p>
      <w:pPr>
        <w:pStyle w:val="Normal"/>
        <w:numPr>
          <w:ilvl w:val="0"/>
          <w:numId w:val="5"/>
        </w:numPr>
        <w:tabs>
          <w:tab w:val="clear" w:pos="720"/>
          <w:tab w:val="left" w:pos="1276" w:leader="none"/>
        </w:tabs>
        <w:ind w:left="1276" w:hanging="425"/>
        <w:jc w:val="both"/>
        <w:rPr>
          <w:sz w:val="22"/>
          <w:szCs w:val="22"/>
        </w:rPr>
      </w:pPr>
      <w:r>
        <w:rPr>
          <w:sz w:val="22"/>
          <w:szCs w:val="22"/>
        </w:rPr>
        <w:t xml:space="preserve">Supervisar el correcte desenvolupament per part del personal integrant de l’equip de treball de les funcions que tenen encomanades, així com controlar l’assistència d’aquest personal al lloc de treball. </w:t>
      </w:r>
    </w:p>
    <w:p>
      <w:pPr>
        <w:pStyle w:val="Normal"/>
        <w:jc w:val="both"/>
        <w:rPr>
          <w:sz w:val="22"/>
          <w:szCs w:val="22"/>
        </w:rPr>
      </w:pPr>
      <w:r>
        <w:rPr>
          <w:sz w:val="22"/>
          <w:szCs w:val="22"/>
        </w:rPr>
      </w:r>
    </w:p>
    <w:p>
      <w:pPr>
        <w:pStyle w:val="Normal"/>
        <w:numPr>
          <w:ilvl w:val="0"/>
          <w:numId w:val="5"/>
        </w:numPr>
        <w:tabs>
          <w:tab w:val="clear" w:pos="720"/>
          <w:tab w:val="left" w:pos="1276" w:leader="none"/>
        </w:tabs>
        <w:ind w:left="1276" w:hanging="425"/>
        <w:jc w:val="both"/>
        <w:rPr>
          <w:sz w:val="22"/>
          <w:szCs w:val="22"/>
        </w:rPr>
      </w:pPr>
      <w:r>
        <w:rPr>
          <w:sz w:val="22"/>
          <w:szCs w:val="22"/>
        </w:rPr>
        <w:t xml:space="preserve">Organitzar el règim de vacances del personal adscrit a l’execució del contracte, havent de coordinar-se adequadament l’empresa contractista amb l’Ajuntament, per tal de no alterar el bon funcionament dels serveis. </w:t>
      </w:r>
    </w:p>
    <w:p>
      <w:pPr>
        <w:pStyle w:val="Normal"/>
        <w:jc w:val="both"/>
        <w:rPr>
          <w:sz w:val="22"/>
          <w:szCs w:val="22"/>
        </w:rPr>
      </w:pPr>
      <w:r>
        <w:rPr>
          <w:sz w:val="22"/>
          <w:szCs w:val="22"/>
        </w:rPr>
      </w:r>
    </w:p>
    <w:p>
      <w:pPr>
        <w:pStyle w:val="Normal"/>
        <w:numPr>
          <w:ilvl w:val="0"/>
          <w:numId w:val="5"/>
        </w:numPr>
        <w:tabs>
          <w:tab w:val="clear" w:pos="720"/>
          <w:tab w:val="left" w:pos="1276" w:leader="none"/>
        </w:tabs>
        <w:ind w:left="1276" w:hanging="425"/>
        <w:jc w:val="both"/>
        <w:rPr>
          <w:sz w:val="22"/>
          <w:szCs w:val="22"/>
        </w:rPr>
      </w:pPr>
      <w:r>
        <w:rPr>
          <w:sz w:val="22"/>
          <w:szCs w:val="22"/>
        </w:rPr>
        <w:t xml:space="preserve">Informar a l’Ajuntament sobre les variacions, ocasionals o permanents, en la composició de l’equip de treball adscrit a l’execució del contracte. </w:t>
      </w:r>
    </w:p>
    <w:p>
      <w:pPr>
        <w:pStyle w:val="Normal"/>
        <w:ind w:left="567" w:hanging="567"/>
        <w:jc w:val="both"/>
        <w:rPr>
          <w:sz w:val="22"/>
          <w:szCs w:val="22"/>
        </w:rPr>
      </w:pPr>
      <w:r>
        <w:rPr>
          <w:sz w:val="22"/>
          <w:szCs w:val="22"/>
        </w:rPr>
      </w:r>
    </w:p>
    <w:p>
      <w:pPr>
        <w:pStyle w:val="Normal"/>
        <w:numPr>
          <w:ilvl w:val="0"/>
          <w:numId w:val="17"/>
        </w:numPr>
        <w:jc w:val="both"/>
        <w:rPr>
          <w:sz w:val="22"/>
          <w:szCs w:val="22"/>
        </w:rPr>
      </w:pPr>
      <w:r>
        <w:rPr>
          <w:sz w:val="22"/>
          <w:szCs w:val="22"/>
        </w:rPr>
        <w:t xml:space="preserve">Sobre el manteniment de les condicions laborals: </w:t>
      </w:r>
    </w:p>
    <w:p>
      <w:pPr>
        <w:pStyle w:val="Normal"/>
        <w:jc w:val="both"/>
        <w:rPr>
          <w:sz w:val="22"/>
          <w:szCs w:val="22"/>
        </w:rPr>
      </w:pPr>
      <w:r>
        <w:rPr>
          <w:sz w:val="22"/>
          <w:szCs w:val="22"/>
        </w:rPr>
      </w:r>
    </w:p>
    <w:p>
      <w:pPr>
        <w:pStyle w:val="Normal"/>
        <w:tabs>
          <w:tab w:val="clear" w:pos="720"/>
          <w:tab w:val="left" w:pos="1134" w:leader="none"/>
          <w:tab w:val="left" w:pos="1985" w:leader="none"/>
        </w:tabs>
        <w:ind w:left="426" w:hanging="0"/>
        <w:jc w:val="both"/>
        <w:rPr>
          <w:rFonts w:eastAsia="MS Mincho;ＭＳ 明朝"/>
          <w:sz w:val="22"/>
          <w:szCs w:val="22"/>
          <w:lang w:eastAsia="ja-JP"/>
        </w:rPr>
      </w:pPr>
      <w:r>
        <w:rPr>
          <w:rFonts w:eastAsia="MS Mincho;ＭＳ 明朝"/>
          <w:sz w:val="22"/>
          <w:szCs w:val="22"/>
          <w:lang w:eastAsia="ja-JP"/>
        </w:rPr>
        <w:t>Durant tot el període d’execució del contracte, l’empresa contractista està obligada a no minorar unilateralment les condicions de treball, en matèria de jornada i salari, i en termes actualitzats, així com a incorporar qualsevol millora sobre la legislació laboral bàsica aplicable que corresponguin en cada moment als treballadors adscrits al contracte, en funció del conveni col·lectiu que resulti d’aplicació al presentar-se l’oferta, a no ser acord explícit entre l’empresa i la representació dels treballadors.</w:t>
      </w:r>
    </w:p>
    <w:p>
      <w:pPr>
        <w:pStyle w:val="Normal"/>
        <w:tabs>
          <w:tab w:val="clear" w:pos="720"/>
          <w:tab w:val="left" w:pos="1985" w:leader="none"/>
        </w:tabs>
        <w:ind w:left="426" w:hanging="0"/>
        <w:jc w:val="both"/>
        <w:rPr>
          <w:rFonts w:eastAsia="MS Mincho;ＭＳ 明朝"/>
          <w:sz w:val="22"/>
          <w:szCs w:val="22"/>
          <w:lang w:val="es-ES" w:eastAsia="ja-JP"/>
        </w:rPr>
      </w:pPr>
      <w:r>
        <w:rPr>
          <w:rFonts w:eastAsia="MS Mincho;ＭＳ 明朝"/>
          <w:sz w:val="22"/>
          <w:szCs w:val="22"/>
          <w:lang w:val="es-ES" w:eastAsia="ja-JP"/>
        </w:rPr>
      </w:r>
    </w:p>
    <w:p>
      <w:pPr>
        <w:pStyle w:val="Normal"/>
        <w:ind w:left="426" w:hanging="0"/>
        <w:jc w:val="both"/>
        <w:rPr>
          <w:rFonts w:eastAsia="MS Mincho;ＭＳ 明朝"/>
          <w:sz w:val="22"/>
          <w:szCs w:val="22"/>
          <w:lang w:eastAsia="ja-JP"/>
        </w:rPr>
      </w:pPr>
      <w:r>
        <w:rPr>
          <w:rFonts w:eastAsia="MS Mincho;ＭＳ 明朝"/>
          <w:sz w:val="22"/>
          <w:szCs w:val="22"/>
          <w:lang w:eastAsia="ja-JP"/>
        </w:rPr>
        <w:t xml:space="preserve">L’empresa contractista vindrà obligat a facilitar a l’òrgan de contractació qualsevol informació o documentació que li sigui requerida per acreditar el compliment de la condició. </w:t>
      </w:r>
    </w:p>
    <w:p>
      <w:pPr>
        <w:pStyle w:val="Normal"/>
        <w:ind w:left="426" w:hanging="0"/>
        <w:jc w:val="both"/>
        <w:rPr>
          <w:rFonts w:eastAsia="MS Mincho;ＭＳ 明朝"/>
          <w:sz w:val="22"/>
          <w:szCs w:val="22"/>
          <w:lang w:val="es-ES" w:eastAsia="ja-JP"/>
        </w:rPr>
      </w:pPr>
      <w:r>
        <w:rPr>
          <w:rFonts w:eastAsia="MS Mincho;ＭＳ 明朝"/>
          <w:sz w:val="22"/>
          <w:szCs w:val="22"/>
          <w:lang w:val="es-ES" w:eastAsia="ja-JP"/>
        </w:rPr>
      </w:r>
    </w:p>
    <w:p>
      <w:pPr>
        <w:pStyle w:val="Normal"/>
        <w:ind w:left="426" w:hanging="0"/>
        <w:jc w:val="both"/>
        <w:rPr/>
      </w:pPr>
      <w:r>
        <w:rPr>
          <w:rFonts w:eastAsia="MS Mincho;ＭＳ 明朝"/>
          <w:sz w:val="22"/>
          <w:szCs w:val="22"/>
          <w:lang w:eastAsia="ja-JP"/>
        </w:rPr>
        <w:t xml:space="preserve">De no respectar aquesta obligació, s'imposarà una penalitat </w:t>
      </w:r>
      <w:r>
        <w:rPr>
          <w:rFonts w:eastAsia="MS Mincho;ＭＳ 明朝"/>
          <w:sz w:val="22"/>
          <w:szCs w:val="22"/>
          <w:lang w:val="af-ZA" w:eastAsia="ja-JP"/>
        </w:rPr>
        <w:t>l'import</w:t>
      </w:r>
      <w:r>
        <w:rPr>
          <w:rFonts w:eastAsia="MS Mincho;ＭＳ 明朝"/>
          <w:sz w:val="22"/>
          <w:szCs w:val="22"/>
          <w:lang w:eastAsia="ja-JP"/>
        </w:rPr>
        <w:t xml:space="preserve"> de la qual es calcularà aplicant al pressupost del contracte el percentatge en què hagi minorat el salari/hora conveni del treballador adscrit al contracte la reducció del qual s'hagi operat en major mesura, fins al límit del 10 %. Si de cas la reducció salari/hora conveni del treballador que experimenti una major reducció supera el 10 %, o si l’empresa contractista no facilita la informació requerida per acreditar el compliment de l'obligació establerta en aquesta clàusula, es considerarà incomplerta una obligació essencial del contracte incorrent l’empresa contractista en una causa de resolució. </w:t>
      </w:r>
    </w:p>
    <w:p>
      <w:pPr>
        <w:pStyle w:val="Normal"/>
        <w:jc w:val="both"/>
        <w:rPr>
          <w:rFonts w:eastAsia="MS Mincho;ＭＳ 明朝"/>
          <w:sz w:val="22"/>
          <w:szCs w:val="22"/>
          <w:lang w:eastAsia="ja-JP"/>
        </w:rPr>
      </w:pPr>
      <w:r>
        <w:rPr>
          <w:rFonts w:eastAsia="MS Mincho;ＭＳ 明朝"/>
          <w:sz w:val="22"/>
          <w:szCs w:val="22"/>
          <w:lang w:eastAsia="ja-JP"/>
        </w:rPr>
      </w:r>
    </w:p>
    <w:p>
      <w:pPr>
        <w:pStyle w:val="Normal"/>
        <w:numPr>
          <w:ilvl w:val="0"/>
          <w:numId w:val="17"/>
        </w:numPr>
        <w:jc w:val="both"/>
        <w:rPr>
          <w:sz w:val="22"/>
          <w:szCs w:val="22"/>
        </w:rPr>
      </w:pPr>
      <w:r>
        <w:rPr>
          <w:sz w:val="22"/>
          <w:szCs w:val="22"/>
        </w:rPr>
        <w:t xml:space="preserve">Sobre la creació d’ocupació: </w:t>
      </w:r>
    </w:p>
    <w:p>
      <w:pPr>
        <w:pStyle w:val="Normal"/>
        <w:jc w:val="both"/>
        <w:rPr>
          <w:sz w:val="22"/>
          <w:szCs w:val="22"/>
        </w:rPr>
      </w:pPr>
      <w:r>
        <w:rPr>
          <w:sz w:val="22"/>
          <w:szCs w:val="22"/>
        </w:rPr>
      </w:r>
    </w:p>
    <w:p>
      <w:pPr>
        <w:pStyle w:val="Normal"/>
        <w:ind w:left="426" w:hanging="0"/>
        <w:jc w:val="both"/>
        <w:rPr>
          <w:color w:val="000000"/>
          <w:sz w:val="22"/>
          <w:szCs w:val="22"/>
        </w:rPr>
      </w:pPr>
      <w:r>
        <w:rPr>
          <w:color w:val="000000"/>
          <w:sz w:val="22"/>
          <w:szCs w:val="22"/>
        </w:rPr>
        <w:t>S’estableix com a condició especial d’execució que, si és el cas, el nou personal que l’empresa contractista necessités ocupar per a l’execució del contracte es trobi en situació d’atur. A aquests efectes, només es computaran els contractes realitzats o per realitzar amb els treballadors desocupats inscrits en els Serveis Públics d’Ocupació corresponents com a demandants d’ocupació, no ocupats.</w:t>
      </w:r>
    </w:p>
    <w:p>
      <w:pPr>
        <w:pStyle w:val="Normal"/>
        <w:jc w:val="both"/>
        <w:rPr>
          <w:color w:val="000000"/>
          <w:sz w:val="22"/>
          <w:szCs w:val="22"/>
        </w:rPr>
      </w:pPr>
      <w:r>
        <w:rPr>
          <w:color w:val="000000"/>
          <w:sz w:val="22"/>
          <w:szCs w:val="22"/>
        </w:rPr>
      </w:r>
    </w:p>
    <w:p>
      <w:pPr>
        <w:pStyle w:val="Normal"/>
        <w:ind w:left="426" w:hanging="0"/>
        <w:jc w:val="both"/>
        <w:rPr>
          <w:color w:val="000000"/>
          <w:sz w:val="22"/>
          <w:szCs w:val="22"/>
        </w:rPr>
      </w:pPr>
      <w:r>
        <w:rPr>
          <w:color w:val="000000"/>
          <w:sz w:val="22"/>
          <w:szCs w:val="22"/>
        </w:rPr>
        <w:t>Tanmateix es computaran els contractes realitzats o per realitzar amb treballadors autònoms que hagin cessat en la seva activitat i que estiguin inscrits als Serveis Públics d’Ocupació corresponents, com a demandants d’ocupació, no ocupats.</w:t>
      </w:r>
    </w:p>
    <w:p>
      <w:pPr>
        <w:pStyle w:val="Normal"/>
        <w:jc w:val="both"/>
        <w:rPr>
          <w:color w:val="000000"/>
          <w:sz w:val="22"/>
          <w:szCs w:val="22"/>
        </w:rPr>
      </w:pPr>
      <w:r>
        <w:rPr>
          <w:color w:val="000000"/>
          <w:sz w:val="22"/>
          <w:szCs w:val="22"/>
        </w:rPr>
        <w:tab/>
      </w:r>
    </w:p>
    <w:p>
      <w:pPr>
        <w:pStyle w:val="Normal"/>
        <w:ind w:left="426" w:hanging="0"/>
        <w:jc w:val="both"/>
        <w:rPr>
          <w:color w:val="000000"/>
          <w:sz w:val="22"/>
          <w:szCs w:val="22"/>
        </w:rPr>
      </w:pPr>
      <w:r>
        <w:rPr>
          <w:color w:val="000000"/>
          <w:sz w:val="22"/>
          <w:szCs w:val="22"/>
        </w:rPr>
        <w:t>L’empresa adjudicatària haurà de comunicar les noves contractacions de personal que efectuï per a l’execució del contracte, de conformitat amb allò expressat en la seva oferta, aportant còpia del contracte de treball en el termini de deu dies que aquest s’hagi produït. Igualment, a la finalització dels serveis, l’empresa adjudicatària haurà d’aportar declaració jurada del representant legal de l’empresa amb la relació de contractacions efectuades a persones en situació legal d’atur o treballadors autònoms desocupats.</w:t>
      </w:r>
    </w:p>
    <w:p>
      <w:pPr>
        <w:pStyle w:val="Normal"/>
        <w:jc w:val="both"/>
        <w:rPr>
          <w:color w:val="000000"/>
          <w:sz w:val="22"/>
          <w:szCs w:val="22"/>
        </w:rPr>
      </w:pPr>
      <w:r>
        <w:rPr>
          <w:color w:val="000000"/>
          <w:sz w:val="22"/>
          <w:szCs w:val="22"/>
        </w:rPr>
      </w:r>
    </w:p>
    <w:p>
      <w:pPr>
        <w:pStyle w:val="Normal"/>
        <w:numPr>
          <w:ilvl w:val="0"/>
          <w:numId w:val="17"/>
        </w:numPr>
        <w:jc w:val="both"/>
        <w:rPr>
          <w:color w:val="000000"/>
          <w:sz w:val="22"/>
          <w:szCs w:val="22"/>
        </w:rPr>
      </w:pPr>
      <w:r>
        <w:rPr>
          <w:color w:val="000000"/>
          <w:sz w:val="22"/>
          <w:szCs w:val="22"/>
        </w:rPr>
        <w:t xml:space="preserve">Sobre la comprovació del compliment de les obligacions d’afiliació i alta en la Seguretat Social dels treballadors de l’empresa contractista i, si és el cas, subcontractistes: </w:t>
      </w:r>
    </w:p>
    <w:p>
      <w:pPr>
        <w:pStyle w:val="Normal"/>
        <w:jc w:val="both"/>
        <w:rPr>
          <w:color w:val="000000"/>
          <w:sz w:val="22"/>
          <w:szCs w:val="22"/>
        </w:rPr>
      </w:pPr>
      <w:r>
        <w:rPr>
          <w:color w:val="000000"/>
          <w:sz w:val="22"/>
          <w:szCs w:val="22"/>
        </w:rPr>
      </w:r>
    </w:p>
    <w:p>
      <w:pPr>
        <w:pStyle w:val="Normal"/>
        <w:numPr>
          <w:ilvl w:val="1"/>
          <w:numId w:val="13"/>
        </w:numPr>
        <w:tabs>
          <w:tab w:val="clear" w:pos="720"/>
          <w:tab w:val="left" w:pos="0" w:leader="none"/>
          <w:tab w:val="left" w:pos="851" w:leader="none"/>
        </w:tabs>
        <w:ind w:left="851" w:hanging="425"/>
        <w:jc w:val="both"/>
        <w:rPr>
          <w:sz w:val="22"/>
          <w:szCs w:val="22"/>
        </w:rPr>
      </w:pPr>
      <w:r>
        <w:rPr>
          <w:sz w:val="22"/>
          <w:szCs w:val="22"/>
        </w:rPr>
        <w:t xml:space="preserve">L’obligació de l’empresa/les empreses proposada/proposades com a adjudicatària/adjudicatàries d’acreditar que els treballadors que ocuparan per executar els contractes estan afiliats i donats d’alta en la Seguretat Social, o bé l’obligació de les empreses adjudicatàries o contractistes d’aportar dita acreditació. </w:t>
      </w:r>
    </w:p>
    <w:p>
      <w:pPr>
        <w:pStyle w:val="Normal"/>
        <w:tabs>
          <w:tab w:val="clear" w:pos="720"/>
          <w:tab w:val="left" w:pos="0" w:leader="none"/>
          <w:tab w:val="left" w:pos="851" w:leader="none"/>
        </w:tabs>
        <w:ind w:left="851" w:hanging="0"/>
        <w:jc w:val="both"/>
        <w:rPr>
          <w:sz w:val="22"/>
          <w:szCs w:val="22"/>
        </w:rPr>
      </w:pPr>
      <w:r>
        <w:rPr>
          <w:sz w:val="22"/>
          <w:szCs w:val="22"/>
        </w:rPr>
      </w:r>
    </w:p>
    <w:p>
      <w:pPr>
        <w:pStyle w:val="Normal"/>
        <w:numPr>
          <w:ilvl w:val="1"/>
          <w:numId w:val="13"/>
        </w:numPr>
        <w:tabs>
          <w:tab w:val="clear" w:pos="720"/>
          <w:tab w:val="left" w:pos="0" w:leader="none"/>
          <w:tab w:val="left" w:pos="851" w:leader="none"/>
        </w:tabs>
        <w:ind w:left="851" w:hanging="425"/>
        <w:jc w:val="both"/>
        <w:rPr>
          <w:sz w:val="22"/>
          <w:szCs w:val="22"/>
        </w:rPr>
      </w:pPr>
      <w:r>
        <w:rPr>
          <w:sz w:val="22"/>
          <w:szCs w:val="22"/>
        </w:rPr>
        <w:t>Alternativament i en el seu cas, l’obligació de les empreses d’aportar una declaració responsable en què declarin no tenir encara contractats els treballadors que s’ocuparan en l’execució del contracte i que acreditaran la afiliació i alta de tots ells quan els hagin contractat i sempre amb caràcter previ a l’inici de la prestació de l’activitat contractada.</w:t>
      </w:r>
    </w:p>
    <w:p>
      <w:pPr>
        <w:pStyle w:val="Normal"/>
        <w:tabs>
          <w:tab w:val="clear" w:pos="720"/>
          <w:tab w:val="left" w:pos="0" w:leader="none"/>
          <w:tab w:val="left" w:pos="851" w:leader="none"/>
        </w:tabs>
        <w:ind w:left="851" w:hanging="0"/>
        <w:jc w:val="both"/>
        <w:rPr>
          <w:sz w:val="22"/>
          <w:szCs w:val="22"/>
        </w:rPr>
      </w:pPr>
      <w:r>
        <w:rPr>
          <w:sz w:val="22"/>
          <w:szCs w:val="22"/>
        </w:rPr>
      </w:r>
    </w:p>
    <w:p>
      <w:pPr>
        <w:pStyle w:val="Normal"/>
        <w:numPr>
          <w:ilvl w:val="1"/>
          <w:numId w:val="13"/>
        </w:numPr>
        <w:tabs>
          <w:tab w:val="clear" w:pos="720"/>
          <w:tab w:val="left" w:pos="0" w:leader="none"/>
          <w:tab w:val="left" w:pos="851" w:leader="none"/>
        </w:tabs>
        <w:ind w:left="851" w:hanging="425"/>
        <w:jc w:val="both"/>
        <w:rPr>
          <w:sz w:val="22"/>
          <w:szCs w:val="22"/>
        </w:rPr>
      </w:pPr>
      <w:r>
        <w:rPr>
          <w:sz w:val="22"/>
          <w:szCs w:val="22"/>
        </w:rPr>
        <w:t xml:space="preserve">L’obligació de l’empresa/les empreses adjudicatària/adjudicatàries de posar en coneixement de l’òrgan de contractació les contractacions de nou personal que hagi d’adscriure’s al servei contractat i d’acreditar la seva afiliació i alta en la Seguretat Social. </w:t>
      </w:r>
    </w:p>
    <w:p>
      <w:pPr>
        <w:pStyle w:val="Normal"/>
        <w:tabs>
          <w:tab w:val="clear" w:pos="720"/>
          <w:tab w:val="left" w:pos="0" w:leader="none"/>
          <w:tab w:val="left" w:pos="851" w:leader="none"/>
        </w:tabs>
        <w:ind w:left="851" w:hanging="0"/>
        <w:jc w:val="both"/>
        <w:rPr>
          <w:sz w:val="22"/>
          <w:szCs w:val="22"/>
        </w:rPr>
      </w:pPr>
      <w:r>
        <w:rPr>
          <w:sz w:val="22"/>
          <w:szCs w:val="22"/>
        </w:rPr>
      </w:r>
    </w:p>
    <w:p>
      <w:pPr>
        <w:pStyle w:val="Normal"/>
        <w:numPr>
          <w:ilvl w:val="1"/>
          <w:numId w:val="13"/>
        </w:numPr>
        <w:tabs>
          <w:tab w:val="clear" w:pos="720"/>
          <w:tab w:val="left" w:pos="0" w:leader="none"/>
          <w:tab w:val="left" w:pos="851" w:leader="none"/>
        </w:tabs>
        <w:ind w:left="851" w:hanging="425"/>
        <w:jc w:val="both"/>
        <w:rPr>
          <w:sz w:val="22"/>
          <w:szCs w:val="22"/>
        </w:rPr>
      </w:pPr>
      <w:r>
        <w:rPr>
          <w:sz w:val="22"/>
          <w:szCs w:val="22"/>
        </w:rPr>
        <w:t>L’obligació de l’empresa contractista de presentar, tres mesos abans de la finalització del contracte, certificacions d’estar al corrent en el compliment de les obligacions amb la Seguretat Social, a no ser que hagi autoritzat l’Ajuntament per a obtenir directament l’acreditació d’això.</w:t>
      </w:r>
    </w:p>
    <w:p>
      <w:pPr>
        <w:pStyle w:val="Normal"/>
        <w:tabs>
          <w:tab w:val="clear" w:pos="720"/>
          <w:tab w:val="left" w:pos="0" w:leader="none"/>
          <w:tab w:val="left" w:pos="851" w:leader="none"/>
        </w:tabs>
        <w:ind w:left="851" w:hanging="0"/>
        <w:jc w:val="both"/>
        <w:rPr>
          <w:sz w:val="22"/>
          <w:szCs w:val="22"/>
        </w:rPr>
      </w:pPr>
      <w:r>
        <w:rPr>
          <w:sz w:val="22"/>
          <w:szCs w:val="22"/>
        </w:rPr>
      </w:r>
    </w:p>
    <w:p>
      <w:pPr>
        <w:pStyle w:val="Normal"/>
        <w:numPr>
          <w:ilvl w:val="1"/>
          <w:numId w:val="13"/>
        </w:numPr>
        <w:tabs>
          <w:tab w:val="clear" w:pos="720"/>
          <w:tab w:val="left" w:pos="0" w:leader="none"/>
          <w:tab w:val="left" w:pos="851" w:leader="none"/>
        </w:tabs>
        <w:ind w:left="851" w:hanging="425"/>
        <w:jc w:val="both"/>
        <w:rPr>
          <w:sz w:val="22"/>
          <w:szCs w:val="22"/>
        </w:rPr>
      </w:pPr>
      <w:r>
        <w:rPr>
          <w:sz w:val="22"/>
          <w:szCs w:val="22"/>
        </w:rPr>
        <w:t>L’obligació de l’empresa/les empreses adjudicatària/adjudicatàries de notificar als òrgans de contractació, quan subcontractin amb altres, per raó d’una activitat empresarial, serveis que es corresponguin amb la seva activitat pròpia o que s’hagin de prestar de forma continuada en els seus centres de treball, que han comprovat, amb caràcter previ a l’inici de l’activitat subcontractada, la afiliació i alta en la Seguretat Social dels treballadors de les empreses amb les quals subcontractin.</w:t>
      </w:r>
    </w:p>
    <w:p>
      <w:pPr>
        <w:pStyle w:val="Normal"/>
        <w:jc w:val="both"/>
        <w:rPr>
          <w:color w:val="000000"/>
          <w:sz w:val="22"/>
          <w:szCs w:val="22"/>
        </w:rPr>
      </w:pPr>
      <w:r>
        <w:rPr>
          <w:color w:val="000000"/>
          <w:sz w:val="22"/>
          <w:szCs w:val="22"/>
        </w:rPr>
      </w:r>
    </w:p>
    <w:p>
      <w:pPr>
        <w:pStyle w:val="Normal"/>
        <w:ind w:left="426" w:hanging="0"/>
        <w:jc w:val="both"/>
        <w:rPr/>
      </w:pPr>
      <w:r>
        <w:rPr>
          <w:color w:val="000000"/>
          <w:sz w:val="22"/>
          <w:szCs w:val="22"/>
          <w:lang w:val="af-ZA"/>
        </w:rPr>
        <w:t>L’incompliment</w:t>
      </w:r>
      <w:r>
        <w:rPr>
          <w:color w:val="000000"/>
          <w:sz w:val="22"/>
          <w:szCs w:val="22"/>
        </w:rPr>
        <w:t xml:space="preserve"> per part de les empreses contractistes del deure d’afiliació i alta en la Seguretat Social del personal que ocupin en l’execució dels respectius contractes serà causa de resolució del contracte.</w:t>
      </w:r>
    </w:p>
    <w:p>
      <w:pPr>
        <w:pStyle w:val="Normal"/>
        <w:tabs>
          <w:tab w:val="clear" w:pos="720"/>
          <w:tab w:val="left" w:pos="851" w:leader="none"/>
        </w:tabs>
        <w:ind w:left="851" w:hanging="425"/>
        <w:jc w:val="both"/>
        <w:rPr>
          <w:color w:val="000000"/>
          <w:sz w:val="22"/>
          <w:szCs w:val="22"/>
        </w:rPr>
      </w:pPr>
      <w:r>
        <w:rPr>
          <w:color w:val="000000"/>
          <w:sz w:val="22"/>
          <w:szCs w:val="22"/>
        </w:rPr>
      </w:r>
    </w:p>
    <w:p>
      <w:pPr>
        <w:pStyle w:val="Normal"/>
        <w:numPr>
          <w:ilvl w:val="0"/>
          <w:numId w:val="17"/>
        </w:numPr>
        <w:jc w:val="both"/>
        <w:rPr>
          <w:sz w:val="22"/>
          <w:szCs w:val="22"/>
        </w:rPr>
      </w:pPr>
      <w:r>
        <w:rPr>
          <w:sz w:val="22"/>
          <w:szCs w:val="22"/>
        </w:rPr>
        <w:t>Sobre el compliment de les disposicions vigents en matèria de prevenció de riscos laborals.</w:t>
      </w:r>
    </w:p>
    <w:p>
      <w:pPr>
        <w:pStyle w:val="Normal"/>
        <w:tabs>
          <w:tab w:val="clear" w:pos="720"/>
          <w:tab w:val="left" w:pos="567" w:leader="none"/>
        </w:tabs>
        <w:jc w:val="both"/>
        <w:rPr>
          <w:rFonts w:eastAsia="Times New Roman"/>
          <w:sz w:val="22"/>
          <w:szCs w:val="22"/>
        </w:rPr>
      </w:pPr>
      <w:r>
        <w:rPr>
          <w:rFonts w:eastAsia="Times New Roman"/>
          <w:sz w:val="22"/>
          <w:szCs w:val="22"/>
        </w:rPr>
        <w:t xml:space="preserve"> </w:t>
      </w:r>
    </w:p>
    <w:p>
      <w:pPr>
        <w:pStyle w:val="Cosdeltext"/>
        <w:ind w:left="426" w:hanging="0"/>
        <w:jc w:val="both"/>
        <w:rPr>
          <w:rFonts w:ascii="Arial" w:hAnsi="Arial" w:cs="Arial"/>
          <w:sz w:val="22"/>
          <w:szCs w:val="22"/>
          <w:lang w:val="ca-ES"/>
        </w:rPr>
      </w:pPr>
      <w:r>
        <w:rPr>
          <w:rFonts w:cs="Arial" w:ascii="Arial" w:hAnsi="Arial"/>
          <w:sz w:val="22"/>
          <w:szCs w:val="22"/>
          <w:lang w:val="ca-ES"/>
        </w:rPr>
        <w:t>L’empresa adjudicatària està obligat al compliment de les disposicions vigents en matèria de prevenció de riscos laborals i, de manera especial, de les obligacions indicades al capítol III o en el capítol IV segons procedeixi, del Reial decret  171/2004 del 30 de gener pel qual es desenvolupa l’article 24 de la Llei 31/1995, de 8 de novembre, de prevenció de riscos laborals en matèria de coordinació d’activitats empresarials.</w:t>
      </w:r>
    </w:p>
    <w:p>
      <w:pPr>
        <w:pStyle w:val="Cosdeltext"/>
        <w:ind w:left="426" w:hanging="0"/>
        <w:jc w:val="both"/>
        <w:rPr>
          <w:rFonts w:ascii="Arial" w:hAnsi="Arial" w:cs="Arial"/>
          <w:sz w:val="22"/>
          <w:szCs w:val="22"/>
          <w:lang w:val="ca-ES"/>
        </w:rPr>
      </w:pPr>
      <w:r>
        <w:rPr>
          <w:rFonts w:cs="Arial" w:ascii="Arial" w:hAnsi="Arial"/>
          <w:sz w:val="22"/>
          <w:szCs w:val="22"/>
          <w:lang w:val="ca-ES"/>
        </w:rPr>
      </w:r>
    </w:p>
    <w:p>
      <w:pPr>
        <w:pStyle w:val="Cosdeltext"/>
        <w:ind w:left="426" w:hanging="0"/>
        <w:jc w:val="both"/>
        <w:rPr>
          <w:rFonts w:ascii="Arial" w:hAnsi="Arial" w:cs="Arial"/>
          <w:sz w:val="22"/>
          <w:szCs w:val="22"/>
          <w:lang w:val="ca-ES"/>
        </w:rPr>
      </w:pPr>
      <w:r>
        <w:rPr>
          <w:rFonts w:cs="Arial" w:ascii="Arial" w:hAnsi="Arial"/>
          <w:sz w:val="22"/>
          <w:szCs w:val="22"/>
          <w:lang w:val="ca-ES"/>
        </w:rPr>
        <w:t xml:space="preserve">L’empresa adjudicatària haurà de lliurar la documentació quan li sigui requerida pel Servei de Prevenció de Riscos Laborals de l’Ajuntament de Terrassa, per la seva comprovació i aprovació. </w:t>
      </w:r>
    </w:p>
    <w:p>
      <w:pPr>
        <w:pStyle w:val="Cosdeltext"/>
        <w:ind w:left="426" w:hanging="0"/>
        <w:jc w:val="both"/>
        <w:rPr>
          <w:rFonts w:ascii="Arial" w:hAnsi="Arial" w:cs="Arial"/>
          <w:sz w:val="22"/>
          <w:szCs w:val="22"/>
          <w:lang w:val="ca-ES"/>
        </w:rPr>
      </w:pPr>
      <w:r>
        <w:rPr>
          <w:rFonts w:cs="Arial" w:ascii="Arial" w:hAnsi="Arial"/>
          <w:sz w:val="22"/>
          <w:szCs w:val="22"/>
          <w:lang w:val="ca-ES"/>
        </w:rPr>
      </w:r>
    </w:p>
    <w:p>
      <w:pPr>
        <w:pStyle w:val="Cosdeltext"/>
        <w:ind w:left="426" w:hanging="0"/>
        <w:jc w:val="both"/>
        <w:rPr/>
      </w:pPr>
      <w:r>
        <w:rPr>
          <w:rFonts w:cs="Arial" w:ascii="Arial" w:hAnsi="Arial"/>
          <w:sz w:val="22"/>
          <w:szCs w:val="22"/>
          <w:lang w:val="ca-ES"/>
        </w:rPr>
        <w:t>Les actuacions que conformen la coordinació d’activitats en matèria de prevenció de riscos laborals establerta per la normativa vigent es realitzarà a través del tràmit a la Seu Electrònica</w:t>
      </w:r>
      <w:r>
        <w:rPr>
          <w:rFonts w:cs="Arial" w:ascii="Arial" w:hAnsi="Arial"/>
          <w:sz w:val="22"/>
          <w:szCs w:val="22"/>
        </w:rPr>
        <w:t xml:space="preserve">: </w:t>
      </w:r>
      <w:hyperlink r:id="rId7">
        <w:r>
          <w:rPr>
            <w:rStyle w:val="EnlacedeInternet"/>
            <w:rFonts w:cs="Arial" w:ascii="Arial" w:hAnsi="Arial"/>
            <w:sz w:val="22"/>
            <w:szCs w:val="22"/>
          </w:rPr>
          <w:t>https://aoberta.terrassa.cat/tramits/ferTramit.jsp?id=7803</w:t>
        </w:r>
      </w:hyperlink>
      <w:r>
        <w:rPr>
          <w:rFonts w:cs="Arial" w:ascii="Arial" w:hAnsi="Arial"/>
          <w:sz w:val="22"/>
          <w:szCs w:val="22"/>
        </w:rPr>
        <w:t>.</w:t>
      </w:r>
    </w:p>
    <w:p>
      <w:pPr>
        <w:pStyle w:val="Cosdeltext"/>
        <w:rPr>
          <w:rFonts w:ascii="Arial" w:hAnsi="Arial" w:cs="Arial"/>
          <w:sz w:val="22"/>
          <w:szCs w:val="22"/>
        </w:rPr>
      </w:pPr>
      <w:r>
        <w:rPr>
          <w:rFonts w:cs="Arial" w:ascii="Arial" w:hAnsi="Arial"/>
          <w:sz w:val="22"/>
          <w:szCs w:val="22"/>
        </w:rPr>
      </w:r>
    </w:p>
    <w:p>
      <w:pPr>
        <w:pStyle w:val="Normal"/>
        <w:numPr>
          <w:ilvl w:val="0"/>
          <w:numId w:val="17"/>
        </w:numPr>
        <w:jc w:val="both"/>
        <w:rPr>
          <w:color w:val="000000"/>
          <w:sz w:val="22"/>
          <w:szCs w:val="22"/>
        </w:rPr>
      </w:pPr>
      <w:r>
        <w:rPr>
          <w:color w:val="000000"/>
          <w:sz w:val="22"/>
          <w:szCs w:val="22"/>
        </w:rPr>
        <w:t>Sobre el compliment de les obligacions establertes en matèria d’igualtat de gènere.</w:t>
      </w:r>
    </w:p>
    <w:p>
      <w:pPr>
        <w:pStyle w:val="Normal"/>
        <w:tabs>
          <w:tab w:val="clear" w:pos="720"/>
          <w:tab w:val="left" w:pos="426" w:leader="none"/>
        </w:tabs>
        <w:ind w:left="567" w:hanging="0"/>
        <w:jc w:val="both"/>
        <w:rPr>
          <w:color w:val="000000"/>
          <w:sz w:val="22"/>
          <w:szCs w:val="22"/>
        </w:rPr>
      </w:pPr>
      <w:r>
        <w:rPr>
          <w:color w:val="000000"/>
          <w:sz w:val="22"/>
          <w:szCs w:val="22"/>
        </w:rPr>
      </w:r>
    </w:p>
    <w:p>
      <w:pPr>
        <w:pStyle w:val="Normal"/>
        <w:ind w:left="426" w:hanging="0"/>
        <w:jc w:val="both"/>
        <w:rPr>
          <w:color w:val="000000"/>
          <w:sz w:val="22"/>
          <w:szCs w:val="22"/>
        </w:rPr>
      </w:pPr>
      <w:r>
        <w:rPr>
          <w:sz w:val="22"/>
        </w:rPr>
        <w:t>L</w:t>
      </w:r>
      <w:r>
        <w:rPr>
          <w:sz w:val="22"/>
          <w:szCs w:val="22"/>
        </w:rPr>
        <w:t>'empresa adjudicatària complirà amb les obligacions establertes en matèria d'igualtat de</w:t>
      </w:r>
      <w:r>
        <w:rPr>
          <w:color w:val="000000"/>
          <w:sz w:val="22"/>
          <w:szCs w:val="22"/>
        </w:rPr>
        <w:t xml:space="preserve"> gènere a la Llei orgànica 3/2007, de 22 de març, per la igualtat efectiva d'homes i dones i la Llei 17/2015, de 21 de juliol d’igualtat efectiva de dones i homes. </w:t>
      </w:r>
    </w:p>
    <w:p>
      <w:pPr>
        <w:pStyle w:val="Cosdeltext"/>
        <w:jc w:val="both"/>
        <w:rPr>
          <w:rFonts w:ascii="Arial" w:hAnsi="Arial" w:cs="Arial"/>
          <w:color w:val="000000"/>
          <w:sz w:val="22"/>
          <w:szCs w:val="22"/>
          <w:lang w:val="ca-ES"/>
        </w:rPr>
      </w:pPr>
      <w:r>
        <w:rPr>
          <w:rFonts w:cs="Arial" w:ascii="Arial" w:hAnsi="Arial"/>
          <w:color w:val="000000"/>
          <w:sz w:val="22"/>
          <w:szCs w:val="22"/>
          <w:lang w:val="ca-ES"/>
        </w:rPr>
      </w:r>
    </w:p>
    <w:p>
      <w:pPr>
        <w:pStyle w:val="Normal"/>
        <w:tabs>
          <w:tab w:val="clear" w:pos="720"/>
          <w:tab w:val="left" w:pos="993" w:leader="none"/>
        </w:tabs>
        <w:ind w:left="426" w:hanging="0"/>
        <w:jc w:val="both"/>
        <w:rPr>
          <w:rFonts w:eastAsia="MS Mincho;ＭＳ 明朝"/>
          <w:bCs/>
          <w:sz w:val="22"/>
          <w:szCs w:val="22"/>
          <w:lang w:eastAsia="ja-JP"/>
        </w:rPr>
      </w:pPr>
      <w:r>
        <w:rPr>
          <w:rFonts w:eastAsia="MS Mincho;ＭＳ 明朝"/>
          <w:bCs/>
          <w:sz w:val="22"/>
          <w:szCs w:val="22"/>
          <w:lang w:eastAsia="ja-JP"/>
        </w:rPr>
        <w:t xml:space="preserve">L'empresa contractista ha de presentar, en els primers 10 dies posteriors a la data de formalització del contracte, el Pla d'igualtat entre homes i dones que serà d'aplicació a les persones que executin el contracte. En el cas que l’empresa contractista no estigui legalment obligada a l’elaboració d’aquest pla, ha de presentar en aquest mateix termini, des de la formalització del contracte, les mesures aplicables en relació amb les persones treballadores que participaran en l’execució del contracte, per assolir la igualtat de tracte i d’oportunitats entre dones i homes en l’àmbit laboral, eliminació d’estereotips i fomentar la igualtat efectiva i real entre dones i homes. Haurà de presentar també una declaració jurada o responsable en la qual quedi reflectit que en el si de l’empresa no es produeix bretxa salarial entre dones i homes. </w:t>
      </w:r>
    </w:p>
    <w:p>
      <w:pPr>
        <w:pStyle w:val="Cosdeltext"/>
        <w:jc w:val="both"/>
        <w:rPr>
          <w:rFonts w:ascii="Arial" w:hAnsi="Arial" w:eastAsia="MS Mincho;ＭＳ 明朝" w:cs="Arial"/>
          <w:bCs/>
          <w:sz w:val="22"/>
          <w:szCs w:val="22"/>
          <w:lang w:val="ca-ES" w:eastAsia="ja-JP"/>
        </w:rPr>
      </w:pPr>
      <w:r>
        <w:rPr>
          <w:rFonts w:eastAsia="MS Mincho;ＭＳ 明朝" w:cs="Arial" w:ascii="Arial" w:hAnsi="Arial"/>
          <w:bCs/>
          <w:sz w:val="22"/>
          <w:szCs w:val="22"/>
          <w:lang w:val="ca-ES" w:eastAsia="ja-JP"/>
        </w:rPr>
      </w:r>
    </w:p>
    <w:p>
      <w:pPr>
        <w:pStyle w:val="Normal"/>
        <w:tabs>
          <w:tab w:val="clear" w:pos="720"/>
          <w:tab w:val="left" w:pos="993" w:leader="none"/>
          <w:tab w:val="left" w:pos="1560" w:leader="none"/>
        </w:tabs>
        <w:ind w:left="426" w:hanging="0"/>
        <w:jc w:val="both"/>
        <w:rPr/>
      </w:pPr>
      <w:r>
        <w:rPr>
          <w:sz w:val="22"/>
          <w:szCs w:val="22"/>
        </w:rPr>
        <w:t xml:space="preserve">L’empresa contractista presentarà, abans de la liquidació del contracte, una memòria de l’empresa que reculli </w:t>
      </w:r>
      <w:r>
        <w:rPr>
          <w:sz w:val="22"/>
          <w:szCs w:val="22"/>
          <w:lang w:val="af-ZA"/>
        </w:rPr>
        <w:t>l’impacte</w:t>
      </w:r>
      <w:r>
        <w:rPr>
          <w:sz w:val="22"/>
          <w:szCs w:val="22"/>
        </w:rPr>
        <w:t xml:space="preserve"> de les clàusules socials sobre la igualtat efectiva de dones i homes, el grau d’estabilitat en l’ocupació, la contractació de persones amb dificultats particulars d’inserció al mercat laboral, etc. </w:t>
      </w:r>
    </w:p>
    <w:p>
      <w:pPr>
        <w:pStyle w:val="Cosdeltext"/>
        <w:jc w:val="both"/>
        <w:rPr>
          <w:rFonts w:ascii="Arial" w:hAnsi="Arial" w:cs="Arial"/>
          <w:sz w:val="22"/>
          <w:szCs w:val="22"/>
          <w:lang w:val="ca-ES"/>
        </w:rPr>
      </w:pPr>
      <w:r>
        <w:rPr>
          <w:rFonts w:cs="Arial" w:ascii="Arial" w:hAnsi="Arial"/>
          <w:sz w:val="22"/>
          <w:szCs w:val="22"/>
          <w:lang w:val="ca-ES"/>
        </w:rPr>
      </w:r>
    </w:p>
    <w:p>
      <w:pPr>
        <w:pStyle w:val="Normal"/>
        <w:numPr>
          <w:ilvl w:val="0"/>
          <w:numId w:val="17"/>
        </w:numPr>
        <w:jc w:val="both"/>
        <w:rPr>
          <w:sz w:val="22"/>
          <w:szCs w:val="22"/>
        </w:rPr>
      </w:pPr>
      <w:r>
        <w:rPr>
          <w:sz w:val="22"/>
          <w:szCs w:val="22"/>
        </w:rPr>
        <w:t xml:space="preserve">Sobre la responsabilitat fiscal o la lluita contra el frau fiscal. </w:t>
      </w:r>
    </w:p>
    <w:p>
      <w:pPr>
        <w:pStyle w:val="Cosdeltext"/>
        <w:jc w:val="both"/>
        <w:rPr>
          <w:rFonts w:ascii="Arial" w:hAnsi="Arial" w:cs="Arial"/>
          <w:sz w:val="22"/>
          <w:szCs w:val="22"/>
          <w:lang w:val="ca-ES"/>
        </w:rPr>
      </w:pPr>
      <w:r>
        <w:rPr>
          <w:rFonts w:cs="Arial" w:ascii="Arial" w:hAnsi="Arial"/>
          <w:sz w:val="22"/>
          <w:szCs w:val="22"/>
          <w:lang w:val="ca-ES"/>
        </w:rPr>
      </w:r>
    </w:p>
    <w:p>
      <w:pPr>
        <w:pStyle w:val="Normal"/>
        <w:ind w:left="426" w:hanging="0"/>
        <w:jc w:val="both"/>
        <w:rPr/>
      </w:pPr>
      <w:r>
        <w:rPr>
          <w:sz w:val="22"/>
        </w:rPr>
        <w:t xml:space="preserve">De conformitat amb l’acord de Ple de 30 de juny de 2016, </w:t>
      </w:r>
      <w:r>
        <w:rPr>
          <w:sz w:val="22"/>
          <w:szCs w:val="22"/>
        </w:rPr>
        <w:t>les empreses licitadores, contractistes o subcontractistes o empreses filials o empreses interposades no podran realitzar operacions financeres en paradisos fiscals, segons la llista de països elaborada per les Institucions Europees o avalades per aquestes o, en el seu defecte, l’Estat espanyol o fora d’ells, i que siguin considerades delictives, en els termes legalment establerts, com delictes de blanqueig de capitals, frau fiscal o contra la Hisenda Pública</w:t>
      </w:r>
      <w:r>
        <w:rPr>
          <w:sz w:val="22"/>
          <w:szCs w:val="22"/>
          <w:lang w:val="es-ES"/>
        </w:rPr>
        <w:t xml:space="preserve">. </w:t>
      </w:r>
    </w:p>
    <w:p>
      <w:pPr>
        <w:pStyle w:val="Normal"/>
        <w:jc w:val="both"/>
        <w:rPr>
          <w:sz w:val="22"/>
          <w:szCs w:val="22"/>
          <w:lang w:val="es-ES"/>
        </w:rPr>
      </w:pPr>
      <w:r>
        <w:rPr>
          <w:sz w:val="22"/>
          <w:szCs w:val="22"/>
          <w:lang w:val="es-ES"/>
        </w:rPr>
      </w:r>
    </w:p>
    <w:p>
      <w:pPr>
        <w:pStyle w:val="Normal"/>
        <w:numPr>
          <w:ilvl w:val="0"/>
          <w:numId w:val="17"/>
        </w:numPr>
        <w:jc w:val="both"/>
        <w:rPr>
          <w:sz w:val="22"/>
          <w:szCs w:val="22"/>
        </w:rPr>
      </w:pPr>
      <w:r>
        <w:rPr>
          <w:sz w:val="22"/>
          <w:szCs w:val="22"/>
        </w:rPr>
        <w:t>Sobre el respecte als drets humans:</w:t>
      </w:r>
    </w:p>
    <w:p>
      <w:pPr>
        <w:pStyle w:val="Normal"/>
        <w:jc w:val="both"/>
        <w:rPr>
          <w:sz w:val="22"/>
          <w:szCs w:val="22"/>
        </w:rPr>
      </w:pPr>
      <w:r>
        <w:rPr>
          <w:sz w:val="22"/>
          <w:szCs w:val="22"/>
        </w:rPr>
      </w:r>
    </w:p>
    <w:p>
      <w:pPr>
        <w:pStyle w:val="Normal"/>
        <w:ind w:left="426" w:hanging="0"/>
        <w:jc w:val="both"/>
        <w:rPr>
          <w:sz w:val="22"/>
          <w:szCs w:val="22"/>
        </w:rPr>
      </w:pPr>
      <w:r>
        <w:rPr>
          <w:sz w:val="22"/>
        </w:rPr>
        <w:t xml:space="preserve">De conformitat amb l’acord del Ple Municipal de data 29 de setembre de 2016, </w:t>
      </w:r>
      <w:r>
        <w:rPr>
          <w:sz w:val="22"/>
          <w:szCs w:val="22"/>
        </w:rPr>
        <w:t xml:space="preserve">les empreses licitadores, contractistes o subcontractistes o empreses filials o empreses interposades han de respectar els drets humans a qualsevol lloc on desenvolupin les seves activitats, i que, per tant, no realitzin operacions financeres, inversions, compres, contractacions, així com altres activitats econòmiques que comportin la vulneració dels Drets Humans. </w:t>
      </w:r>
    </w:p>
    <w:p>
      <w:pPr>
        <w:pStyle w:val="Normal"/>
        <w:ind w:left="360" w:hanging="0"/>
        <w:jc w:val="both"/>
        <w:rPr>
          <w:sz w:val="22"/>
          <w:szCs w:val="22"/>
        </w:rPr>
      </w:pPr>
      <w:r>
        <w:rPr>
          <w:sz w:val="22"/>
          <w:szCs w:val="22"/>
        </w:rPr>
      </w:r>
    </w:p>
    <w:p>
      <w:pPr>
        <w:pStyle w:val="Normal"/>
        <w:ind w:left="426" w:hanging="0"/>
        <w:jc w:val="both"/>
        <w:rPr>
          <w:sz w:val="22"/>
          <w:szCs w:val="22"/>
        </w:rPr>
      </w:pPr>
      <w:r>
        <w:rPr>
          <w:sz w:val="22"/>
          <w:szCs w:val="22"/>
        </w:rPr>
        <w:t xml:space="preserve">Les empreses licitadores, contractistes o subcontractistes o empreses filials o empreses interposades i cadenes de proveïdors no poden pertànyer ni realitzar operacions financeres, inversions, compres, contractacions, així com altres activitats econòmiques que vagin en contra del Dret Internacional de Drets Humans i/o Dret Internacional Humanitari en colònies (assentaments construïts per un Estat ocupat) construïdes en territoris considerats ocupats d’acord amb el Dret Internacional. </w:t>
      </w:r>
    </w:p>
    <w:p>
      <w:pPr>
        <w:pStyle w:val="Normal"/>
        <w:jc w:val="both"/>
        <w:rPr>
          <w:sz w:val="22"/>
          <w:szCs w:val="22"/>
        </w:rPr>
      </w:pPr>
      <w:r>
        <w:rPr>
          <w:sz w:val="22"/>
          <w:szCs w:val="22"/>
        </w:rPr>
      </w:r>
    </w:p>
    <w:p>
      <w:pPr>
        <w:pStyle w:val="Normal"/>
        <w:numPr>
          <w:ilvl w:val="0"/>
          <w:numId w:val="17"/>
        </w:numPr>
        <w:jc w:val="both"/>
        <w:rPr>
          <w:sz w:val="22"/>
          <w:szCs w:val="22"/>
        </w:rPr>
      </w:pPr>
      <w:r>
        <w:rPr>
          <w:sz w:val="22"/>
          <w:szCs w:val="22"/>
        </w:rPr>
        <w:t>Sobre  els principis ètics i regles de conducta:</w:t>
      </w:r>
    </w:p>
    <w:p>
      <w:pPr>
        <w:pStyle w:val="Normal"/>
        <w:jc w:val="both"/>
        <w:rPr>
          <w:sz w:val="22"/>
          <w:szCs w:val="22"/>
        </w:rPr>
      </w:pPr>
      <w:r>
        <w:rPr>
          <w:sz w:val="22"/>
          <w:szCs w:val="22"/>
        </w:rPr>
      </w:r>
    </w:p>
    <w:p>
      <w:pPr>
        <w:pStyle w:val="Normal"/>
        <w:ind w:left="426" w:hanging="0"/>
        <w:jc w:val="both"/>
        <w:rPr>
          <w:sz w:val="22"/>
          <w:szCs w:val="22"/>
        </w:rPr>
      </w:pPr>
      <w:r>
        <w:rPr>
          <w:sz w:val="22"/>
          <w:szCs w:val="22"/>
        </w:rPr>
        <w:t xml:space="preserve">De conformitat amb el que preveuen l’article 55 de la Llei 19/2014, del 29 de desembre, de transparència, accés a la informació pública i bon govern, i l’article 37 de la Ordenança municipal de transparència, accés a la informació i bon govern, les empreses contractistes i les persones beneficiàries han d’adequar l’activitat als principis ètics i regles de conducta següents: </w:t>
      </w:r>
    </w:p>
    <w:p>
      <w:pPr>
        <w:pStyle w:val="Normal"/>
        <w:jc w:val="both"/>
        <w:rPr>
          <w:sz w:val="22"/>
          <w:szCs w:val="22"/>
        </w:rPr>
      </w:pPr>
      <w:r>
        <w:rPr>
          <w:sz w:val="22"/>
          <w:szCs w:val="22"/>
        </w:rPr>
      </w:r>
    </w:p>
    <w:p>
      <w:pPr>
        <w:pStyle w:val="Normal"/>
        <w:numPr>
          <w:ilvl w:val="1"/>
          <w:numId w:val="12"/>
        </w:numPr>
        <w:tabs>
          <w:tab w:val="clear" w:pos="720"/>
          <w:tab w:val="left" w:pos="426" w:leader="none"/>
        </w:tabs>
        <w:ind w:left="1500" w:hanging="1500"/>
        <w:jc w:val="both"/>
        <w:rPr>
          <w:sz w:val="22"/>
          <w:szCs w:val="22"/>
        </w:rPr>
      </w:pPr>
      <w:r>
        <w:rPr>
          <w:sz w:val="22"/>
          <w:szCs w:val="22"/>
        </w:rPr>
        <w:t xml:space="preserve">Amb caràcter general: </w:t>
      </w:r>
    </w:p>
    <w:p>
      <w:pPr>
        <w:pStyle w:val="Normal"/>
        <w:tabs>
          <w:tab w:val="clear" w:pos="720"/>
          <w:tab w:val="left" w:pos="426" w:leader="none"/>
        </w:tabs>
        <w:jc w:val="both"/>
        <w:rPr>
          <w:sz w:val="22"/>
          <w:szCs w:val="22"/>
        </w:rPr>
      </w:pPr>
      <w:r>
        <w:rPr>
          <w:sz w:val="22"/>
          <w:szCs w:val="22"/>
        </w:rPr>
      </w:r>
    </w:p>
    <w:p>
      <w:pPr>
        <w:pStyle w:val="Normal"/>
        <w:numPr>
          <w:ilvl w:val="0"/>
          <w:numId w:val="14"/>
        </w:numPr>
        <w:jc w:val="both"/>
        <w:rPr>
          <w:sz w:val="22"/>
          <w:szCs w:val="22"/>
        </w:rPr>
      </w:pPr>
      <w:r>
        <w:rPr>
          <w:sz w:val="22"/>
          <w:szCs w:val="22"/>
        </w:rPr>
        <w:t>Observar els principis, les normes i els cànons ètics propis de les activitats, els oficis i/o les professions corresponents a les prestacions contractades.</w:t>
      </w:r>
    </w:p>
    <w:p>
      <w:pPr>
        <w:pStyle w:val="Normal"/>
        <w:numPr>
          <w:ilvl w:val="0"/>
          <w:numId w:val="14"/>
        </w:numPr>
        <w:jc w:val="both"/>
        <w:rPr>
          <w:sz w:val="22"/>
          <w:szCs w:val="22"/>
        </w:rPr>
      </w:pPr>
      <w:r>
        <w:rPr>
          <w:sz w:val="22"/>
          <w:szCs w:val="22"/>
        </w:rPr>
        <w:t>No realitzar accions que posin en risc l’interès públic.</w:t>
      </w:r>
    </w:p>
    <w:p>
      <w:pPr>
        <w:pStyle w:val="Normal"/>
        <w:numPr>
          <w:ilvl w:val="0"/>
          <w:numId w:val="14"/>
        </w:numPr>
        <w:jc w:val="both"/>
        <w:rPr>
          <w:sz w:val="22"/>
          <w:szCs w:val="22"/>
        </w:rPr>
      </w:pPr>
      <w:r>
        <w:rPr>
          <w:sz w:val="22"/>
          <w:szCs w:val="22"/>
        </w:rPr>
        <w:t>Denunciar les situacions irregulars que es puguin presentar en els processos de contractació pública.</w:t>
      </w:r>
    </w:p>
    <w:p>
      <w:pPr>
        <w:pStyle w:val="Normal"/>
        <w:numPr>
          <w:ilvl w:val="0"/>
          <w:numId w:val="14"/>
        </w:numPr>
        <w:jc w:val="both"/>
        <w:rPr>
          <w:sz w:val="22"/>
          <w:szCs w:val="22"/>
        </w:rPr>
      </w:pPr>
      <w:r>
        <w:rPr>
          <w:sz w:val="22"/>
          <w:szCs w:val="22"/>
        </w:rPr>
        <w:t>Respectar les institucions i persones amb qui es relacionen en el desenvolupament de la seva activitat.</w:t>
      </w:r>
    </w:p>
    <w:p>
      <w:pPr>
        <w:pStyle w:val="Normal"/>
        <w:numPr>
          <w:ilvl w:val="0"/>
          <w:numId w:val="14"/>
        </w:numPr>
        <w:jc w:val="both"/>
        <w:rPr>
          <w:sz w:val="22"/>
          <w:szCs w:val="22"/>
        </w:rPr>
      </w:pPr>
      <w:r>
        <w:rPr>
          <w:sz w:val="22"/>
          <w:szCs w:val="22"/>
        </w:rPr>
        <w:t xml:space="preserve">Actuar de forma transparent. </w:t>
      </w:r>
    </w:p>
    <w:p>
      <w:pPr>
        <w:pStyle w:val="Normal"/>
        <w:numPr>
          <w:ilvl w:val="0"/>
          <w:numId w:val="14"/>
        </w:numPr>
        <w:jc w:val="both"/>
        <w:rPr>
          <w:sz w:val="22"/>
          <w:szCs w:val="22"/>
        </w:rPr>
      </w:pPr>
      <w:r>
        <w:rPr>
          <w:sz w:val="22"/>
          <w:szCs w:val="22"/>
        </w:rPr>
        <w:t>La igualtat de tracte de totes les persones, com a dret fonamental i valor democràtic cabdal de la societat que implica tots els aspectes de la vida, especialment la igualtat entre homes i dones.</w:t>
      </w:r>
    </w:p>
    <w:p>
      <w:pPr>
        <w:pStyle w:val="Normal"/>
        <w:tabs>
          <w:tab w:val="clear" w:pos="720"/>
          <w:tab w:val="left" w:pos="426" w:leader="none"/>
        </w:tabs>
        <w:jc w:val="both"/>
        <w:rPr>
          <w:sz w:val="22"/>
          <w:szCs w:val="22"/>
        </w:rPr>
      </w:pPr>
      <w:r>
        <w:rPr>
          <w:sz w:val="22"/>
          <w:szCs w:val="22"/>
        </w:rPr>
      </w:r>
    </w:p>
    <w:p>
      <w:pPr>
        <w:pStyle w:val="Normal"/>
        <w:numPr>
          <w:ilvl w:val="1"/>
          <w:numId w:val="12"/>
        </w:numPr>
        <w:tabs>
          <w:tab w:val="clear" w:pos="720"/>
          <w:tab w:val="left" w:pos="426" w:leader="none"/>
        </w:tabs>
        <w:ind w:left="426" w:hanging="426"/>
        <w:jc w:val="both"/>
        <w:rPr>
          <w:sz w:val="22"/>
          <w:szCs w:val="22"/>
        </w:rPr>
      </w:pPr>
      <w:r>
        <w:rPr>
          <w:sz w:val="22"/>
          <w:szCs w:val="22"/>
        </w:rPr>
        <w:t xml:space="preserve">En particular, les empreses licitadores i les empreses contractistes assumeixen les obligacions següents, amb el caràcter d’obligacions contractuals essencials: </w:t>
      </w:r>
    </w:p>
    <w:p>
      <w:pPr>
        <w:pStyle w:val="Normal"/>
        <w:jc w:val="both"/>
        <w:rPr>
          <w:sz w:val="22"/>
          <w:szCs w:val="22"/>
        </w:rPr>
      </w:pPr>
      <w:r>
        <w:rPr>
          <w:sz w:val="22"/>
          <w:szCs w:val="22"/>
        </w:rPr>
      </w:r>
    </w:p>
    <w:p>
      <w:pPr>
        <w:pStyle w:val="Normal"/>
        <w:numPr>
          <w:ilvl w:val="0"/>
          <w:numId w:val="14"/>
        </w:numPr>
        <w:jc w:val="both"/>
        <w:rPr>
          <w:sz w:val="22"/>
          <w:szCs w:val="22"/>
        </w:rPr>
      </w:pPr>
      <w:r>
        <w:rPr>
          <w:sz w:val="22"/>
          <w:szCs w:val="22"/>
        </w:rPr>
        <w:t>Comunicar immediatament a l’òrgan de contractació les possibles situacions de conflicte d’interessos.</w:t>
      </w:r>
    </w:p>
    <w:p>
      <w:pPr>
        <w:pStyle w:val="Normal"/>
        <w:numPr>
          <w:ilvl w:val="0"/>
          <w:numId w:val="14"/>
        </w:numPr>
        <w:jc w:val="both"/>
        <w:rPr>
          <w:sz w:val="22"/>
          <w:szCs w:val="22"/>
        </w:rPr>
      </w:pPr>
      <w:r>
        <w:rPr>
          <w:sz w:val="22"/>
          <w:szCs w:val="22"/>
        </w:rPr>
        <w:t>No sol·licitar, directament o indirectament, que un càrrec o empleat públic influeixi en l’adjudicació del contracte en interès propi.</w:t>
      </w:r>
    </w:p>
    <w:p>
      <w:pPr>
        <w:pStyle w:val="Normal"/>
        <w:numPr>
          <w:ilvl w:val="0"/>
          <w:numId w:val="14"/>
        </w:numPr>
        <w:jc w:val="both"/>
        <w:rPr>
          <w:sz w:val="22"/>
          <w:szCs w:val="22"/>
        </w:rPr>
      </w:pPr>
      <w:r>
        <w:rPr>
          <w:sz w:val="22"/>
          <w:szCs w:val="22"/>
        </w:rPr>
        <w:t>No oferir ni facilitar a càrrecs o empleats públics avantatges personals o materials, ni per a ells mateixos ni per a persones vinculades amb el seu entorn familiar o social, amb la voluntat d’incidir en un procediment contractual.</w:t>
      </w:r>
    </w:p>
    <w:p>
      <w:pPr>
        <w:pStyle w:val="Normal"/>
        <w:numPr>
          <w:ilvl w:val="0"/>
          <w:numId w:val="14"/>
        </w:numPr>
        <w:jc w:val="both"/>
        <w:rPr>
          <w:sz w:val="22"/>
          <w:szCs w:val="22"/>
        </w:rPr>
      </w:pPr>
      <w:r>
        <w:rPr>
          <w:sz w:val="22"/>
          <w:szCs w:val="22"/>
        </w:rPr>
        <w:t>No realitzar qualsevol altra acció que pugui vulnerar els principis d’igualtat d’oportunitats i de lliure concurrència.</w:t>
      </w:r>
    </w:p>
    <w:p>
      <w:pPr>
        <w:pStyle w:val="Normal"/>
        <w:numPr>
          <w:ilvl w:val="0"/>
          <w:numId w:val="14"/>
        </w:numPr>
        <w:jc w:val="both"/>
        <w:rPr>
          <w:sz w:val="22"/>
          <w:szCs w:val="22"/>
        </w:rPr>
      </w:pPr>
      <w:r>
        <w:rPr>
          <w:sz w:val="22"/>
          <w:szCs w:val="22"/>
        </w:rPr>
        <w:t>Respectar els principis de lliure mercat i de concurrència competitiva i 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 Així mateix, denunciar qualsevol acte o conducta dirigits a aquelles finalitats i relacionats amb la licitació o el contracte dels quals tingués coneixement.</w:t>
      </w:r>
    </w:p>
    <w:p>
      <w:pPr>
        <w:pStyle w:val="Normal"/>
        <w:numPr>
          <w:ilvl w:val="0"/>
          <w:numId w:val="14"/>
        </w:numPr>
        <w:jc w:val="both"/>
        <w:rPr>
          <w:sz w:val="22"/>
          <w:szCs w:val="22"/>
        </w:rPr>
      </w:pPr>
      <w:r>
        <w:rPr>
          <w:sz w:val="22"/>
          <w:szCs w:val="22"/>
        </w:rPr>
        <w:t>No utilitzar ni difondre informació confidencial, coneguda mitjançant el contracte, per obtenir, directament o indirectament, un avantatge o benefici econòmic en interès propi.</w:t>
      </w:r>
    </w:p>
    <w:p>
      <w:pPr>
        <w:pStyle w:val="Normal"/>
        <w:numPr>
          <w:ilvl w:val="0"/>
          <w:numId w:val="14"/>
        </w:numPr>
        <w:jc w:val="both"/>
        <w:rPr>
          <w:sz w:val="22"/>
          <w:szCs w:val="22"/>
        </w:rPr>
      </w:pPr>
      <w:r>
        <w:rPr>
          <w:sz w:val="22"/>
          <w:szCs w:val="22"/>
        </w:rPr>
        <w:t>Col·laborar amb l’òrgan de contractació en les actuacions que aquest realitzi per al seguiment i/o l’avaluació del compliment del contracte, particularment facilitant la informació que li sigui sol·licitada per a aquestes finalitats.</w:t>
      </w:r>
    </w:p>
    <w:p>
      <w:pPr>
        <w:pStyle w:val="Normal"/>
        <w:numPr>
          <w:ilvl w:val="0"/>
          <w:numId w:val="14"/>
        </w:numPr>
        <w:jc w:val="both"/>
        <w:rPr>
          <w:sz w:val="22"/>
          <w:szCs w:val="22"/>
        </w:rPr>
      </w:pPr>
      <w:r>
        <w:rPr>
          <w:sz w:val="22"/>
          <w:szCs w:val="22"/>
        </w:rPr>
        <w:t>Complir les obligacions de facilitar informació que la legislació de transparència i els contractes del sector públic imposen a les empreses adjudicatàries en relació amb l’Administració o administracions de referència, sens perjudici del compliment de les obligacions de transparència que els pertoquin de forma directa per previsió legal.</w:t>
      </w:r>
    </w:p>
    <w:p>
      <w:pPr>
        <w:pStyle w:val="Normal"/>
        <w:numPr>
          <w:ilvl w:val="0"/>
          <w:numId w:val="14"/>
        </w:numPr>
        <w:jc w:val="both"/>
        <w:rPr>
          <w:sz w:val="22"/>
          <w:szCs w:val="22"/>
        </w:rPr>
      </w:pPr>
      <w:r>
        <w:rPr>
          <w:sz w:val="22"/>
          <w:szCs w:val="22"/>
        </w:rPr>
        <w:t>Denunciar els actes dels quals tingui coneixement i que puguin comportar una infracció de les obligacions contingudes en aquesta clàusula.</w:t>
      </w:r>
    </w:p>
    <w:p>
      <w:pPr>
        <w:pStyle w:val="Normal"/>
        <w:numPr>
          <w:ilvl w:val="0"/>
          <w:numId w:val="14"/>
        </w:numPr>
        <w:jc w:val="both"/>
        <w:rPr>
          <w:sz w:val="22"/>
          <w:szCs w:val="22"/>
        </w:rPr>
      </w:pPr>
      <w:r>
        <w:rPr>
          <w:sz w:val="22"/>
          <w:szCs w:val="22"/>
        </w:rPr>
        <w:t>No obtenir ni tractar d'obtenir informació o d'influir en la presa de decisions de manera deshonesta.</w:t>
      </w:r>
    </w:p>
    <w:p>
      <w:pPr>
        <w:pStyle w:val="Normal"/>
        <w:numPr>
          <w:ilvl w:val="0"/>
          <w:numId w:val="14"/>
        </w:numPr>
        <w:jc w:val="both"/>
        <w:rPr>
          <w:sz w:val="22"/>
          <w:szCs w:val="22"/>
        </w:rPr>
      </w:pPr>
      <w:r>
        <w:rPr>
          <w:sz w:val="22"/>
          <w:szCs w:val="22"/>
        </w:rPr>
        <w:t>Proporcionar informació actualitzada i no enganyosa, així com mantenir-la actualitzada periòdicament.</w:t>
      </w:r>
    </w:p>
    <w:p>
      <w:pPr>
        <w:pStyle w:val="Normal"/>
        <w:numPr>
          <w:ilvl w:val="0"/>
          <w:numId w:val="14"/>
        </w:numPr>
        <w:jc w:val="both"/>
        <w:rPr>
          <w:sz w:val="22"/>
          <w:szCs w:val="22"/>
        </w:rPr>
      </w:pPr>
      <w:r>
        <w:rPr>
          <w:sz w:val="22"/>
          <w:szCs w:val="22"/>
        </w:rPr>
        <w:t>No incitar, per cap mitjà, autoritats, càrrecs públics o treballadors i treballadores públics a infringir la llei o les regles de comportament establerts en el Títol VI de l’Ordenança de transparència, accés a la informació i bon govern de l’Ajuntament de Terrassa i el seu sector públic.</w:t>
      </w:r>
    </w:p>
    <w:p>
      <w:pPr>
        <w:pStyle w:val="Normal"/>
        <w:numPr>
          <w:ilvl w:val="0"/>
          <w:numId w:val="14"/>
        </w:numPr>
        <w:jc w:val="both"/>
        <w:rPr>
          <w:sz w:val="22"/>
          <w:szCs w:val="22"/>
        </w:rPr>
      </w:pPr>
      <w:r>
        <w:rPr>
          <w:sz w:val="22"/>
          <w:szCs w:val="22"/>
        </w:rPr>
        <w:t>Actuar amb integritat i honestedat en el desenvolupament de la seva activitat i en les seves relacions amb les autoritats, els càrrecs electes i la resta d'empleats públics i no dur a terme cap activitat que pugui ser qualificada com a corrupta, deshonesta o il·legal.</w:t>
      </w:r>
    </w:p>
    <w:p>
      <w:pPr>
        <w:pStyle w:val="Normal"/>
        <w:numPr>
          <w:ilvl w:val="0"/>
          <w:numId w:val="14"/>
        </w:numPr>
        <w:jc w:val="both"/>
        <w:rPr>
          <w:sz w:val="22"/>
          <w:szCs w:val="22"/>
        </w:rPr>
      </w:pPr>
      <w:r>
        <w:rPr>
          <w:sz w:val="22"/>
          <w:szCs w:val="22"/>
        </w:rPr>
        <w:t>No posar les autoritats, els càrrecs electes i la resta d'empleats públics en cap situació que pugui generar un conflicte d'interessos.</w:t>
      </w:r>
    </w:p>
    <w:p>
      <w:pPr>
        <w:pStyle w:val="Normal"/>
        <w:numPr>
          <w:ilvl w:val="0"/>
          <w:numId w:val="14"/>
        </w:numPr>
        <w:jc w:val="both"/>
        <w:rPr>
          <w:sz w:val="22"/>
          <w:szCs w:val="22"/>
        </w:rPr>
      </w:pPr>
      <w:r>
        <w:rPr>
          <w:sz w:val="22"/>
          <w:szCs w:val="22"/>
        </w:rPr>
        <w:t>Garantir que el personal al seu servei compleixi la normativa relativa a la prohibició d'intervenir en activitats privades després del cessament dels alts càrrecs i altres normes d'incompatibilitats dels alts càrrecs, diputats, funcionaris i personal al servei de les institucions.</w:t>
      </w:r>
    </w:p>
    <w:p>
      <w:pPr>
        <w:pStyle w:val="Normal"/>
        <w:numPr>
          <w:ilvl w:val="0"/>
          <w:numId w:val="14"/>
        </w:numPr>
        <w:jc w:val="both"/>
        <w:rPr>
          <w:sz w:val="22"/>
          <w:szCs w:val="22"/>
        </w:rPr>
      </w:pPr>
      <w:r>
        <w:rPr>
          <w:sz w:val="22"/>
          <w:szCs w:val="22"/>
        </w:rPr>
        <w:t>Acceptar que la informació proporcionada a l’Ajuntament es faci pública, de conformitat amb la normativa vigent en matèria de transparència.</w:t>
      </w:r>
    </w:p>
    <w:p>
      <w:pPr>
        <w:pStyle w:val="Normal"/>
        <w:numPr>
          <w:ilvl w:val="0"/>
          <w:numId w:val="14"/>
        </w:numPr>
        <w:jc w:val="both"/>
        <w:rPr>
          <w:sz w:val="22"/>
          <w:szCs w:val="22"/>
        </w:rPr>
      </w:pPr>
      <w:r>
        <w:rPr>
          <w:sz w:val="22"/>
          <w:szCs w:val="22"/>
        </w:rPr>
        <w:t>Acceptar i complir les mesures que s'adoptin en cas d'incompliment de les obligacions establertes per la llei o per aquest codi, d'acord amb el que preveu la Llei 19/2014, de 29 de desembre.</w:t>
      </w:r>
    </w:p>
    <w:p>
      <w:pPr>
        <w:pStyle w:val="Normal"/>
        <w:numPr>
          <w:ilvl w:val="0"/>
          <w:numId w:val="14"/>
        </w:numPr>
        <w:jc w:val="both"/>
        <w:rPr>
          <w:sz w:val="22"/>
          <w:szCs w:val="22"/>
        </w:rPr>
      </w:pPr>
      <w:r>
        <w:rPr>
          <w:sz w:val="22"/>
          <w:szCs w:val="22"/>
        </w:rPr>
        <w:t>No realitzar operacions financeres en paradisos fiscals, segons la llista de països elaborada per les institucions europees o avalades per aquestes o, en el seu defecte, per l’Estat espanyol i que siguin considerades delictives, en els termes legalment establerts, com delictes de blanqueig de capitals, frau fiscal o contra la Hisenda Pública.</w:t>
      </w:r>
    </w:p>
    <w:p>
      <w:pPr>
        <w:pStyle w:val="Normal"/>
        <w:tabs>
          <w:tab w:val="clear" w:pos="720"/>
          <w:tab w:val="left" w:pos="426" w:leader="none"/>
        </w:tabs>
        <w:ind w:left="1080" w:hanging="0"/>
        <w:jc w:val="both"/>
        <w:rPr>
          <w:sz w:val="22"/>
          <w:szCs w:val="22"/>
        </w:rPr>
      </w:pPr>
      <w:r>
        <w:rPr>
          <w:sz w:val="22"/>
          <w:szCs w:val="22"/>
        </w:rPr>
      </w:r>
    </w:p>
    <w:p>
      <w:pPr>
        <w:pStyle w:val="Normal"/>
        <w:jc w:val="both"/>
        <w:rPr>
          <w:b/>
          <w:b/>
          <w:sz w:val="22"/>
          <w:szCs w:val="22"/>
        </w:rPr>
      </w:pPr>
      <w:r>
        <w:rPr>
          <w:b/>
          <w:sz w:val="22"/>
          <w:szCs w:val="22"/>
        </w:rPr>
      </w:r>
    </w:p>
    <w:p>
      <w:pPr>
        <w:pStyle w:val="Normal"/>
        <w:jc w:val="both"/>
        <w:rPr>
          <w:b/>
          <w:b/>
          <w:sz w:val="22"/>
          <w:szCs w:val="22"/>
        </w:rPr>
      </w:pPr>
      <w:r>
        <w:rPr>
          <w:b/>
          <w:sz w:val="22"/>
          <w:szCs w:val="22"/>
        </w:rPr>
        <w:t xml:space="preserve">VINT-I-TRESENA.- Obligacions del contractista </w:t>
      </w:r>
    </w:p>
    <w:p>
      <w:pPr>
        <w:pStyle w:val="Normal"/>
        <w:jc w:val="both"/>
        <w:rPr>
          <w:sz w:val="22"/>
          <w:szCs w:val="22"/>
        </w:rPr>
      </w:pPr>
      <w:r>
        <w:rPr>
          <w:sz w:val="22"/>
          <w:szCs w:val="22"/>
        </w:rPr>
      </w:r>
    </w:p>
    <w:p>
      <w:pPr>
        <w:pStyle w:val="Normal"/>
        <w:jc w:val="both"/>
        <w:rPr>
          <w:sz w:val="22"/>
          <w:szCs w:val="22"/>
        </w:rPr>
      </w:pPr>
      <w:r>
        <w:rPr>
          <w:sz w:val="22"/>
          <w:szCs w:val="22"/>
        </w:rPr>
        <w:t xml:space="preserve">S’estableixen les següents obligacions del contractista en relació a l’execució del contracte, a les quals s’atribueix el caràcter d’obligacions contractuals essencials als efectes assenyalats a l’article 211 de la LCSP: </w:t>
      </w:r>
    </w:p>
    <w:p>
      <w:pPr>
        <w:pStyle w:val="Normal"/>
        <w:jc w:val="both"/>
        <w:rPr>
          <w:sz w:val="22"/>
          <w:szCs w:val="22"/>
        </w:rPr>
      </w:pPr>
      <w:r>
        <w:rPr>
          <w:sz w:val="22"/>
          <w:szCs w:val="22"/>
        </w:rPr>
      </w:r>
    </w:p>
    <w:p>
      <w:pPr>
        <w:pStyle w:val="Cosdeltext"/>
        <w:ind w:left="0" w:right="879" w:hanging="0"/>
        <w:rPr>
          <w:rFonts w:ascii="Arial" w:hAnsi="Arial" w:eastAsia="SimSun;宋体" w:cs="Arial"/>
          <w:color w:val="00000A"/>
          <w:kern w:val="0"/>
          <w:sz w:val="22"/>
          <w:szCs w:val="22"/>
          <w:lang w:val="ca-ES" w:eastAsia="zh-CN" w:bidi="ar-SA"/>
        </w:rPr>
      </w:pPr>
      <w:r>
        <w:rPr>
          <w:rFonts w:eastAsia="SimSun;宋体" w:cs="Arial" w:ascii="Arial" w:hAnsi="Arial"/>
          <w:color w:val="00000A"/>
          <w:kern w:val="0"/>
          <w:sz w:val="22"/>
          <w:szCs w:val="22"/>
          <w:lang w:val="ca-ES" w:eastAsia="zh-CN" w:bidi="ar-SA"/>
        </w:rPr>
        <w:t>L'adjudicatari</w:t>
      </w:r>
      <w:r>
        <w:rPr>
          <w:rFonts w:eastAsia="SimSun;宋体" w:cs="Arial" w:ascii="Arial" w:hAnsi="Arial"/>
          <w:color w:val="00000A"/>
          <w:spacing w:val="40"/>
          <w:kern w:val="0"/>
          <w:sz w:val="22"/>
          <w:szCs w:val="22"/>
          <w:lang w:val="ca-ES" w:eastAsia="zh-CN" w:bidi="ar-SA"/>
        </w:rPr>
        <w:t xml:space="preserve"> </w:t>
      </w:r>
      <w:r>
        <w:rPr>
          <w:rFonts w:eastAsia="SimSun;宋体" w:cs="Arial" w:ascii="Arial" w:hAnsi="Arial"/>
          <w:color w:val="00000A"/>
          <w:kern w:val="0"/>
          <w:sz w:val="22"/>
          <w:szCs w:val="22"/>
          <w:lang w:val="ca-ES" w:eastAsia="zh-CN" w:bidi="ar-SA"/>
        </w:rPr>
        <w:t>està</w:t>
      </w:r>
      <w:r>
        <w:rPr>
          <w:rFonts w:eastAsia="SimSun;宋体" w:cs="Arial" w:ascii="Arial" w:hAnsi="Arial"/>
          <w:color w:val="00000A"/>
          <w:spacing w:val="40"/>
          <w:kern w:val="0"/>
          <w:sz w:val="22"/>
          <w:szCs w:val="22"/>
          <w:lang w:val="ca-ES" w:eastAsia="zh-CN" w:bidi="ar-SA"/>
        </w:rPr>
        <w:t xml:space="preserve"> </w:t>
      </w:r>
      <w:r>
        <w:rPr>
          <w:rFonts w:eastAsia="SimSun;宋体" w:cs="Arial" w:ascii="Arial" w:hAnsi="Arial"/>
          <w:color w:val="00000A"/>
          <w:kern w:val="0"/>
          <w:sz w:val="22"/>
          <w:szCs w:val="22"/>
          <w:lang w:val="ca-ES" w:eastAsia="zh-CN" w:bidi="ar-SA"/>
        </w:rPr>
        <w:t>obligat</w:t>
      </w:r>
      <w:r>
        <w:rPr>
          <w:rFonts w:eastAsia="SimSun;宋体" w:cs="Arial" w:ascii="Arial" w:hAnsi="Arial"/>
          <w:color w:val="00000A"/>
          <w:spacing w:val="40"/>
          <w:kern w:val="0"/>
          <w:sz w:val="22"/>
          <w:szCs w:val="22"/>
          <w:lang w:val="ca-ES" w:eastAsia="zh-CN" w:bidi="ar-SA"/>
        </w:rPr>
        <w:t xml:space="preserve"> </w:t>
      </w:r>
      <w:r>
        <w:rPr>
          <w:rFonts w:eastAsia="SimSun;宋体" w:cs="Arial" w:ascii="Arial" w:hAnsi="Arial"/>
          <w:color w:val="00000A"/>
          <w:kern w:val="0"/>
          <w:sz w:val="22"/>
          <w:szCs w:val="22"/>
          <w:lang w:val="ca-ES" w:eastAsia="zh-CN" w:bidi="ar-SA"/>
        </w:rPr>
        <w:t>a</w:t>
      </w:r>
      <w:r>
        <w:rPr>
          <w:rFonts w:eastAsia="SimSun;宋体" w:cs="Arial" w:ascii="Arial" w:hAnsi="Arial"/>
          <w:color w:val="00000A"/>
          <w:spacing w:val="40"/>
          <w:kern w:val="0"/>
          <w:sz w:val="22"/>
          <w:szCs w:val="22"/>
          <w:lang w:val="ca-ES" w:eastAsia="zh-CN" w:bidi="ar-SA"/>
        </w:rPr>
        <w:t xml:space="preserve"> </w:t>
      </w:r>
      <w:r>
        <w:rPr>
          <w:rFonts w:eastAsia="SimSun;宋体" w:cs="Arial" w:ascii="Arial" w:hAnsi="Arial"/>
          <w:color w:val="00000A"/>
          <w:kern w:val="0"/>
          <w:sz w:val="22"/>
          <w:szCs w:val="22"/>
          <w:lang w:val="ca-ES" w:eastAsia="zh-CN" w:bidi="ar-SA"/>
        </w:rPr>
        <w:t>realitzar</w:t>
      </w:r>
      <w:r>
        <w:rPr>
          <w:rFonts w:eastAsia="SimSun;宋体" w:cs="Arial" w:ascii="Arial" w:hAnsi="Arial"/>
          <w:color w:val="00000A"/>
          <w:spacing w:val="40"/>
          <w:kern w:val="0"/>
          <w:sz w:val="22"/>
          <w:szCs w:val="22"/>
          <w:lang w:val="ca-ES" w:eastAsia="zh-CN" w:bidi="ar-SA"/>
        </w:rPr>
        <w:t xml:space="preserve"> </w:t>
      </w:r>
      <w:r>
        <w:rPr>
          <w:rFonts w:eastAsia="SimSun;宋体" w:cs="Arial" w:ascii="Arial" w:hAnsi="Arial"/>
          <w:color w:val="00000A"/>
          <w:kern w:val="0"/>
          <w:sz w:val="22"/>
          <w:szCs w:val="22"/>
          <w:lang w:val="ca-ES" w:eastAsia="zh-CN" w:bidi="ar-SA"/>
        </w:rPr>
        <w:t>totes</w:t>
      </w:r>
      <w:r>
        <w:rPr>
          <w:rFonts w:eastAsia="SimSun;宋体" w:cs="Arial" w:ascii="Arial" w:hAnsi="Arial"/>
          <w:color w:val="00000A"/>
          <w:spacing w:val="40"/>
          <w:kern w:val="0"/>
          <w:sz w:val="22"/>
          <w:szCs w:val="22"/>
          <w:lang w:val="ca-ES" w:eastAsia="zh-CN" w:bidi="ar-SA"/>
        </w:rPr>
        <w:t xml:space="preserve"> </w:t>
      </w:r>
      <w:r>
        <w:rPr>
          <w:rFonts w:eastAsia="SimSun;宋体" w:cs="Arial" w:ascii="Arial" w:hAnsi="Arial"/>
          <w:color w:val="00000A"/>
          <w:kern w:val="0"/>
          <w:sz w:val="22"/>
          <w:szCs w:val="22"/>
          <w:lang w:val="ca-ES" w:eastAsia="zh-CN" w:bidi="ar-SA"/>
        </w:rPr>
        <w:t>les</w:t>
      </w:r>
      <w:r>
        <w:rPr>
          <w:rFonts w:eastAsia="SimSun;宋体" w:cs="Arial" w:ascii="Arial" w:hAnsi="Arial"/>
          <w:color w:val="00000A"/>
          <w:spacing w:val="40"/>
          <w:kern w:val="0"/>
          <w:sz w:val="22"/>
          <w:szCs w:val="22"/>
          <w:lang w:val="ca-ES" w:eastAsia="zh-CN" w:bidi="ar-SA"/>
        </w:rPr>
        <w:t xml:space="preserve"> </w:t>
      </w:r>
      <w:r>
        <w:rPr>
          <w:rFonts w:eastAsia="SimSun;宋体" w:cs="Arial" w:ascii="Arial" w:hAnsi="Arial"/>
          <w:color w:val="00000A"/>
          <w:kern w:val="0"/>
          <w:sz w:val="22"/>
          <w:szCs w:val="22"/>
          <w:lang w:val="ca-ES" w:eastAsia="zh-CN" w:bidi="ar-SA"/>
        </w:rPr>
        <w:t>actuacions</w:t>
      </w:r>
      <w:r>
        <w:rPr>
          <w:rFonts w:eastAsia="SimSun;宋体" w:cs="Arial" w:ascii="Arial" w:hAnsi="Arial"/>
          <w:color w:val="00000A"/>
          <w:spacing w:val="40"/>
          <w:kern w:val="0"/>
          <w:sz w:val="22"/>
          <w:szCs w:val="22"/>
          <w:lang w:val="ca-ES" w:eastAsia="zh-CN" w:bidi="ar-SA"/>
        </w:rPr>
        <w:t xml:space="preserve"> </w:t>
      </w:r>
      <w:r>
        <w:rPr>
          <w:rFonts w:eastAsia="SimSun;宋体" w:cs="Arial" w:ascii="Arial" w:hAnsi="Arial"/>
          <w:color w:val="00000A"/>
          <w:kern w:val="0"/>
          <w:sz w:val="22"/>
          <w:szCs w:val="22"/>
          <w:lang w:val="ca-ES" w:eastAsia="zh-CN" w:bidi="ar-SA"/>
        </w:rPr>
        <w:t>necessàries</w:t>
      </w:r>
      <w:r>
        <w:rPr>
          <w:rFonts w:eastAsia="SimSun;宋体" w:cs="Arial" w:ascii="Arial" w:hAnsi="Arial"/>
          <w:color w:val="00000A"/>
          <w:spacing w:val="40"/>
          <w:kern w:val="0"/>
          <w:sz w:val="22"/>
          <w:szCs w:val="22"/>
          <w:lang w:val="ca-ES" w:eastAsia="zh-CN" w:bidi="ar-SA"/>
        </w:rPr>
        <w:t xml:space="preserve"> </w:t>
      </w:r>
      <w:r>
        <w:rPr>
          <w:rFonts w:eastAsia="SimSun;宋体" w:cs="Arial" w:ascii="Arial" w:hAnsi="Arial"/>
          <w:color w:val="00000A"/>
          <w:kern w:val="0"/>
          <w:sz w:val="22"/>
          <w:szCs w:val="22"/>
          <w:lang w:val="ca-ES" w:eastAsia="zh-CN" w:bidi="ar-SA"/>
        </w:rPr>
        <w:t>per</w:t>
      </w:r>
      <w:r>
        <w:rPr>
          <w:rFonts w:eastAsia="SimSun;宋体" w:cs="Arial" w:ascii="Arial" w:hAnsi="Arial"/>
          <w:color w:val="00000A"/>
          <w:spacing w:val="40"/>
          <w:kern w:val="0"/>
          <w:sz w:val="22"/>
          <w:szCs w:val="22"/>
          <w:lang w:val="ca-ES" w:eastAsia="zh-CN" w:bidi="ar-SA"/>
        </w:rPr>
        <w:t xml:space="preserve"> </w:t>
      </w:r>
      <w:r>
        <w:rPr>
          <w:rFonts w:eastAsia="SimSun;宋体" w:cs="Arial" w:ascii="Arial" w:hAnsi="Arial"/>
          <w:color w:val="00000A"/>
          <w:kern w:val="0"/>
          <w:sz w:val="22"/>
          <w:szCs w:val="22"/>
          <w:lang w:val="ca-ES" w:eastAsia="zh-CN" w:bidi="ar-SA"/>
        </w:rPr>
        <w:t>a</w:t>
      </w:r>
      <w:r>
        <w:rPr>
          <w:rFonts w:eastAsia="SimSun;宋体" w:cs="Arial" w:ascii="Arial" w:hAnsi="Arial"/>
          <w:color w:val="00000A"/>
          <w:spacing w:val="40"/>
          <w:kern w:val="0"/>
          <w:sz w:val="22"/>
          <w:szCs w:val="22"/>
          <w:lang w:val="ca-ES" w:eastAsia="zh-CN" w:bidi="ar-SA"/>
        </w:rPr>
        <w:t xml:space="preserve"> </w:t>
      </w:r>
      <w:r>
        <w:rPr>
          <w:rFonts w:eastAsia="SimSun;宋体" w:cs="Arial" w:ascii="Arial" w:hAnsi="Arial"/>
          <w:color w:val="00000A"/>
          <w:kern w:val="0"/>
          <w:sz w:val="22"/>
          <w:szCs w:val="22"/>
          <w:lang w:val="ca-ES" w:eastAsia="zh-CN" w:bidi="ar-SA"/>
        </w:rPr>
        <w:t>l'adequat compliment del contracte, i, en particular:</w:t>
      </w:r>
    </w:p>
    <w:p>
      <w:pPr>
        <w:pStyle w:val="Cosdeltext"/>
        <w:spacing w:before="57" w:after="57"/>
        <w:rPr>
          <w:rFonts w:ascii="Arial" w:hAnsi="Arial" w:eastAsia="SimSun;宋体" w:cs="Arial"/>
          <w:color w:val="00000A"/>
          <w:kern w:val="0"/>
          <w:sz w:val="22"/>
          <w:szCs w:val="22"/>
          <w:lang w:val="ca-ES" w:eastAsia="zh-CN" w:bidi="ar-SA"/>
        </w:rPr>
      </w:pPr>
      <w:r>
        <w:rPr>
          <w:rFonts w:eastAsia="SimSun;宋体" w:cs="Arial" w:ascii="Arial" w:hAnsi="Arial"/>
          <w:color w:val="00000A"/>
          <w:kern w:val="0"/>
          <w:sz w:val="22"/>
          <w:szCs w:val="22"/>
          <w:lang w:val="ca-ES" w:eastAsia="zh-CN" w:bidi="ar-SA"/>
        </w:rPr>
      </w:r>
    </w:p>
    <w:p>
      <w:pPr>
        <w:pStyle w:val="ListParagraph"/>
        <w:numPr>
          <w:ilvl w:val="1"/>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Assignar una persona representant amb poder suficient</w:t>
      </w:r>
      <w:r>
        <w:rPr>
          <w:rFonts w:eastAsia="SimSun;宋体" w:cs="Arial" w:ascii="Arial" w:hAnsi="Arial"/>
          <w:color w:val="00000A"/>
          <w:spacing w:val="40"/>
          <w:kern w:val="0"/>
          <w:sz w:val="22"/>
          <w:szCs w:val="22"/>
          <w:lang w:val="ca-ES" w:eastAsia="zh-CN" w:bidi="ar-SA"/>
        </w:rPr>
        <w:t xml:space="preserve"> </w:t>
      </w:r>
      <w:r>
        <w:rPr>
          <w:rFonts w:eastAsia="SimSun;宋体" w:cs="Arial" w:ascii="Arial" w:hAnsi="Arial"/>
          <w:color w:val="00000A"/>
          <w:kern w:val="0"/>
          <w:sz w:val="22"/>
          <w:szCs w:val="22"/>
          <w:lang w:val="ca-ES" w:eastAsia="zh-CN" w:bidi="ar-SA"/>
        </w:rPr>
        <w:t>a través de la que es canalitzaran totes les relacions d’aquest contracte. Aquesta persona haurà de fer , com a mínim, una visita setmanal a cadascun dels centres.</w:t>
      </w:r>
    </w:p>
    <w:p>
      <w:pPr>
        <w:pStyle w:val="ListParagraph"/>
        <w:numPr>
          <w:ilvl w:val="1"/>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Prestar en forma directa el servei, amb prohibició absoluta de cedir-lo, alienar-lo o sotsarrendar-lo, llevat de tenir autorització expressa de l’Ajuntament, la qual només podrà atorgar-se per causes extraordinàries justificades degudament.</w:t>
      </w:r>
    </w:p>
    <w:p>
      <w:pPr>
        <w:pStyle w:val="ListParagraph"/>
        <w:numPr>
          <w:ilvl w:val="1"/>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Organitzar i prestar el servei amb estricta subjecció a les característiques establertes</w:t>
      </w:r>
      <w:r>
        <w:rPr>
          <w:rFonts w:eastAsia="SimSun;宋体" w:cs="Arial" w:ascii="Arial" w:hAnsi="Arial"/>
          <w:color w:val="00000A"/>
          <w:spacing w:val="14"/>
          <w:kern w:val="0"/>
          <w:sz w:val="22"/>
          <w:szCs w:val="22"/>
          <w:lang w:val="ca-ES" w:eastAsia="zh-CN" w:bidi="ar-SA"/>
        </w:rPr>
        <w:t xml:space="preserve"> </w:t>
      </w:r>
      <w:r>
        <w:rPr>
          <w:rFonts w:eastAsia="SimSun;宋体" w:cs="Arial" w:ascii="Arial" w:hAnsi="Arial"/>
          <w:color w:val="00000A"/>
          <w:kern w:val="0"/>
          <w:sz w:val="22"/>
          <w:szCs w:val="22"/>
          <w:lang w:val="ca-ES" w:eastAsia="zh-CN" w:bidi="ar-SA"/>
        </w:rPr>
        <w:t>en</w:t>
      </w:r>
      <w:r>
        <w:rPr>
          <w:rFonts w:eastAsia="SimSun;宋体" w:cs="Arial" w:ascii="Arial" w:hAnsi="Arial"/>
          <w:color w:val="00000A"/>
          <w:spacing w:val="14"/>
          <w:kern w:val="0"/>
          <w:sz w:val="22"/>
          <w:szCs w:val="22"/>
          <w:lang w:val="ca-ES" w:eastAsia="zh-CN" w:bidi="ar-SA"/>
        </w:rPr>
        <w:t xml:space="preserve"> </w:t>
      </w:r>
      <w:r>
        <w:rPr>
          <w:rFonts w:eastAsia="SimSun;宋体" w:cs="Arial" w:ascii="Arial" w:hAnsi="Arial"/>
          <w:color w:val="00000A"/>
          <w:kern w:val="0"/>
          <w:sz w:val="22"/>
          <w:szCs w:val="22"/>
          <w:lang w:val="ca-ES" w:eastAsia="zh-CN" w:bidi="ar-SA"/>
        </w:rPr>
        <w:t>el contracte</w:t>
      </w:r>
      <w:r>
        <w:rPr>
          <w:rFonts w:eastAsia="SimSun;宋体" w:cs="Arial" w:ascii="Arial" w:hAnsi="Arial"/>
          <w:color w:val="00000A"/>
          <w:spacing w:val="14"/>
          <w:kern w:val="0"/>
          <w:sz w:val="22"/>
          <w:szCs w:val="22"/>
          <w:lang w:val="ca-ES" w:eastAsia="zh-CN" w:bidi="ar-SA"/>
        </w:rPr>
        <w:t xml:space="preserve"> </w:t>
      </w:r>
      <w:r>
        <w:rPr>
          <w:rFonts w:eastAsia="SimSun;宋体" w:cs="Arial" w:ascii="Arial" w:hAnsi="Arial"/>
          <w:color w:val="00000A"/>
          <w:kern w:val="0"/>
          <w:sz w:val="22"/>
          <w:szCs w:val="22"/>
          <w:lang w:val="ca-ES" w:eastAsia="zh-CN" w:bidi="ar-SA"/>
        </w:rPr>
        <w:t>i dins</w:t>
      </w:r>
      <w:r>
        <w:rPr>
          <w:rFonts w:eastAsia="SimSun;宋体" w:cs="Arial" w:ascii="Arial" w:hAnsi="Arial"/>
          <w:color w:val="00000A"/>
          <w:spacing w:val="14"/>
          <w:kern w:val="0"/>
          <w:sz w:val="22"/>
          <w:szCs w:val="22"/>
          <w:lang w:val="ca-ES" w:eastAsia="zh-CN" w:bidi="ar-SA"/>
        </w:rPr>
        <w:t xml:space="preserve"> </w:t>
      </w:r>
      <w:r>
        <w:rPr>
          <w:rFonts w:eastAsia="SimSun;宋体" w:cs="Arial" w:ascii="Arial" w:hAnsi="Arial"/>
          <w:color w:val="00000A"/>
          <w:kern w:val="0"/>
          <w:sz w:val="22"/>
          <w:szCs w:val="22"/>
          <w:lang w:val="ca-ES" w:eastAsia="zh-CN" w:bidi="ar-SA"/>
        </w:rPr>
        <w:t>els</w:t>
      </w:r>
      <w:r>
        <w:rPr>
          <w:rFonts w:eastAsia="SimSun;宋体" w:cs="Arial" w:ascii="Arial" w:hAnsi="Arial"/>
          <w:color w:val="00000A"/>
          <w:spacing w:val="16"/>
          <w:kern w:val="0"/>
          <w:sz w:val="22"/>
          <w:szCs w:val="22"/>
          <w:lang w:val="ca-ES" w:eastAsia="zh-CN" w:bidi="ar-SA"/>
        </w:rPr>
        <w:t xml:space="preserve"> </w:t>
      </w:r>
      <w:r>
        <w:rPr>
          <w:rFonts w:eastAsia="SimSun;宋体" w:cs="Arial" w:ascii="Arial" w:hAnsi="Arial"/>
          <w:color w:val="00000A"/>
          <w:kern w:val="0"/>
          <w:sz w:val="22"/>
          <w:szCs w:val="22"/>
          <w:lang w:val="ca-ES" w:eastAsia="zh-CN" w:bidi="ar-SA"/>
        </w:rPr>
        <w:t>terminis</w:t>
      </w:r>
      <w:r>
        <w:rPr>
          <w:rFonts w:eastAsia="SimSun;宋体" w:cs="Arial" w:ascii="Arial" w:hAnsi="Arial"/>
          <w:color w:val="00000A"/>
          <w:spacing w:val="14"/>
          <w:kern w:val="0"/>
          <w:sz w:val="22"/>
          <w:szCs w:val="22"/>
          <w:lang w:val="ca-ES" w:eastAsia="zh-CN" w:bidi="ar-SA"/>
        </w:rPr>
        <w:t xml:space="preserve"> </w:t>
      </w:r>
      <w:r>
        <w:rPr>
          <w:rFonts w:eastAsia="SimSun;宋体" w:cs="Arial" w:ascii="Arial" w:hAnsi="Arial"/>
          <w:color w:val="00000A"/>
          <w:kern w:val="0"/>
          <w:sz w:val="22"/>
          <w:szCs w:val="22"/>
          <w:lang w:val="ca-ES" w:eastAsia="zh-CN" w:bidi="ar-SA"/>
        </w:rPr>
        <w:t>que</w:t>
      </w:r>
      <w:r>
        <w:rPr>
          <w:rFonts w:eastAsia="SimSun;宋体" w:cs="Arial" w:ascii="Arial" w:hAnsi="Arial"/>
          <w:color w:val="00000A"/>
          <w:spacing w:val="14"/>
          <w:kern w:val="0"/>
          <w:sz w:val="22"/>
          <w:szCs w:val="22"/>
          <w:lang w:val="ca-ES" w:eastAsia="zh-CN" w:bidi="ar-SA"/>
        </w:rPr>
        <w:t xml:space="preserve"> </w:t>
      </w:r>
      <w:r>
        <w:rPr>
          <w:rFonts w:eastAsia="SimSun;宋体" w:cs="Arial" w:ascii="Arial" w:hAnsi="Arial"/>
          <w:color w:val="00000A"/>
          <w:kern w:val="0"/>
          <w:sz w:val="22"/>
          <w:szCs w:val="22"/>
          <w:lang w:val="ca-ES" w:eastAsia="zh-CN" w:bidi="ar-SA"/>
        </w:rPr>
        <w:t>s’hi</w:t>
      </w:r>
      <w:r>
        <w:rPr>
          <w:rFonts w:eastAsia="SimSun;宋体" w:cs="Arial" w:ascii="Arial" w:hAnsi="Arial"/>
          <w:color w:val="00000A"/>
          <w:spacing w:val="15"/>
          <w:kern w:val="0"/>
          <w:sz w:val="22"/>
          <w:szCs w:val="22"/>
          <w:lang w:val="ca-ES" w:eastAsia="zh-CN" w:bidi="ar-SA"/>
        </w:rPr>
        <w:t xml:space="preserve"> </w:t>
      </w:r>
      <w:r>
        <w:rPr>
          <w:rFonts w:eastAsia="SimSun;宋体" w:cs="Arial" w:ascii="Arial" w:hAnsi="Arial"/>
          <w:color w:val="00000A"/>
          <w:kern w:val="0"/>
          <w:sz w:val="22"/>
          <w:szCs w:val="22"/>
          <w:lang w:val="ca-ES" w:eastAsia="zh-CN" w:bidi="ar-SA"/>
        </w:rPr>
        <w:t>assenyalen,</w:t>
      </w:r>
      <w:r>
        <w:rPr>
          <w:rFonts w:eastAsia="SimSun;宋体" w:cs="Arial" w:ascii="Arial" w:hAnsi="Arial"/>
          <w:color w:val="00000A"/>
          <w:spacing w:val="80"/>
          <w:kern w:val="0"/>
          <w:sz w:val="22"/>
          <w:szCs w:val="22"/>
          <w:lang w:val="ca-ES" w:eastAsia="zh-CN" w:bidi="ar-SA"/>
        </w:rPr>
        <w:t xml:space="preserve"> </w:t>
      </w:r>
      <w:r>
        <w:rPr>
          <w:rFonts w:eastAsia="SimSun;宋体" w:cs="Arial" w:ascii="Arial" w:hAnsi="Arial"/>
          <w:color w:val="00000A"/>
          <w:kern w:val="0"/>
          <w:sz w:val="22"/>
          <w:szCs w:val="22"/>
          <w:lang w:val="ca-ES" w:eastAsia="zh-CN" w:bidi="ar-SA"/>
        </w:rPr>
        <w:t>i sotmetre’s</w:t>
      </w:r>
      <w:r>
        <w:rPr>
          <w:rFonts w:eastAsia="SimSun;宋体" w:cs="Arial" w:ascii="Arial" w:hAnsi="Arial"/>
          <w:color w:val="00000A"/>
          <w:spacing w:val="14"/>
          <w:kern w:val="0"/>
          <w:sz w:val="22"/>
          <w:szCs w:val="22"/>
          <w:lang w:val="ca-ES" w:eastAsia="zh-CN" w:bidi="ar-SA"/>
        </w:rPr>
        <w:t xml:space="preserve"> </w:t>
      </w:r>
      <w:r>
        <w:rPr>
          <w:rFonts w:eastAsia="SimSun;宋体" w:cs="Arial" w:ascii="Arial" w:hAnsi="Arial"/>
          <w:color w:val="00000A"/>
          <w:kern w:val="0"/>
          <w:sz w:val="22"/>
          <w:szCs w:val="22"/>
          <w:lang w:val="ca-ES" w:eastAsia="zh-CN" w:bidi="ar-SA"/>
        </w:rPr>
        <w:t>en tot moment a les indicacions i les observacions de l’Ajuntament de Terrassa sobre el funcionament del servei.</w:t>
      </w:r>
    </w:p>
    <w:p>
      <w:pPr>
        <w:pStyle w:val="ListParagraph"/>
        <w:numPr>
          <w:ilvl w:val="1"/>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Facilitar mensualment al Servei d’Educació, en un format acordat i per escoles, les dades d’usuaris del servei segons tipologies: usuaris regulars, esporàdics, professors i pas i tipologies de menús servits.</w:t>
      </w:r>
    </w:p>
    <w:p>
      <w:pPr>
        <w:pStyle w:val="ListParagraph"/>
        <w:numPr>
          <w:ilvl w:val="1"/>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Mantenir les instal·lacions en bon estat de funcionament, assegurar la reparació i reposició diligent de qualsevol material, mobiliari o equipament tècnic espatllat i programar i garantir el manteniment preceptiu i normatiu d’aquells equipaments (cuines, termos, neveres, forns, campanes extractores, trituradores, microones, aixetes especials, carros, etc.), segons les seves especificitats tècniques</w:t>
      </w:r>
      <w:r>
        <w:rPr>
          <w:rFonts w:eastAsia="SimSun;宋体" w:cs="Arial" w:ascii="Arial" w:hAnsi="Arial"/>
          <w:color w:val="00000A"/>
          <w:kern w:val="0"/>
          <w:sz w:val="22"/>
          <w:szCs w:val="22"/>
          <w:shd w:fill="FFFF00" w:val="clear"/>
          <w:lang w:val="ca-ES" w:eastAsia="zh-CN" w:bidi="ar-SA"/>
        </w:rPr>
        <w:t xml:space="preserve"> –veure annex 3</w:t>
      </w:r>
      <w:r>
        <w:rPr>
          <w:rFonts w:eastAsia="SimSun;宋体" w:cs="Arial" w:ascii="Arial" w:hAnsi="Arial"/>
          <w:color w:val="00000A"/>
          <w:kern w:val="0"/>
          <w:sz w:val="22"/>
          <w:szCs w:val="22"/>
          <w:lang w:val="ca-ES" w:eastAsia="zh-CN" w:bidi="ar-SA"/>
        </w:rPr>
        <w:t xml:space="preserve">- i garantir la reposició necessària al seu càrrec de la vaixella (plats, gots, coberts, bols, gerres per l’aigua, etc.), l’utillatge de cuina (olles, paelles, pots, cullerots, ganivets, soperes, safates de vidre o d’acer inoxidable, etc.) i altre material fungible (papereres, galledes, guants, bosses d'escombraries, etc.) en el termini màxim de 48 hores. </w:t>
      </w:r>
    </w:p>
    <w:p>
      <w:pPr>
        <w:pStyle w:val="ListParagraph"/>
        <w:numPr>
          <w:ilvl w:val="1"/>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 xml:space="preserve">En el cas d'avaries en electrodomèstics o desperfectes en equipament de cuina la reparació dels quals hagi d'anar a càrrec de l'empresa adjudicatària, incloses les actuacions correctives de defectes detectats en inspeccions sanitàries, a </w:t>
      </w:r>
      <w:r>
        <w:rPr>
          <w:rFonts w:eastAsia="SimSun;宋体" w:cs="Arial" w:ascii="Arial" w:hAnsi="Arial"/>
          <w:color w:val="00000A"/>
          <w:kern w:val="0"/>
          <w:sz w:val="22"/>
          <w:szCs w:val="22"/>
          <w:shd w:fill="FFFF00" w:val="clear"/>
          <w:lang w:val="ca-ES" w:eastAsia="zh-CN" w:bidi="ar-SA"/>
        </w:rPr>
        <w:t xml:space="preserve">l'annex 3 </w:t>
      </w:r>
      <w:r>
        <w:rPr>
          <w:rFonts w:eastAsia="SimSun;宋体" w:cs="Arial" w:ascii="Arial" w:hAnsi="Arial"/>
          <w:color w:val="00000A"/>
          <w:kern w:val="0"/>
          <w:sz w:val="22"/>
          <w:szCs w:val="22"/>
          <w:lang w:val="ca-ES" w:eastAsia="zh-CN" w:bidi="ar-SA"/>
        </w:rPr>
        <w:t xml:space="preserve">s'estableixen els terminis de resposta i resolució. L’incompliment dels terminis de resposta i resolució donarà lloc a penalitats que s’especifiquen en el Plec de Clàusules Administratives Particulars (PCAP). </w:t>
      </w:r>
    </w:p>
    <w:p>
      <w:pPr>
        <w:pStyle w:val="ListParagraph"/>
        <w:numPr>
          <w:ilvl w:val="1"/>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Es prohibeix la instal·lació de qualsevol electrodomèstic que requereixi modificacions a les instal·lacions de l'escola (inclosos els augments de potència elèctrica) o suposi un increment del consum elèctric sense l’autorització prèvia del Servei d’Educació.</w:t>
      </w:r>
    </w:p>
    <w:p>
      <w:pPr>
        <w:pStyle w:val="ListParagraph"/>
        <w:numPr>
          <w:ilvl w:val="1"/>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Es prohibeix fer ús dels equipaments i instal·lacions amb finalitzats diferents a les previstes a l'objecte contractual, sense autorització prèvia de l'Ajuntam</w:t>
      </w:r>
    </w:p>
    <w:p>
      <w:pPr>
        <w:pStyle w:val="ListParagraph"/>
        <w:numPr>
          <w:ilvl w:val="1"/>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Buidatge de les neveres en períodes no lectius per evitar que possibles fallades de corrent malmetin els productes emmagatzemats</w:t>
      </w:r>
    </w:p>
    <w:p>
      <w:pPr>
        <w:pStyle w:val="ListParagraph"/>
        <w:numPr>
          <w:ilvl w:val="1"/>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Fer un ús adequat de les instal·lacions utilitzant criteris d’estalvi i d’eficiència energètica; en concret, no fer ús dels equipaments ni instal·lacions de la cuina amb finalitat diferent a la de cuinar, com per exemple fer ús dels fogons o d’escalfaplats com a sistema de calefacció.</w:t>
      </w:r>
    </w:p>
    <w:p>
      <w:pPr>
        <w:pStyle w:val="ListParagraph"/>
        <w:numPr>
          <w:ilvl w:val="1"/>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 xml:space="preserve">Fer la gestió dels residus separant-los en origen i emmagatzemant-los en condicions d’higiene i seguretat, adequadament senyalitzats, en les fraccions indicades a continuació, i lliurant-los als agents i en les condicions també indicades. Aquest model de gestió s’aplicarà en totes les fases del procés que és objecte de contracte (adquisició de les matèries primeres, preparació dels àpats, servei de menjador, i recollida/neteja) i per a tots els residus generats. </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Els envasos secundaris de qualsevol naturalesa (no destinats al consumidor final, sense “punt verd”), i els envasos buits de productes de neteja que puguin ser tòxics o perillosos, caldrà que siguin retirats pel prestador del servei i lliurats a la deixalleria.</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Els envasos lleugers destinats al consumidor final, amb “punt verd”, s’emmagatzemaran en un contenidor groc i es disposaran al final del dia als contenidors d’envasos del servei municipal.</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Els papers i cartrons s’emmagatzemaran en un contenidor blau i es disposaran al final del dia als contenidors de paper i cartró del centre educatiu si en disposa, o en el més proper del carrer exclusivament en el cas que no en disposi.</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El vidre s’emmagatzemarà en un contenidor verd i es disposarà al final del dia als contenidors de vidre del servei municipal.</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La matèria orgànica s’emmagatzemarà en el contenidor marró, el qual es dipositarà, en l'horari establert, a l’exterior de la porta de l’escola o al lloc estipulat pel servei de recollida. Una vegada buidat el contenidor s’ha d’introduir dins del recinte escolar o de la cuina.</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La fracció resta s’emmagatzemarà en un contenidor gris/verd i es dipositarà als contenidors del servei municipal.</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L’oli de cuina usat haurà de ser emmagatzemant separadament i lliurat a a una empresa acreditada.</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La resta de residus (bombetes, piles, esprais, fusta, ferro, roba, etc) s’emmagatzemaran en un contenidor d’un color diferent als anteriors i es lliurarà al servei municipal de deixalleria.</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El subministrament, buidatge, neteja i manteniment dels contenidors va a càrrec de l’empresa adjudicatària, i han de ser de materials de fàcil neteja i desinfecció.</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 xml:space="preserve">Els residus seran lliurats al serveis municipals amb bossa de plàstic reciclat i ben tancada i, quan s’escaigui, amb els contenidors del servei porta a porta. </w:t>
      </w:r>
    </w:p>
    <w:p>
      <w:pPr>
        <w:pStyle w:val="ListParagraph"/>
        <w:numPr>
          <w:ilvl w:val="0"/>
          <w:numId w:val="0"/>
        </w:numPr>
        <w:tabs>
          <w:tab w:val="clear" w:pos="720"/>
          <w:tab w:val="left" w:pos="1024" w:leader="none"/>
          <w:tab w:val="left" w:pos="1030" w:leader="none"/>
        </w:tabs>
        <w:spacing w:lineRule="auto" w:line="240" w:before="57" w:after="57"/>
        <w:ind w:left="2268" w:hanging="0"/>
        <w:contextualSpacing/>
        <w:jc w:val="both"/>
        <w:rPr/>
      </w:pPr>
      <w:r>
        <w:rPr>
          <w:rFonts w:eastAsia="SimSun;宋体" w:cs="Arial" w:ascii="Arial" w:hAnsi="Arial"/>
          <w:color w:val="00000A"/>
          <w:kern w:val="0"/>
          <w:sz w:val="22"/>
          <w:szCs w:val="22"/>
          <w:lang w:val="ca-ES" w:eastAsia="zh-CN" w:bidi="ar-SA"/>
        </w:rPr>
        <w:t>Aquest model de gestió s’aplicarà en totes les fases del procés que és objecte de contracte (adquisició de les matèries primeres, preparació dels àpats, servei de menjador, i recollida/neteja) i per a tots els residus generats.</w:t>
      </w:r>
    </w:p>
    <w:p>
      <w:pPr>
        <w:pStyle w:val="ListParagraph"/>
        <w:numPr>
          <w:ilvl w:val="1"/>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Vetllar pel control d’entrades i sortides de persones a les instal·lacions en horari de prestació del servei.</w:t>
      </w:r>
    </w:p>
    <w:p>
      <w:pPr>
        <w:pStyle w:val="ListParagraph"/>
        <w:numPr>
          <w:ilvl w:val="1"/>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No alienar ni gravar els béns objecte del present contracte.</w:t>
      </w:r>
    </w:p>
    <w:p>
      <w:pPr>
        <w:pStyle w:val="ListParagraph"/>
        <w:numPr>
          <w:ilvl w:val="1"/>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Fer-se càrrec de les despeses següents:</w:t>
      </w:r>
    </w:p>
    <w:p>
      <w:pPr>
        <w:pStyle w:val="ListParagraph"/>
        <w:numPr>
          <w:ilvl w:val="0"/>
          <w:numId w:val="0"/>
        </w:numPr>
        <w:tabs>
          <w:tab w:val="clear" w:pos="720"/>
          <w:tab w:val="left" w:pos="1024" w:leader="none"/>
          <w:tab w:val="left" w:pos="1030" w:leader="none"/>
        </w:tabs>
        <w:spacing w:lineRule="auto" w:line="240" w:before="57" w:after="57"/>
        <w:ind w:left="1287" w:hanging="0"/>
        <w:contextualSpacing/>
        <w:jc w:val="both"/>
        <w:rPr/>
      </w:pPr>
      <w:r>
        <w:rPr>
          <w:rFonts w:eastAsia="SimSun;宋体" w:cs="Arial" w:ascii="Arial" w:hAnsi="Arial"/>
          <w:color w:val="00000A"/>
          <w:kern w:val="0"/>
          <w:sz w:val="22"/>
          <w:szCs w:val="22"/>
          <w:lang w:val="ca-ES" w:eastAsia="zh-CN" w:bidi="ar-SA"/>
        </w:rPr>
        <w:t xml:space="preserve">    </w:t>
      </w:r>
      <w:r>
        <w:rPr>
          <w:rFonts w:eastAsia="SimSun;宋体" w:cs="Arial" w:ascii="Arial" w:hAnsi="Arial"/>
          <w:color w:val="00000A"/>
          <w:kern w:val="0"/>
          <w:sz w:val="22"/>
          <w:szCs w:val="22"/>
          <w:lang w:val="ca-ES" w:eastAsia="zh-CN" w:bidi="ar-SA"/>
        </w:rPr>
        <w:t>1. Menjadors escolars:</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El subministrament de totes les matèries primeres per fer el menjar.</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Els costos del personal de cuina.</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El vestuari i els EPI del personal de cuina.</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De la neteja diària, les reparacions i el manteniment preventiu de les instal·lacions utilitzades per al desenvolupament del servei que es presta.</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Els materials gràfics i d’informació a les famílies.</w:t>
      </w:r>
    </w:p>
    <w:p>
      <w:pPr>
        <w:pStyle w:val="ListParagraph"/>
        <w:numPr>
          <w:ilvl w:val="2"/>
          <w:numId w:val="32"/>
        </w:numPr>
        <w:tabs>
          <w:tab w:val="clear" w:pos="720"/>
          <w:tab w:val="left" w:pos="1024" w:leader="none"/>
          <w:tab w:val="left" w:pos="1030" w:leader="none"/>
        </w:tabs>
        <w:spacing w:lineRule="auto" w:line="240" w:before="57" w:after="57"/>
        <w:contextualSpacing/>
        <w:jc w:val="both"/>
        <w:rPr/>
      </w:pPr>
      <w:r>
        <w:rPr>
          <w:rFonts w:eastAsia="SimSun;宋体" w:cs="Arial" w:ascii="Arial" w:hAnsi="Arial"/>
          <w:color w:val="00000A"/>
          <w:kern w:val="0"/>
          <w:sz w:val="22"/>
          <w:szCs w:val="22"/>
          <w:lang w:val="ca-ES" w:eastAsia="zh-CN" w:bidi="ar-SA"/>
        </w:rPr>
        <w:t xml:space="preserve">Les galledes i/o contenidors per separar les diferents fraccions de residus generats, la seva senyalització i informació. </w:t>
      </w:r>
    </w:p>
    <w:p>
      <w:pPr>
        <w:pStyle w:val="ListParagraph"/>
        <w:numPr>
          <w:ilvl w:val="0"/>
          <w:numId w:val="0"/>
        </w:numPr>
        <w:tabs>
          <w:tab w:val="clear" w:pos="720"/>
          <w:tab w:val="left" w:pos="1024" w:leader="none"/>
          <w:tab w:val="left" w:pos="1030" w:leader="none"/>
        </w:tabs>
        <w:spacing w:lineRule="auto" w:line="240" w:before="57" w:after="57"/>
        <w:ind w:left="2268" w:hanging="0"/>
        <w:contextualSpacing/>
        <w:jc w:val="both"/>
        <w:rPr>
          <w:rFonts w:ascii="Arial" w:hAnsi="Arial" w:eastAsia="SimSun;宋体" w:cs="Arial"/>
          <w:color w:val="00000A"/>
          <w:kern w:val="0"/>
          <w:sz w:val="22"/>
          <w:szCs w:val="22"/>
          <w:lang w:val="ca-ES" w:eastAsia="zh-CN" w:bidi="ar-SA"/>
        </w:rPr>
      </w:pPr>
      <w:r>
        <w:rPr>
          <w:rFonts w:eastAsia="SimSun;宋体" w:cs="Arial" w:ascii="Arial" w:hAnsi="Arial"/>
          <w:color w:val="00000A"/>
          <w:kern w:val="0"/>
          <w:sz w:val="22"/>
          <w:szCs w:val="22"/>
          <w:lang w:val="ca-ES" w:eastAsia="zh-CN" w:bidi="ar-SA"/>
        </w:rPr>
      </w:r>
    </w:p>
    <w:p>
      <w:pPr>
        <w:pStyle w:val="ListParagraph"/>
        <w:numPr>
          <w:ilvl w:val="0"/>
          <w:numId w:val="0"/>
        </w:numPr>
        <w:tabs>
          <w:tab w:val="clear" w:pos="720"/>
          <w:tab w:val="left" w:pos="1024" w:leader="none"/>
          <w:tab w:val="left" w:pos="1030" w:leader="none"/>
        </w:tabs>
        <w:spacing w:lineRule="auto" w:line="240" w:before="57" w:after="57"/>
        <w:ind w:left="2268" w:hanging="0"/>
        <w:contextualSpacing/>
        <w:jc w:val="both"/>
        <w:rPr/>
      </w:pPr>
      <w:r>
        <w:rPr>
          <w:rFonts w:eastAsia="SimSun;宋体" w:cs="Arial" w:ascii="Arial" w:hAnsi="Arial"/>
          <w:color w:val="00000A"/>
          <w:kern w:val="0"/>
          <w:sz w:val="22"/>
          <w:szCs w:val="22"/>
          <w:lang w:val="ca-ES" w:eastAsia="zh-CN" w:bidi="ar-SA"/>
        </w:rPr>
        <w:t>2. Les</w:t>
      </w:r>
      <w:r>
        <w:rPr>
          <w:rFonts w:eastAsia="SimSun;宋体" w:cs="Arial" w:ascii="Arial" w:hAnsi="Arial"/>
          <w:color w:val="00000A"/>
          <w:spacing w:val="-6"/>
          <w:kern w:val="0"/>
          <w:sz w:val="22"/>
          <w:szCs w:val="22"/>
          <w:lang w:val="ca-ES" w:eastAsia="zh-CN" w:bidi="ar-SA"/>
        </w:rPr>
        <w:t xml:space="preserve"> </w:t>
      </w:r>
      <w:r>
        <w:rPr>
          <w:rFonts w:eastAsia="SimSun;宋体" w:cs="Arial" w:ascii="Arial" w:hAnsi="Arial"/>
          <w:color w:val="00000A"/>
          <w:kern w:val="0"/>
          <w:sz w:val="22"/>
          <w:szCs w:val="22"/>
          <w:lang w:val="ca-ES" w:eastAsia="zh-CN" w:bidi="ar-SA"/>
        </w:rPr>
        <w:t>de</w:t>
      </w:r>
      <w:r>
        <w:rPr>
          <w:rFonts w:eastAsia="SimSun;宋体" w:cs="Arial" w:ascii="Arial" w:hAnsi="Arial"/>
          <w:color w:val="00000A"/>
          <w:spacing w:val="-4"/>
          <w:kern w:val="0"/>
          <w:sz w:val="22"/>
          <w:szCs w:val="22"/>
          <w:lang w:val="ca-ES" w:eastAsia="zh-CN" w:bidi="ar-SA"/>
        </w:rPr>
        <w:t xml:space="preserve"> </w:t>
      </w:r>
      <w:r>
        <w:rPr>
          <w:rFonts w:eastAsia="SimSun;宋体" w:cs="Arial" w:ascii="Arial" w:hAnsi="Arial"/>
          <w:color w:val="00000A"/>
          <w:kern w:val="0"/>
          <w:sz w:val="22"/>
          <w:szCs w:val="22"/>
          <w:lang w:val="ca-ES" w:eastAsia="zh-CN" w:bidi="ar-SA"/>
        </w:rPr>
        <w:t>caràcter</w:t>
      </w:r>
      <w:r>
        <w:rPr>
          <w:rFonts w:eastAsia="SimSun;宋体" w:cs="Arial" w:ascii="Arial" w:hAnsi="Arial"/>
          <w:color w:val="00000A"/>
          <w:spacing w:val="-3"/>
          <w:kern w:val="0"/>
          <w:sz w:val="22"/>
          <w:szCs w:val="22"/>
          <w:lang w:val="ca-ES" w:eastAsia="zh-CN" w:bidi="ar-SA"/>
        </w:rPr>
        <w:t xml:space="preserve"> </w:t>
      </w:r>
      <w:r>
        <w:rPr>
          <w:rFonts w:eastAsia="SimSun;宋体" w:cs="Arial" w:ascii="Arial" w:hAnsi="Arial"/>
          <w:color w:val="00000A"/>
          <w:kern w:val="0"/>
          <w:sz w:val="22"/>
          <w:szCs w:val="22"/>
          <w:lang w:val="ca-ES" w:eastAsia="zh-CN" w:bidi="ar-SA"/>
        </w:rPr>
        <w:t>tributari</w:t>
      </w:r>
      <w:r>
        <w:rPr>
          <w:rFonts w:eastAsia="SimSun;宋体" w:cs="Arial" w:ascii="Arial" w:hAnsi="Arial"/>
          <w:color w:val="00000A"/>
          <w:spacing w:val="-6"/>
          <w:kern w:val="0"/>
          <w:sz w:val="22"/>
          <w:szCs w:val="22"/>
          <w:lang w:val="ca-ES" w:eastAsia="zh-CN" w:bidi="ar-SA"/>
        </w:rPr>
        <w:t xml:space="preserve"> </w:t>
      </w:r>
      <w:r>
        <w:rPr>
          <w:rFonts w:eastAsia="SimSun;宋体" w:cs="Arial" w:ascii="Arial" w:hAnsi="Arial"/>
          <w:color w:val="00000A"/>
          <w:kern w:val="0"/>
          <w:sz w:val="22"/>
          <w:szCs w:val="22"/>
          <w:lang w:val="ca-ES" w:eastAsia="zh-CN" w:bidi="ar-SA"/>
        </w:rPr>
        <w:t>que</w:t>
      </w:r>
      <w:r>
        <w:rPr>
          <w:rFonts w:eastAsia="SimSun;宋体" w:cs="Arial" w:ascii="Arial" w:hAnsi="Arial"/>
          <w:color w:val="00000A"/>
          <w:spacing w:val="-4"/>
          <w:kern w:val="0"/>
          <w:sz w:val="22"/>
          <w:szCs w:val="22"/>
          <w:lang w:val="ca-ES" w:eastAsia="zh-CN" w:bidi="ar-SA"/>
        </w:rPr>
        <w:t xml:space="preserve"> </w:t>
      </w:r>
      <w:r>
        <w:rPr>
          <w:rFonts w:eastAsia="SimSun;宋体" w:cs="Arial" w:ascii="Arial" w:hAnsi="Arial"/>
          <w:color w:val="00000A"/>
          <w:kern w:val="0"/>
          <w:sz w:val="22"/>
          <w:szCs w:val="22"/>
          <w:lang w:val="ca-ES" w:eastAsia="zh-CN" w:bidi="ar-SA"/>
        </w:rPr>
        <w:t>es</w:t>
      </w:r>
      <w:r>
        <w:rPr>
          <w:rFonts w:eastAsia="SimSun;宋体" w:cs="Arial" w:ascii="Arial" w:hAnsi="Arial"/>
          <w:color w:val="00000A"/>
          <w:spacing w:val="-3"/>
          <w:kern w:val="0"/>
          <w:sz w:val="22"/>
          <w:szCs w:val="22"/>
          <w:lang w:val="ca-ES" w:eastAsia="zh-CN" w:bidi="ar-SA"/>
        </w:rPr>
        <w:t xml:space="preserve"> </w:t>
      </w:r>
      <w:r>
        <w:rPr>
          <w:rFonts w:eastAsia="SimSun;宋体" w:cs="Arial" w:ascii="Arial" w:hAnsi="Arial"/>
          <w:color w:val="00000A"/>
          <w:kern w:val="0"/>
          <w:sz w:val="22"/>
          <w:szCs w:val="22"/>
          <w:lang w:val="ca-ES" w:eastAsia="zh-CN" w:bidi="ar-SA"/>
        </w:rPr>
        <w:t>desprenguin</w:t>
      </w:r>
      <w:r>
        <w:rPr>
          <w:rFonts w:eastAsia="SimSun;宋体" w:cs="Arial" w:ascii="Arial" w:hAnsi="Arial"/>
          <w:color w:val="00000A"/>
          <w:spacing w:val="-2"/>
          <w:kern w:val="0"/>
          <w:sz w:val="22"/>
          <w:szCs w:val="22"/>
          <w:lang w:val="ca-ES" w:eastAsia="zh-CN" w:bidi="ar-SA"/>
        </w:rPr>
        <w:t xml:space="preserve"> </w:t>
      </w:r>
      <w:r>
        <w:rPr>
          <w:rFonts w:eastAsia="SimSun;宋体" w:cs="Arial" w:ascii="Arial" w:hAnsi="Arial"/>
          <w:color w:val="00000A"/>
          <w:kern w:val="0"/>
          <w:sz w:val="22"/>
          <w:szCs w:val="22"/>
          <w:lang w:val="ca-ES" w:eastAsia="zh-CN" w:bidi="ar-SA"/>
        </w:rPr>
        <w:t>de</w:t>
      </w:r>
      <w:r>
        <w:rPr>
          <w:rFonts w:eastAsia="SimSun;宋体" w:cs="Arial" w:ascii="Arial" w:hAnsi="Arial"/>
          <w:color w:val="00000A"/>
          <w:spacing w:val="-4"/>
          <w:kern w:val="0"/>
          <w:sz w:val="22"/>
          <w:szCs w:val="22"/>
          <w:lang w:val="ca-ES" w:eastAsia="zh-CN" w:bidi="ar-SA"/>
        </w:rPr>
        <w:t xml:space="preserve"> </w:t>
      </w:r>
      <w:r>
        <w:rPr>
          <w:rFonts w:eastAsia="SimSun;宋体" w:cs="Arial" w:ascii="Arial" w:hAnsi="Arial"/>
          <w:color w:val="00000A"/>
          <w:kern w:val="0"/>
          <w:sz w:val="22"/>
          <w:szCs w:val="22"/>
          <w:lang w:val="ca-ES" w:eastAsia="zh-CN" w:bidi="ar-SA"/>
        </w:rPr>
        <w:t>l’activitat</w:t>
      </w:r>
      <w:r>
        <w:rPr>
          <w:rFonts w:eastAsia="SimSun;宋体" w:cs="Arial" w:ascii="Arial" w:hAnsi="Arial"/>
          <w:color w:val="00000A"/>
          <w:spacing w:val="-1"/>
          <w:kern w:val="0"/>
          <w:sz w:val="22"/>
          <w:szCs w:val="22"/>
          <w:lang w:val="ca-ES" w:eastAsia="zh-CN" w:bidi="ar-SA"/>
        </w:rPr>
        <w:t xml:space="preserve"> </w:t>
      </w:r>
      <w:r>
        <w:rPr>
          <w:rFonts w:eastAsia="SimSun;宋体" w:cs="Arial" w:ascii="Arial" w:hAnsi="Arial"/>
          <w:color w:val="00000A"/>
          <w:spacing w:val="-2"/>
          <w:kern w:val="0"/>
          <w:sz w:val="22"/>
          <w:szCs w:val="22"/>
          <w:lang w:val="ca-ES" w:eastAsia="zh-CN" w:bidi="ar-SA"/>
        </w:rPr>
        <w:t xml:space="preserve">desenvolupada. </w:t>
      </w:r>
    </w:p>
    <w:p>
      <w:pPr>
        <w:pStyle w:val="ListParagraph"/>
        <w:numPr>
          <w:ilvl w:val="0"/>
          <w:numId w:val="0"/>
        </w:numPr>
        <w:tabs>
          <w:tab w:val="clear" w:pos="720"/>
          <w:tab w:val="left" w:pos="1024" w:leader="none"/>
          <w:tab w:val="left" w:pos="1030" w:leader="none"/>
        </w:tabs>
        <w:spacing w:lineRule="auto" w:line="240" w:before="57" w:after="57"/>
        <w:ind w:left="2268" w:hanging="0"/>
        <w:contextualSpacing/>
        <w:jc w:val="both"/>
        <w:rPr/>
      </w:pPr>
      <w:r>
        <w:rPr>
          <w:rFonts w:eastAsia="SimSun;宋体" w:cs="Arial" w:ascii="Arial" w:hAnsi="Arial"/>
          <w:color w:val="00000A"/>
          <w:kern w:val="0"/>
          <w:sz w:val="22"/>
          <w:szCs w:val="22"/>
          <w:lang w:val="ca-ES" w:eastAsia="zh-CN" w:bidi="ar-SA"/>
        </w:rPr>
        <w:t>3. Qualsevol</w:t>
      </w:r>
      <w:r>
        <w:rPr>
          <w:rFonts w:eastAsia="SimSun;宋体" w:cs="Arial" w:ascii="Arial" w:hAnsi="Arial"/>
          <w:color w:val="00000A"/>
          <w:spacing w:val="-7"/>
          <w:kern w:val="0"/>
          <w:sz w:val="22"/>
          <w:szCs w:val="22"/>
          <w:lang w:val="ca-ES" w:eastAsia="zh-CN" w:bidi="ar-SA"/>
        </w:rPr>
        <w:t xml:space="preserve"> </w:t>
      </w:r>
      <w:r>
        <w:rPr>
          <w:rFonts w:eastAsia="SimSun;宋体" w:cs="Arial" w:ascii="Arial" w:hAnsi="Arial"/>
          <w:color w:val="00000A"/>
          <w:kern w:val="0"/>
          <w:sz w:val="22"/>
          <w:szCs w:val="22"/>
          <w:lang w:val="ca-ES" w:eastAsia="zh-CN" w:bidi="ar-SA"/>
        </w:rPr>
        <w:t>altra</w:t>
      </w:r>
      <w:r>
        <w:rPr>
          <w:rFonts w:eastAsia="SimSun;宋体" w:cs="Arial" w:ascii="Arial" w:hAnsi="Arial"/>
          <w:color w:val="00000A"/>
          <w:spacing w:val="-4"/>
          <w:kern w:val="0"/>
          <w:sz w:val="22"/>
          <w:szCs w:val="22"/>
          <w:lang w:val="ca-ES" w:eastAsia="zh-CN" w:bidi="ar-SA"/>
        </w:rPr>
        <w:t xml:space="preserve"> </w:t>
      </w:r>
      <w:r>
        <w:rPr>
          <w:rFonts w:eastAsia="SimSun;宋体" w:cs="Arial" w:ascii="Arial" w:hAnsi="Arial"/>
          <w:color w:val="00000A"/>
          <w:kern w:val="0"/>
          <w:sz w:val="22"/>
          <w:szCs w:val="22"/>
          <w:lang w:val="ca-ES" w:eastAsia="zh-CN" w:bidi="ar-SA"/>
        </w:rPr>
        <w:t>despesa</w:t>
      </w:r>
      <w:r>
        <w:rPr>
          <w:rFonts w:eastAsia="SimSun;宋体" w:cs="Arial" w:ascii="Arial" w:hAnsi="Arial"/>
          <w:color w:val="00000A"/>
          <w:spacing w:val="-4"/>
          <w:kern w:val="0"/>
          <w:sz w:val="22"/>
          <w:szCs w:val="22"/>
          <w:lang w:val="ca-ES" w:eastAsia="zh-CN" w:bidi="ar-SA"/>
        </w:rPr>
        <w:t xml:space="preserve"> </w:t>
      </w:r>
      <w:r>
        <w:rPr>
          <w:rFonts w:eastAsia="SimSun;宋体" w:cs="Arial" w:ascii="Arial" w:hAnsi="Arial"/>
          <w:color w:val="00000A"/>
          <w:kern w:val="0"/>
          <w:sz w:val="22"/>
          <w:szCs w:val="22"/>
          <w:lang w:val="ca-ES" w:eastAsia="zh-CN" w:bidi="ar-SA"/>
        </w:rPr>
        <w:t>que</w:t>
      </w:r>
      <w:r>
        <w:rPr>
          <w:rFonts w:eastAsia="SimSun;宋体" w:cs="Arial" w:ascii="Arial" w:hAnsi="Arial"/>
          <w:color w:val="00000A"/>
          <w:spacing w:val="-4"/>
          <w:kern w:val="0"/>
          <w:sz w:val="22"/>
          <w:szCs w:val="22"/>
          <w:lang w:val="ca-ES" w:eastAsia="zh-CN" w:bidi="ar-SA"/>
        </w:rPr>
        <w:t xml:space="preserve"> </w:t>
      </w:r>
      <w:r>
        <w:rPr>
          <w:rFonts w:eastAsia="SimSun;宋体" w:cs="Arial" w:ascii="Arial" w:hAnsi="Arial"/>
          <w:color w:val="00000A"/>
          <w:kern w:val="0"/>
          <w:sz w:val="22"/>
          <w:szCs w:val="22"/>
          <w:lang w:val="ca-ES" w:eastAsia="zh-CN" w:bidi="ar-SA"/>
        </w:rPr>
        <w:t>es</w:t>
      </w:r>
      <w:r>
        <w:rPr>
          <w:rFonts w:eastAsia="SimSun;宋体" w:cs="Arial" w:ascii="Arial" w:hAnsi="Arial"/>
          <w:color w:val="00000A"/>
          <w:spacing w:val="-4"/>
          <w:kern w:val="0"/>
          <w:sz w:val="22"/>
          <w:szCs w:val="22"/>
          <w:lang w:val="ca-ES" w:eastAsia="zh-CN" w:bidi="ar-SA"/>
        </w:rPr>
        <w:t xml:space="preserve"> </w:t>
      </w:r>
      <w:r>
        <w:rPr>
          <w:rFonts w:eastAsia="SimSun;宋体" w:cs="Arial" w:ascii="Arial" w:hAnsi="Arial"/>
          <w:color w:val="00000A"/>
          <w:kern w:val="0"/>
          <w:sz w:val="22"/>
          <w:szCs w:val="22"/>
          <w:lang w:val="ca-ES" w:eastAsia="zh-CN" w:bidi="ar-SA"/>
        </w:rPr>
        <w:t>derivi</w:t>
      </w:r>
      <w:r>
        <w:rPr>
          <w:rFonts w:eastAsia="SimSun;宋体" w:cs="Arial" w:ascii="Arial" w:hAnsi="Arial"/>
          <w:color w:val="00000A"/>
          <w:spacing w:val="-4"/>
          <w:kern w:val="0"/>
          <w:sz w:val="22"/>
          <w:szCs w:val="22"/>
          <w:lang w:val="ca-ES" w:eastAsia="zh-CN" w:bidi="ar-SA"/>
        </w:rPr>
        <w:t xml:space="preserve"> </w:t>
      </w:r>
      <w:r>
        <w:rPr>
          <w:rFonts w:eastAsia="SimSun;宋体" w:cs="Arial" w:ascii="Arial" w:hAnsi="Arial"/>
          <w:color w:val="00000A"/>
          <w:kern w:val="0"/>
          <w:sz w:val="22"/>
          <w:szCs w:val="22"/>
          <w:lang w:val="ca-ES" w:eastAsia="zh-CN" w:bidi="ar-SA"/>
        </w:rPr>
        <w:t>de</w:t>
      </w:r>
      <w:r>
        <w:rPr>
          <w:rFonts w:eastAsia="SimSun;宋体" w:cs="Arial" w:ascii="Arial" w:hAnsi="Arial"/>
          <w:color w:val="00000A"/>
          <w:spacing w:val="-4"/>
          <w:kern w:val="0"/>
          <w:sz w:val="22"/>
          <w:szCs w:val="22"/>
          <w:lang w:val="ca-ES" w:eastAsia="zh-CN" w:bidi="ar-SA"/>
        </w:rPr>
        <w:t xml:space="preserve"> </w:t>
      </w:r>
      <w:r>
        <w:rPr>
          <w:rFonts w:eastAsia="SimSun;宋体" w:cs="Arial" w:ascii="Arial" w:hAnsi="Arial"/>
          <w:color w:val="00000A"/>
          <w:kern w:val="0"/>
          <w:sz w:val="22"/>
          <w:szCs w:val="22"/>
          <w:lang w:val="ca-ES" w:eastAsia="zh-CN" w:bidi="ar-SA"/>
        </w:rPr>
        <w:t>l’explotació del</w:t>
      </w:r>
      <w:r>
        <w:rPr>
          <w:rFonts w:eastAsia="SimSun;宋体" w:cs="Arial" w:ascii="Arial" w:hAnsi="Arial"/>
          <w:color w:val="00000A"/>
          <w:spacing w:val="-4"/>
          <w:kern w:val="0"/>
          <w:sz w:val="22"/>
          <w:szCs w:val="22"/>
          <w:lang w:val="ca-ES" w:eastAsia="zh-CN" w:bidi="ar-SA"/>
        </w:rPr>
        <w:t xml:space="preserve"> </w:t>
      </w:r>
      <w:r>
        <w:rPr>
          <w:rFonts w:eastAsia="SimSun;宋体" w:cs="Arial" w:ascii="Arial" w:hAnsi="Arial"/>
          <w:color w:val="00000A"/>
          <w:spacing w:val="-2"/>
          <w:kern w:val="0"/>
          <w:sz w:val="22"/>
          <w:szCs w:val="22"/>
          <w:lang w:val="ca-ES" w:eastAsia="zh-CN" w:bidi="ar-SA"/>
        </w:rPr>
        <w:t>servei.</w:t>
      </w:r>
    </w:p>
    <w:p>
      <w:pPr>
        <w:pStyle w:val="ListParagraph"/>
        <w:widowControl/>
        <w:numPr>
          <w:ilvl w:val="0"/>
          <w:numId w:val="0"/>
        </w:numPr>
        <w:tabs>
          <w:tab w:val="clear" w:pos="720"/>
          <w:tab w:val="left" w:pos="288" w:leader="none"/>
        </w:tabs>
        <w:suppressAutoHyphens w:val="true"/>
        <w:bidi w:val="0"/>
        <w:spacing w:lineRule="exact" w:line="251" w:before="57" w:after="57"/>
        <w:ind w:left="850" w:right="0" w:hanging="0"/>
        <w:contextualSpacing/>
        <w:jc w:val="left"/>
        <w:rPr>
          <w:spacing w:val="-2"/>
        </w:rPr>
      </w:pPr>
      <w:r>
        <w:rPr>
          <w:spacing w:val="-2"/>
        </w:rPr>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 xml:space="preserve"> </w:t>
      </w:r>
      <w:r>
        <w:rPr>
          <w:rFonts w:eastAsia="SimSun;宋体" w:cs="Arial" w:ascii="Arial" w:hAnsi="Arial"/>
          <w:color w:val="00000A"/>
          <w:spacing w:val="-2"/>
          <w:kern w:val="0"/>
          <w:sz w:val="22"/>
          <w:szCs w:val="22"/>
          <w:lang w:val="ca-ES" w:eastAsia="zh-CN" w:bidi="ar-SA"/>
        </w:rPr>
        <w:t>Seguir les indicacions que faci l’Ajuntament de Terrassa o la Direcció de l’escola pel que fa a organització de l’espai, neteja, etc. de les cuines, elaborant un manual i un calendari de la neteja de les cuines que reculli amb detall les accions concretes i la periodicitat de cada una d’elles.</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 xml:space="preserve">Tenir cura del bon ordre del servei, podent dictar les oportunes instruccions, sens perjudici dels poders de policia a què es refereix la clàusula </w:t>
      </w:r>
      <w:r>
        <w:rPr>
          <w:rFonts w:eastAsia="SimSun;宋体" w:cs="Arial" w:ascii="Arial" w:hAnsi="Arial"/>
          <w:color w:val="00000A"/>
          <w:spacing w:val="-2"/>
          <w:kern w:val="0"/>
          <w:sz w:val="22"/>
          <w:szCs w:val="22"/>
          <w:shd w:fill="FFFF00" w:val="clear"/>
          <w:lang w:val="ca-ES" w:eastAsia="zh-CN" w:bidi="ar-SA"/>
        </w:rPr>
        <w:t>quinzena del plec administratiu,</w:t>
      </w:r>
      <w:r>
        <w:rPr>
          <w:rFonts w:eastAsia="SimSun;宋体" w:cs="Arial" w:ascii="Arial" w:hAnsi="Arial"/>
          <w:color w:val="00000A"/>
          <w:spacing w:val="-2"/>
          <w:kern w:val="0"/>
          <w:sz w:val="22"/>
          <w:szCs w:val="22"/>
          <w:lang w:val="ca-ES" w:eastAsia="zh-CN" w:bidi="ar-SA"/>
        </w:rPr>
        <w:t xml:space="preserve"> que conserva l’Administració, necessaris per assegurar la bona marxa del servei. </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Indemnitzar pels danys que es causin a tercers com a conseqüència de les operacions que requereixi el desenvolupament del servei, excepte quan el dany sigui produït per causes imputables a l’Administració. Per fer efectiva aquesta obligació, l’empresa adjudicatària ha de disposar d’una assegurança de responsabilitat civil per un import mínim de 1.200.000,00 €.</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 xml:space="preserve">Atendre satisfactòriament les demandes d’informació que formuli l’Ajuntament, en el termini màxim de 48 hores. </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 xml:space="preserve">Facilitar mensualment a les direccions de les escoles els albarans de compra de productes ecològics, de producció local, venda de proximitat, o d’altres característiques que s’hagin inclòs en l’oferta presentada i que hagin estat valorats dins dels criteris de puntuació del PCAP. Aquests productes hauran de disposar d’algun dels certificats, registres o reconeixement acceptats oficialment dins de cada categoria (com a referència, consultar la Guia d’ambientalització de menjadors col·lectius -Generalitat de Catalunya 2020). Els albarans també es posaran a disposició de l'empresa en qui l'ajuntament delegui per a la realització dels controls de qualitat que estimi oportuns. </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 xml:space="preserve">Respectar el principi de no-discriminació per raó de nacionalitat, respecte a les empreses d’estats membres de la Comunitat Europea o signataris de l’Acord sobre contractació pública de l’Organització Mundial del Comerç, en els contractes de subministrament derivats de la gestió de serveis públics. </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 xml:space="preserve">Comunicar a l’Ajuntament les incidències amb rellevància en el funcionament del servei. </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No fer obres de reforma o que comportin transformació de les instal·lacions sense l'aprovació prèvia de l'òrgan municipal competent.</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 xml:space="preserve">Garantir que tot el personal adscrit a l’execució del contracte haurà de tenir les titulacions professionals adients i la formació necessària per a realitzar la tasca que tingui encomanada. </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 xml:space="preserve">Disposar del personal necessari a fi i efecte de cobrir les baixes per malaltia, vacances, permisos i contingències similars, informant a la direcció del centre i al Servei d’Educació de les variacions per aquest motiu. El personal contractar per fer les substitucions haurà d’acreditar la formació i experiència necessària. En qualsevol dels casos es farà constar expressament que el cost de les substitucions aniran a càrrec de l'adjudicatari. </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En aplicació de la Llei 3/2020 de l’11 de març de prevenció de les pèrdues i el malbaratament alimentari, cal evitar el malbaratament d'aliments prioritzant l’ús de productes estacionals, de parament de taula multiusos i el servei de cuina in situ. En cas d’excedent d’aliments caldrà gestionar-los a través de la cooperació amb entitats socials o d’altres circuits que garanteixin un millor aprofitament.</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 xml:space="preserve">Complir les disposicions vigents en matèria fiscal, administrativa, de Seguretat Social, de protecció de l’ocupació, condicions de treball, prevenció de riscos laborals i certificació negativa de delinqüents sexuals. </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 xml:space="preserve">Complir les disposicions vigents, els reglaments, ordenances i edictes municipals, inclusivament, en matèria de seguretat i salut als edificis d’utilització pública i en qualsevol matèria que els sigui d’aplicació, segons els models de qualitat establerts. </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 xml:space="preserve">Complir les disposicions i protocols vigents en matèria de gestió i prevenció de residus. </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 xml:space="preserve">Tenir en consideració la Llei 11/1998, de 7 de gener, de política lingüística i el Reglament municipal per a l'ús de la llengua catalana a l'Ajuntament de Terrassa. </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 xml:space="preserve">Donar compliment a la llei de prevenció de riscos i en concret realitzar la coordinació d’activitats empresarials en matèria de seguretat i salut laboral. </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Presentar anualment a l’Ajuntament, dins dels terminis que s’estableixen (per defecte, abans del 30 de juny de cada curs), la documentació següent:</w:t>
      </w:r>
    </w:p>
    <w:p>
      <w:pPr>
        <w:pStyle w:val="ListParagraph"/>
        <w:widowControl/>
        <w:numPr>
          <w:ilvl w:val="2"/>
          <w:numId w:val="32"/>
        </w:numPr>
        <w:tabs>
          <w:tab w:val="clear" w:pos="720"/>
          <w:tab w:val="left" w:pos="288" w:leader="none"/>
        </w:tabs>
        <w:suppressAutoHyphens w:val="true"/>
        <w:bidi w:val="0"/>
        <w:spacing w:lineRule="exact" w:line="251" w:before="57" w:after="57"/>
        <w:ind w:left="567" w:right="0" w:firstLine="567"/>
        <w:contextualSpacing/>
        <w:jc w:val="both"/>
        <w:rPr/>
      </w:pPr>
      <w:r>
        <w:rPr>
          <w:rFonts w:eastAsia="SimSun;宋体" w:cs="Arial" w:ascii="Arial" w:hAnsi="Arial"/>
          <w:color w:val="00000A"/>
          <w:spacing w:val="-2"/>
          <w:kern w:val="0"/>
          <w:sz w:val="22"/>
          <w:szCs w:val="22"/>
          <w:lang w:val="ca-ES" w:eastAsia="zh-CN" w:bidi="ar-SA"/>
        </w:rPr>
        <w:t xml:space="preserve">Memòria del Pla de formació realitzat en el curs finalitzat i proposta del Pla de formació del curs següent. </w:t>
      </w:r>
    </w:p>
    <w:p>
      <w:pPr>
        <w:pStyle w:val="ListParagraph"/>
        <w:widowControl/>
        <w:numPr>
          <w:ilvl w:val="2"/>
          <w:numId w:val="32"/>
        </w:numPr>
        <w:tabs>
          <w:tab w:val="clear" w:pos="720"/>
          <w:tab w:val="left" w:pos="288" w:leader="none"/>
        </w:tabs>
        <w:suppressAutoHyphens w:val="true"/>
        <w:bidi w:val="0"/>
        <w:spacing w:lineRule="exact" w:line="251" w:before="57" w:after="57"/>
        <w:ind w:left="567" w:right="0" w:firstLine="567"/>
        <w:contextualSpacing/>
        <w:jc w:val="both"/>
        <w:rPr/>
      </w:pPr>
      <w:r>
        <w:rPr>
          <w:rFonts w:eastAsia="SimSun;宋体" w:cs="Arial" w:ascii="Arial" w:hAnsi="Arial"/>
          <w:color w:val="00000A"/>
          <w:spacing w:val="-2"/>
          <w:kern w:val="0"/>
          <w:sz w:val="22"/>
          <w:szCs w:val="22"/>
          <w:lang w:val="ca-ES" w:eastAsia="zh-CN" w:bidi="ar-SA"/>
        </w:rPr>
        <w:t xml:space="preserve">Actualització de l’inventari de cada escola i proposta de reposició i compres de material. L'empresa haurà de substituir el material abans de l’inici del curs següent.  </w:t>
      </w:r>
    </w:p>
    <w:p>
      <w:pPr>
        <w:pStyle w:val="ListParagraph"/>
        <w:widowControl/>
        <w:numPr>
          <w:ilvl w:val="2"/>
          <w:numId w:val="32"/>
        </w:numPr>
        <w:tabs>
          <w:tab w:val="clear" w:pos="720"/>
          <w:tab w:val="left" w:pos="288" w:leader="none"/>
        </w:tabs>
        <w:suppressAutoHyphens w:val="true"/>
        <w:bidi w:val="0"/>
        <w:spacing w:lineRule="exact" w:line="251" w:before="57" w:after="57"/>
        <w:ind w:left="567" w:right="0" w:firstLine="567"/>
        <w:contextualSpacing/>
        <w:jc w:val="both"/>
        <w:rPr/>
      </w:pPr>
      <w:r>
        <w:rPr>
          <w:rFonts w:eastAsia="SimSun;宋体" w:cs="Arial" w:ascii="Arial" w:hAnsi="Arial"/>
          <w:color w:val="00000A"/>
          <w:spacing w:val="-2"/>
          <w:kern w:val="0"/>
          <w:sz w:val="22"/>
          <w:szCs w:val="22"/>
          <w:lang w:val="ca-ES" w:eastAsia="zh-CN" w:bidi="ar-SA"/>
        </w:rPr>
        <w:t xml:space="preserve">Actuacions de manteniment i substitució d'electrodomèstics realitzades i proposta de les actuacions previstes de manteniment per al curs següent. </w:t>
      </w:r>
    </w:p>
    <w:p>
      <w:pPr>
        <w:pStyle w:val="ListParagraph"/>
        <w:widowControl/>
        <w:numPr>
          <w:ilvl w:val="2"/>
          <w:numId w:val="32"/>
        </w:numPr>
        <w:tabs>
          <w:tab w:val="clear" w:pos="720"/>
          <w:tab w:val="left" w:pos="288" w:leader="none"/>
        </w:tabs>
        <w:suppressAutoHyphens w:val="true"/>
        <w:bidi w:val="0"/>
        <w:spacing w:lineRule="exact" w:line="251" w:before="57" w:after="57"/>
        <w:ind w:left="567" w:right="0" w:firstLine="567"/>
        <w:contextualSpacing/>
        <w:jc w:val="both"/>
        <w:rPr/>
      </w:pPr>
      <w:r>
        <w:rPr>
          <w:rFonts w:eastAsia="SimSun;宋体" w:cs="Arial" w:ascii="Arial" w:hAnsi="Arial"/>
          <w:color w:val="00000A"/>
          <w:spacing w:val="-2"/>
          <w:kern w:val="0"/>
          <w:sz w:val="22"/>
          <w:szCs w:val="22"/>
          <w:lang w:val="ca-ES" w:eastAsia="zh-CN" w:bidi="ar-SA"/>
        </w:rPr>
        <w:t>Relació de queixes i suggeriments que les famílies han fet arribar durant el curs finalitzat.</w:t>
      </w:r>
    </w:p>
    <w:p>
      <w:pPr>
        <w:pStyle w:val="ListParagraph"/>
        <w:widowControl/>
        <w:numPr>
          <w:ilvl w:val="1"/>
          <w:numId w:val="32"/>
        </w:numPr>
        <w:tabs>
          <w:tab w:val="clear" w:pos="720"/>
          <w:tab w:val="left" w:pos="288" w:leader="none"/>
        </w:tabs>
        <w:suppressAutoHyphens w:val="true"/>
        <w:bidi w:val="0"/>
        <w:spacing w:lineRule="exact" w:line="251" w:before="57" w:after="57"/>
        <w:ind w:left="283" w:right="0" w:hanging="0"/>
        <w:contextualSpacing/>
        <w:jc w:val="both"/>
        <w:rPr/>
      </w:pPr>
      <w:r>
        <w:rPr>
          <w:rFonts w:eastAsia="SimSun;宋体" w:cs="Arial" w:ascii="Arial" w:hAnsi="Arial"/>
          <w:color w:val="00000A"/>
          <w:spacing w:val="-2"/>
          <w:kern w:val="0"/>
          <w:sz w:val="22"/>
          <w:szCs w:val="22"/>
          <w:lang w:val="ca-ES" w:eastAsia="zh-CN" w:bidi="ar-SA"/>
        </w:rPr>
        <w:t>Aniran a càrrec de l’adjudicatària els següents bens, productes i materials:</w:t>
      </w:r>
    </w:p>
    <w:p>
      <w:pPr>
        <w:pStyle w:val="ListParagraph"/>
        <w:widowControl/>
        <w:numPr>
          <w:ilvl w:val="2"/>
          <w:numId w:val="32"/>
        </w:numPr>
        <w:tabs>
          <w:tab w:val="clear" w:pos="720"/>
          <w:tab w:val="left" w:pos="288" w:leader="none"/>
        </w:tabs>
        <w:suppressAutoHyphens w:val="true"/>
        <w:bidi w:val="0"/>
        <w:spacing w:lineRule="exact" w:line="251" w:before="57" w:after="57"/>
        <w:ind w:left="1644" w:right="0" w:hanging="454"/>
        <w:contextualSpacing/>
        <w:jc w:val="both"/>
        <w:rPr/>
      </w:pPr>
      <w:r>
        <w:rPr>
          <w:rFonts w:eastAsia="SimSun;宋体" w:cs="Arial" w:ascii="Arial" w:hAnsi="Arial"/>
          <w:color w:val="00000A"/>
          <w:spacing w:val="-2"/>
          <w:kern w:val="0"/>
          <w:sz w:val="22"/>
          <w:szCs w:val="22"/>
          <w:lang w:val="ca-ES" w:eastAsia="zh-CN" w:bidi="ar-SA"/>
        </w:rPr>
        <w:t>Tot el material necessari i documentació per realitzar el control de les factures, temperatures, llibres d’incidències i control d’albarans.</w:t>
      </w:r>
    </w:p>
    <w:p>
      <w:pPr>
        <w:pStyle w:val="ListParagraph"/>
        <w:widowControl/>
        <w:numPr>
          <w:ilvl w:val="2"/>
          <w:numId w:val="32"/>
        </w:numPr>
        <w:tabs>
          <w:tab w:val="clear" w:pos="720"/>
          <w:tab w:val="left" w:pos="288" w:leader="none"/>
        </w:tabs>
        <w:suppressAutoHyphens w:val="true"/>
        <w:bidi w:val="0"/>
        <w:spacing w:lineRule="exact" w:line="251" w:before="57" w:after="57"/>
        <w:ind w:left="1644" w:right="0" w:hanging="454"/>
        <w:contextualSpacing/>
        <w:jc w:val="both"/>
        <w:rPr/>
      </w:pPr>
      <w:r>
        <w:rPr>
          <w:rFonts w:eastAsia="SimSun;宋体" w:cs="Arial" w:ascii="Arial" w:hAnsi="Arial"/>
          <w:color w:val="00000A"/>
          <w:spacing w:val="-2"/>
          <w:kern w:val="0"/>
          <w:sz w:val="22"/>
          <w:szCs w:val="22"/>
          <w:lang w:val="ca-ES" w:eastAsia="zh-CN" w:bidi="ar-SA"/>
        </w:rPr>
        <w:t xml:space="preserve">Material de neteja per la cuina, tant per la neteja manual com per a l’ús del rentaplats. Aquest inclou, entre altres, escombres, sabó de mans, tovallons, guants d’un sol ús, bobines de paper de mans, detergents, etc. </w:t>
      </w:r>
    </w:p>
    <w:p>
      <w:pPr>
        <w:pStyle w:val="ListParagraph"/>
        <w:widowControl/>
        <w:numPr>
          <w:ilvl w:val="2"/>
          <w:numId w:val="32"/>
        </w:numPr>
        <w:tabs>
          <w:tab w:val="clear" w:pos="720"/>
          <w:tab w:val="left" w:pos="288" w:leader="none"/>
        </w:tabs>
        <w:suppressAutoHyphens w:val="true"/>
        <w:bidi w:val="0"/>
        <w:spacing w:lineRule="exact" w:line="251" w:before="57" w:after="57"/>
        <w:ind w:left="1644" w:right="0" w:hanging="454"/>
        <w:contextualSpacing/>
        <w:jc w:val="both"/>
        <w:rPr/>
      </w:pPr>
      <w:r>
        <w:rPr>
          <w:rFonts w:eastAsia="SimSun;宋体" w:cs="Arial" w:ascii="Arial" w:hAnsi="Arial"/>
          <w:color w:val="00000A"/>
          <w:spacing w:val="-2"/>
          <w:kern w:val="0"/>
          <w:sz w:val="22"/>
          <w:szCs w:val="22"/>
          <w:lang w:val="ca-ES" w:eastAsia="zh-CN" w:bidi="ar-SA"/>
        </w:rPr>
        <w:t xml:space="preserve">Material per ús del personal de cuina: paper de cuina industrial, paper de film, paper d’alumini, paper de cuina o tovallons pels menjadors, bosses per la brossa, guants, els diferents carros de reciclatge, etc. </w:t>
      </w:r>
    </w:p>
    <w:p>
      <w:pPr>
        <w:pStyle w:val="ListParagraph"/>
        <w:widowControl/>
        <w:numPr>
          <w:ilvl w:val="2"/>
          <w:numId w:val="32"/>
        </w:numPr>
        <w:tabs>
          <w:tab w:val="clear" w:pos="720"/>
          <w:tab w:val="left" w:pos="288" w:leader="none"/>
        </w:tabs>
        <w:suppressAutoHyphens w:val="true"/>
        <w:bidi w:val="0"/>
        <w:spacing w:lineRule="exact" w:line="251" w:before="57" w:after="57"/>
        <w:ind w:left="1644" w:right="0" w:hanging="454"/>
        <w:contextualSpacing/>
        <w:jc w:val="both"/>
        <w:rPr/>
      </w:pPr>
      <w:r>
        <w:rPr>
          <w:rFonts w:eastAsia="SimSun;宋体" w:cs="Arial" w:ascii="Arial" w:hAnsi="Arial"/>
          <w:color w:val="00000A"/>
          <w:spacing w:val="-2"/>
          <w:kern w:val="0"/>
          <w:sz w:val="22"/>
          <w:szCs w:val="22"/>
          <w:lang w:val="ca-ES" w:eastAsia="zh-CN" w:bidi="ar-SA"/>
        </w:rPr>
        <w:t xml:space="preserve">Les taquilles o caixes per guardar la roba necessàries per al seu personal. </w:t>
      </w:r>
    </w:p>
    <w:p>
      <w:pPr>
        <w:pStyle w:val="ListParagraph"/>
        <w:widowControl/>
        <w:numPr>
          <w:ilvl w:val="2"/>
          <w:numId w:val="32"/>
        </w:numPr>
        <w:tabs>
          <w:tab w:val="clear" w:pos="720"/>
          <w:tab w:val="left" w:pos="288" w:leader="none"/>
        </w:tabs>
        <w:suppressAutoHyphens w:val="true"/>
        <w:bidi w:val="0"/>
        <w:spacing w:lineRule="exact" w:line="251" w:before="57" w:after="57"/>
        <w:ind w:left="1644" w:right="0" w:hanging="454"/>
        <w:contextualSpacing/>
        <w:jc w:val="both"/>
        <w:rPr/>
      </w:pPr>
      <w:r>
        <w:rPr>
          <w:rFonts w:eastAsia="SimSun;宋体" w:cs="Arial" w:ascii="Arial" w:hAnsi="Arial"/>
          <w:color w:val="00000A"/>
          <w:spacing w:val="-2"/>
          <w:kern w:val="0"/>
          <w:sz w:val="22"/>
          <w:szCs w:val="22"/>
          <w:lang w:val="ca-ES" w:eastAsia="zh-CN" w:bidi="ar-SA"/>
        </w:rPr>
        <w:t xml:space="preserve">El manteniment i la reparació dels electrodomèstics avariats i/o que hagin acabat la seva vida útil o no compleixin amb les normatives que siguin d'aplicació. </w:t>
      </w:r>
    </w:p>
    <w:p>
      <w:pPr>
        <w:pStyle w:val="ListParagraph"/>
        <w:widowControl/>
        <w:numPr>
          <w:ilvl w:val="0"/>
          <w:numId w:val="0"/>
        </w:numPr>
        <w:tabs>
          <w:tab w:val="clear" w:pos="720"/>
          <w:tab w:val="left" w:pos="288" w:leader="none"/>
        </w:tabs>
        <w:suppressAutoHyphens w:val="true"/>
        <w:bidi w:val="0"/>
        <w:spacing w:lineRule="exact" w:line="251" w:before="57" w:after="57"/>
        <w:ind w:left="2115" w:right="0" w:hanging="0"/>
        <w:contextualSpacing/>
        <w:jc w:val="both"/>
        <w:rPr>
          <w:spacing w:val="-2"/>
        </w:rPr>
      </w:pPr>
      <w:r>
        <w:rPr>
          <w:spacing w:val="-2"/>
        </w:rPr>
      </w:r>
    </w:p>
    <w:p>
      <w:pPr>
        <w:pStyle w:val="ListParagraph"/>
        <w:widowControl/>
        <w:numPr>
          <w:ilvl w:val="0"/>
          <w:numId w:val="32"/>
        </w:numPr>
        <w:tabs>
          <w:tab w:val="clear" w:pos="720"/>
          <w:tab w:val="left" w:pos="288" w:leader="none"/>
        </w:tabs>
        <w:suppressAutoHyphens w:val="true"/>
        <w:bidi w:val="0"/>
        <w:spacing w:lineRule="exact" w:line="251" w:before="57" w:after="57"/>
        <w:ind w:left="567" w:right="0" w:hanging="0"/>
        <w:contextualSpacing/>
        <w:jc w:val="both"/>
        <w:rPr/>
      </w:pPr>
      <w:r>
        <w:rPr>
          <w:rFonts w:eastAsia="SimSun;宋体" w:cs="Arial" w:ascii="Arial" w:hAnsi="Arial"/>
          <w:color w:val="00000A"/>
          <w:spacing w:val="-2"/>
          <w:kern w:val="0"/>
          <w:sz w:val="22"/>
          <w:szCs w:val="22"/>
          <w:lang w:val="ca-ES" w:eastAsia="zh-CN" w:bidi="ar-SA"/>
        </w:rPr>
        <w:t xml:space="preserve">El subministrament dels productes que figures obligatòriament com ecològics tant en el plec de prescripcions tècniques (clàusula 7.4) com els indicats en la seva oferta com a criteri puntuable. </w:t>
      </w:r>
    </w:p>
    <w:p>
      <w:pPr>
        <w:pStyle w:val="ListParagraph"/>
        <w:widowControl/>
        <w:numPr>
          <w:ilvl w:val="0"/>
          <w:numId w:val="32"/>
        </w:numPr>
        <w:tabs>
          <w:tab w:val="clear" w:pos="720"/>
          <w:tab w:val="left" w:pos="288" w:leader="none"/>
        </w:tabs>
        <w:suppressAutoHyphens w:val="true"/>
        <w:bidi w:val="0"/>
        <w:spacing w:lineRule="exact" w:line="251" w:before="57" w:after="57"/>
        <w:ind w:left="567" w:right="0" w:hanging="0"/>
        <w:contextualSpacing/>
        <w:jc w:val="both"/>
        <w:rPr/>
      </w:pPr>
      <w:r>
        <w:rPr>
          <w:rFonts w:eastAsia="SimSun;宋体" w:cs="Arial" w:ascii="Arial" w:hAnsi="Arial"/>
          <w:color w:val="00000A"/>
          <w:spacing w:val="-2"/>
          <w:kern w:val="0"/>
          <w:sz w:val="22"/>
          <w:szCs w:val="22"/>
          <w:lang w:val="ca-ES" w:eastAsia="zh-CN" w:bidi="ar-SA"/>
        </w:rPr>
        <w:t xml:space="preserve">El subministrament dels productes de proximitat indicats en la seva oferta com a criteri puntuable. </w:t>
      </w:r>
    </w:p>
    <w:p>
      <w:pPr>
        <w:pStyle w:val="ListParagraph"/>
        <w:widowControl/>
        <w:numPr>
          <w:ilvl w:val="0"/>
          <w:numId w:val="32"/>
        </w:numPr>
        <w:tabs>
          <w:tab w:val="clear" w:pos="720"/>
          <w:tab w:val="left" w:pos="288" w:leader="none"/>
        </w:tabs>
        <w:suppressAutoHyphens w:val="true"/>
        <w:bidi w:val="0"/>
        <w:spacing w:lineRule="exact" w:line="251" w:before="57" w:after="57"/>
        <w:ind w:left="567" w:right="0" w:hanging="0"/>
        <w:contextualSpacing/>
        <w:jc w:val="both"/>
        <w:rPr/>
      </w:pPr>
      <w:r>
        <w:rPr>
          <w:rFonts w:eastAsia="SimSun;宋体" w:cs="Arial" w:ascii="Arial" w:hAnsi="Arial"/>
          <w:color w:val="00000A"/>
          <w:spacing w:val="-2"/>
          <w:kern w:val="0"/>
          <w:sz w:val="22"/>
          <w:szCs w:val="22"/>
          <w:lang w:val="ca-ES" w:eastAsia="zh-CN" w:bidi="ar-SA"/>
        </w:rPr>
        <w:t xml:space="preserve">El subministrament dels productes provinent de centres especials de treball o empreses d'inserció indicats en la seva oferta com a criteri puntuable. </w:t>
      </w:r>
    </w:p>
    <w:p>
      <w:pPr>
        <w:pStyle w:val="ListParagraph"/>
        <w:widowControl/>
        <w:numPr>
          <w:ilvl w:val="0"/>
          <w:numId w:val="32"/>
        </w:numPr>
        <w:tabs>
          <w:tab w:val="clear" w:pos="720"/>
          <w:tab w:val="left" w:pos="288" w:leader="none"/>
        </w:tabs>
        <w:suppressAutoHyphens w:val="true"/>
        <w:bidi w:val="0"/>
        <w:spacing w:lineRule="exact" w:line="251" w:before="57" w:after="57"/>
        <w:ind w:left="567" w:right="0" w:hanging="0"/>
        <w:contextualSpacing/>
        <w:jc w:val="both"/>
        <w:rPr/>
      </w:pPr>
      <w:r>
        <w:rPr>
          <w:rFonts w:eastAsia="SimSun;宋体" w:cs="Arial" w:ascii="Arial" w:hAnsi="Arial"/>
          <w:color w:val="00000A"/>
          <w:spacing w:val="-2"/>
          <w:kern w:val="0"/>
          <w:sz w:val="22"/>
          <w:szCs w:val="22"/>
          <w:lang w:val="ca-ES" w:eastAsia="zh-CN" w:bidi="ar-SA"/>
        </w:rPr>
        <w:t xml:space="preserve">El compliment dels terminis de resposta i de resolució en les actuacions referents a la conservació, al manteniment preventiu, normatiu i correctiu i a la substitució quan s'escaigui de les instal·lacions de cuina el mobiliari, equipaments, electrodomèstics, béns i estris, inclosos en el servei de menjador de cada centre educatiu tal i com es detalla a l'annex 3 del PPT. </w:t>
      </w:r>
    </w:p>
    <w:p>
      <w:pPr>
        <w:pStyle w:val="ListParagraph"/>
        <w:widowControl/>
        <w:numPr>
          <w:ilvl w:val="0"/>
          <w:numId w:val="32"/>
        </w:numPr>
        <w:tabs>
          <w:tab w:val="clear" w:pos="720"/>
          <w:tab w:val="left" w:pos="288" w:leader="none"/>
        </w:tabs>
        <w:suppressAutoHyphens w:val="true"/>
        <w:bidi w:val="0"/>
        <w:spacing w:lineRule="exact" w:line="251" w:before="57" w:after="57"/>
        <w:ind w:left="567" w:right="0" w:hanging="0"/>
        <w:contextualSpacing/>
        <w:jc w:val="both"/>
        <w:rPr/>
      </w:pPr>
      <w:r>
        <w:rPr>
          <w:rFonts w:eastAsia="SimSun;宋体" w:cs="Arial" w:ascii="Arial" w:hAnsi="Arial"/>
          <w:color w:val="00000A"/>
          <w:spacing w:val="-2"/>
          <w:kern w:val="0"/>
          <w:sz w:val="22"/>
          <w:szCs w:val="22"/>
          <w:lang w:val="ca-ES" w:eastAsia="zh-CN" w:bidi="ar-SA"/>
        </w:rPr>
        <w:t xml:space="preserve">Donar compliment a tots els requisits establerts en la clàusula setena del PPT referents a l'elaboració i manipulació dels aliments. </w:t>
      </w:r>
    </w:p>
    <w:p>
      <w:pPr>
        <w:pStyle w:val="ListParagraph"/>
        <w:widowControl/>
        <w:numPr>
          <w:ilvl w:val="0"/>
          <w:numId w:val="32"/>
        </w:numPr>
        <w:tabs>
          <w:tab w:val="clear" w:pos="720"/>
          <w:tab w:val="left" w:pos="288" w:leader="none"/>
        </w:tabs>
        <w:suppressAutoHyphens w:val="true"/>
        <w:bidi w:val="0"/>
        <w:spacing w:lineRule="exact" w:line="251" w:before="57" w:after="57"/>
        <w:ind w:left="567" w:right="0" w:hanging="0"/>
        <w:contextualSpacing/>
        <w:jc w:val="both"/>
        <w:rPr/>
      </w:pPr>
      <w:r>
        <w:rPr>
          <w:rFonts w:eastAsia="SimSun;宋体" w:cs="Arial" w:ascii="Arial" w:hAnsi="Arial"/>
          <w:color w:val="00000A"/>
          <w:spacing w:val="-2"/>
          <w:kern w:val="0"/>
          <w:sz w:val="22"/>
          <w:szCs w:val="22"/>
          <w:lang w:val="ca-ES" w:eastAsia="zh-CN" w:bidi="ar-SA"/>
        </w:rPr>
        <w:t xml:space="preserve">L'adjudicatari està obligat a contractar i mantenir durant el temps de vigència del contracte una pòlissa d'assegurances de responsabilitat civil per un import mínim de 1.200.000,00 €. </w:t>
      </w:r>
    </w:p>
    <w:p>
      <w:pPr>
        <w:pStyle w:val="ListParagraph"/>
        <w:widowControl/>
        <w:numPr>
          <w:ilvl w:val="0"/>
          <w:numId w:val="32"/>
        </w:numPr>
        <w:tabs>
          <w:tab w:val="clear" w:pos="720"/>
          <w:tab w:val="left" w:pos="288" w:leader="none"/>
        </w:tabs>
        <w:suppressAutoHyphens w:val="true"/>
        <w:bidi w:val="0"/>
        <w:spacing w:lineRule="exact" w:line="251" w:before="57" w:after="57"/>
        <w:ind w:left="567" w:right="0" w:hanging="0"/>
        <w:contextualSpacing/>
        <w:jc w:val="both"/>
        <w:rPr/>
      </w:pPr>
      <w:r>
        <w:rPr>
          <w:rFonts w:eastAsia="SimSun;宋体" w:cs="Arial" w:ascii="Arial" w:hAnsi="Arial"/>
          <w:color w:val="00000A"/>
          <w:spacing w:val="-2"/>
          <w:kern w:val="0"/>
          <w:sz w:val="22"/>
          <w:szCs w:val="22"/>
          <w:lang w:val="ca-ES" w:eastAsia="zh-CN" w:bidi="ar-SA"/>
        </w:rPr>
        <w:t xml:space="preserve">Donar compliment a les ràtios de personal de cuina i a la cobertura de l'absentisme durant tota l'execució del contracte. </w:t>
      </w:r>
    </w:p>
    <w:p>
      <w:pPr>
        <w:pStyle w:val="ListParagraph"/>
        <w:widowControl/>
        <w:numPr>
          <w:ilvl w:val="0"/>
          <w:numId w:val="32"/>
        </w:numPr>
        <w:tabs>
          <w:tab w:val="clear" w:pos="720"/>
          <w:tab w:val="left" w:pos="288" w:leader="none"/>
        </w:tabs>
        <w:suppressAutoHyphens w:val="true"/>
        <w:bidi w:val="0"/>
        <w:spacing w:lineRule="exact" w:line="251" w:before="57" w:after="57"/>
        <w:ind w:left="567" w:right="0" w:hanging="0"/>
        <w:contextualSpacing/>
        <w:jc w:val="both"/>
        <w:rPr/>
      </w:pPr>
      <w:r>
        <w:rPr>
          <w:rFonts w:eastAsia="SimSun;宋体" w:cs="Arial" w:ascii="Arial" w:hAnsi="Arial"/>
          <w:color w:val="00000A"/>
          <w:spacing w:val="-2"/>
          <w:kern w:val="0"/>
          <w:sz w:val="22"/>
          <w:szCs w:val="22"/>
          <w:lang w:val="ca-ES" w:eastAsia="zh-CN" w:bidi="ar-SA"/>
        </w:rPr>
        <w:t xml:space="preserve">Mantenir les instal·lacions en bon estat de funcionament, assegurar la reparació diligent de qualsevol material, estri, mobiliari o electrodomèstic espatllat, programar i garantir el manteniment correctiu, preventiu i normatiu d’aquests equipaments (cuines, termos, neveres, forns, campanes extractores, etc.) segons les seves especificitats tècniques i garantir la reposició necessària de la vaixella, l’utillatge de cuina i altre material fungible, en el te         en el termini màxim de 48 hores o es posarà en coneixement de l'Ajuntament per arribar a un consens. </w:t>
      </w:r>
    </w:p>
    <w:p>
      <w:pPr>
        <w:pStyle w:val="ListParagraph"/>
        <w:widowControl/>
        <w:numPr>
          <w:ilvl w:val="0"/>
          <w:numId w:val="32"/>
        </w:numPr>
        <w:tabs>
          <w:tab w:val="clear" w:pos="720"/>
          <w:tab w:val="left" w:pos="288" w:leader="none"/>
        </w:tabs>
        <w:suppressAutoHyphens w:val="true"/>
        <w:bidi w:val="0"/>
        <w:spacing w:lineRule="exact" w:line="251" w:before="57" w:after="57"/>
        <w:ind w:left="567" w:right="0" w:hanging="0"/>
        <w:contextualSpacing/>
        <w:jc w:val="both"/>
        <w:rPr/>
      </w:pPr>
      <w:r>
        <w:rPr>
          <w:rFonts w:eastAsia="SimSun;宋体" w:cs="Arial" w:ascii="Arial" w:hAnsi="Arial"/>
          <w:color w:val="00000A"/>
          <w:spacing w:val="-2"/>
          <w:kern w:val="0"/>
          <w:sz w:val="22"/>
          <w:szCs w:val="22"/>
          <w:lang w:val="ca-ES" w:eastAsia="zh-CN" w:bidi="ar-SA"/>
        </w:rPr>
        <w:t>En el cas d'avaries en electrodomèstics o desperfectes en equipament de cuina la reparació anirà a càrrec de l'empresa adjudicatària, incloses les actuacions correctives derivades de defectes detectats en inspeccions sanitàries, i s'estableixen els següents terminis de resposta i resolució:</w:t>
      </w:r>
    </w:p>
    <w:p>
      <w:pPr>
        <w:pStyle w:val="ListParagraph"/>
        <w:widowControl/>
        <w:numPr>
          <w:ilvl w:val="1"/>
          <w:numId w:val="32"/>
        </w:numPr>
        <w:tabs>
          <w:tab w:val="clear" w:pos="720"/>
          <w:tab w:val="left" w:pos="288" w:leader="none"/>
        </w:tabs>
        <w:suppressAutoHyphens w:val="true"/>
        <w:bidi w:val="0"/>
        <w:spacing w:lineRule="exact" w:line="251" w:before="57" w:after="57"/>
        <w:ind w:left="567" w:right="0" w:firstLine="624"/>
        <w:contextualSpacing/>
        <w:jc w:val="both"/>
        <w:rPr/>
      </w:pPr>
      <w:r>
        <w:rPr>
          <w:rFonts w:eastAsia="SimSun;宋体" w:cs="Arial" w:ascii="Arial" w:hAnsi="Arial"/>
          <w:color w:val="00000A"/>
          <w:spacing w:val="-2"/>
          <w:kern w:val="0"/>
          <w:sz w:val="22"/>
          <w:szCs w:val="22"/>
          <w:lang w:val="ca-ES" w:eastAsia="zh-CN" w:bidi="ar-SA"/>
        </w:rPr>
        <w:t>Termini de resposta:</w:t>
      </w:r>
    </w:p>
    <w:p>
      <w:pPr>
        <w:pStyle w:val="ListParagraph"/>
        <w:widowControl/>
        <w:numPr>
          <w:ilvl w:val="2"/>
          <w:numId w:val="32"/>
        </w:numPr>
        <w:tabs>
          <w:tab w:val="clear" w:pos="720"/>
          <w:tab w:val="left" w:pos="288" w:leader="none"/>
        </w:tabs>
        <w:suppressAutoHyphens w:val="true"/>
        <w:bidi w:val="0"/>
        <w:spacing w:lineRule="exact" w:line="251" w:before="57" w:after="57"/>
        <w:ind w:left="2154" w:right="0" w:hanging="0"/>
        <w:contextualSpacing/>
        <w:jc w:val="both"/>
        <w:rPr/>
      </w:pPr>
      <w:r>
        <w:rPr>
          <w:rFonts w:eastAsia="SimSun;宋体" w:cs="Arial" w:ascii="Arial" w:hAnsi="Arial"/>
          <w:color w:val="00000A"/>
          <w:spacing w:val="-2"/>
          <w:kern w:val="0"/>
          <w:sz w:val="22"/>
          <w:szCs w:val="22"/>
          <w:lang w:val="ca-ES" w:eastAsia="zh-CN" w:bidi="ar-SA"/>
        </w:rPr>
        <w:t xml:space="preserve">S'estableix en 2 hores per a les incidències considerades emergències (les que impliquen que la cuina ha quedat inoperativa), 24 hores per a les urgències (termos, rentavaixelles, aixetes, congeladors i neveres) i 48 hores per a les ordinàries (la resta). En aquest termini, l'empresa adjudicatària resta obligada a comprovar quina és la incidència i informar a l'Ajuntament de l'origen i abast del problema i les actuacions que es duran a terme per solucionar-lo. </w:t>
      </w:r>
    </w:p>
    <w:p>
      <w:pPr>
        <w:pStyle w:val="ListParagraph"/>
        <w:widowControl/>
        <w:numPr>
          <w:ilvl w:val="1"/>
          <w:numId w:val="32"/>
        </w:numPr>
        <w:tabs>
          <w:tab w:val="clear" w:pos="720"/>
          <w:tab w:val="left" w:pos="288" w:leader="none"/>
        </w:tabs>
        <w:suppressAutoHyphens w:val="true"/>
        <w:bidi w:val="0"/>
        <w:spacing w:lineRule="exact" w:line="251" w:before="57" w:after="57"/>
        <w:ind w:left="1304" w:right="0" w:hanging="0"/>
        <w:contextualSpacing/>
        <w:jc w:val="both"/>
        <w:rPr/>
      </w:pPr>
      <w:r>
        <w:rPr>
          <w:rFonts w:eastAsia="SimSun;宋体" w:cs="Arial" w:ascii="Arial" w:hAnsi="Arial"/>
          <w:color w:val="00000A"/>
          <w:spacing w:val="-2"/>
          <w:kern w:val="0"/>
          <w:sz w:val="22"/>
          <w:szCs w:val="22"/>
          <w:lang w:val="ca-ES" w:eastAsia="zh-CN" w:bidi="ar-SA"/>
        </w:rPr>
        <w:t>Termini de resolució:</w:t>
      </w:r>
    </w:p>
    <w:p>
      <w:pPr>
        <w:pStyle w:val="ListParagraph"/>
        <w:widowControl/>
        <w:numPr>
          <w:ilvl w:val="0"/>
          <w:numId w:val="0"/>
        </w:numPr>
        <w:tabs>
          <w:tab w:val="clear" w:pos="720"/>
          <w:tab w:val="left" w:pos="288" w:leader="none"/>
        </w:tabs>
        <w:suppressAutoHyphens w:val="true"/>
        <w:bidi w:val="0"/>
        <w:spacing w:lineRule="exact" w:line="251" w:before="57" w:after="57"/>
        <w:ind w:left="3702" w:right="0" w:hanging="0"/>
        <w:contextualSpacing/>
        <w:jc w:val="both"/>
        <w:rPr>
          <w:spacing w:val="-2"/>
        </w:rPr>
      </w:pPr>
      <w:r>
        <w:rPr>
          <w:spacing w:val="-2"/>
        </w:rPr>
      </w:r>
    </w:p>
    <w:p>
      <w:pPr>
        <w:pStyle w:val="ListParagraph"/>
        <w:widowControl/>
        <w:numPr>
          <w:ilvl w:val="2"/>
          <w:numId w:val="32"/>
        </w:numPr>
        <w:tabs>
          <w:tab w:val="clear" w:pos="720"/>
          <w:tab w:val="left" w:pos="288" w:leader="none"/>
        </w:tabs>
        <w:suppressAutoHyphens w:val="true"/>
        <w:bidi w:val="0"/>
        <w:spacing w:lineRule="exact" w:line="251" w:before="57" w:after="57"/>
        <w:ind w:left="2154" w:right="0" w:hanging="0"/>
        <w:contextualSpacing/>
        <w:jc w:val="both"/>
        <w:rPr/>
      </w:pPr>
      <w:r>
        <w:rPr>
          <w:rFonts w:eastAsia="SimSun;宋体" w:cs="Arial" w:ascii="Arial" w:hAnsi="Arial"/>
          <w:color w:val="00000A"/>
          <w:spacing w:val="-2"/>
          <w:kern w:val="0"/>
          <w:sz w:val="22"/>
          <w:szCs w:val="22"/>
          <w:lang w:val="ca-ES" w:eastAsia="zh-CN" w:bidi="ar-SA"/>
        </w:rPr>
        <w:t>1 dia per a les incidències en aixetes o altres elements que suposin fuites d'aigua i per resoldre qualsevol incidència que hagi deixat inutilitzada la cuina.</w:t>
      </w:r>
    </w:p>
    <w:p>
      <w:pPr>
        <w:pStyle w:val="ListParagraph"/>
        <w:widowControl/>
        <w:numPr>
          <w:ilvl w:val="2"/>
          <w:numId w:val="32"/>
        </w:numPr>
        <w:tabs>
          <w:tab w:val="clear" w:pos="720"/>
          <w:tab w:val="left" w:pos="288" w:leader="none"/>
        </w:tabs>
        <w:suppressAutoHyphens w:val="true"/>
        <w:bidi w:val="0"/>
        <w:spacing w:lineRule="exact" w:line="251" w:before="57" w:after="57"/>
        <w:ind w:left="2154" w:right="0" w:hanging="0"/>
        <w:contextualSpacing/>
        <w:jc w:val="both"/>
        <w:rPr/>
      </w:pPr>
      <w:r>
        <w:rPr>
          <w:rFonts w:eastAsia="SimSun;宋体" w:cs="Arial" w:ascii="Arial" w:hAnsi="Arial"/>
          <w:color w:val="00000A"/>
          <w:spacing w:val="-2"/>
          <w:kern w:val="0"/>
          <w:sz w:val="22"/>
          <w:szCs w:val="22"/>
          <w:lang w:val="ca-ES" w:eastAsia="zh-CN" w:bidi="ar-SA"/>
        </w:rPr>
        <w:t>3 dies laborables per a la reparació d'elements productors d'aigua calenta (termos elèctrics i rentavaixelles).</w:t>
      </w:r>
    </w:p>
    <w:p>
      <w:pPr>
        <w:pStyle w:val="ListParagraph"/>
        <w:widowControl/>
        <w:numPr>
          <w:ilvl w:val="2"/>
          <w:numId w:val="32"/>
        </w:numPr>
        <w:tabs>
          <w:tab w:val="clear" w:pos="720"/>
          <w:tab w:val="left" w:pos="288" w:leader="none"/>
        </w:tabs>
        <w:suppressAutoHyphens w:val="true"/>
        <w:bidi w:val="0"/>
        <w:spacing w:lineRule="exact" w:line="251" w:before="57" w:after="57"/>
        <w:ind w:left="2154" w:right="0" w:hanging="0"/>
        <w:contextualSpacing/>
        <w:jc w:val="both"/>
        <w:rPr/>
      </w:pPr>
      <w:r>
        <w:rPr>
          <w:rFonts w:eastAsia="SimSun;宋体" w:cs="Arial" w:ascii="Arial" w:hAnsi="Arial"/>
          <w:color w:val="00000A"/>
          <w:spacing w:val="-2"/>
          <w:kern w:val="0"/>
          <w:sz w:val="22"/>
          <w:szCs w:val="22"/>
          <w:lang w:val="ca-ES" w:eastAsia="zh-CN" w:bidi="ar-SA"/>
        </w:rPr>
        <w:t>5 dies laborables per a la reparació de neveres i congeladors, i per a la reparació d'electrodomèstics utilitzats per cuinar com els fogons, el forn, la marmita o similars.</w:t>
      </w:r>
    </w:p>
    <w:p>
      <w:pPr>
        <w:pStyle w:val="ListParagraph"/>
        <w:widowControl/>
        <w:numPr>
          <w:ilvl w:val="2"/>
          <w:numId w:val="32"/>
        </w:numPr>
        <w:tabs>
          <w:tab w:val="clear" w:pos="720"/>
          <w:tab w:val="left" w:pos="288" w:leader="none"/>
        </w:tabs>
        <w:suppressAutoHyphens w:val="true"/>
        <w:bidi w:val="0"/>
        <w:spacing w:lineRule="exact" w:line="251" w:before="57" w:after="57"/>
        <w:ind w:left="2154" w:right="0" w:hanging="0"/>
        <w:contextualSpacing/>
        <w:jc w:val="both"/>
        <w:rPr/>
      </w:pPr>
      <w:r>
        <w:rPr>
          <w:rFonts w:eastAsia="SimSun;宋体" w:cs="Arial" w:ascii="Arial" w:hAnsi="Arial"/>
          <w:color w:val="00000A"/>
          <w:spacing w:val="-2"/>
          <w:kern w:val="0"/>
          <w:sz w:val="22"/>
          <w:szCs w:val="22"/>
          <w:lang w:val="ca-ES" w:eastAsia="zh-CN" w:bidi="ar-SA"/>
        </w:rPr>
        <w:t>10 dies laborables per a la resta (prestatges, armaris, etc.).</w:t>
      </w:r>
    </w:p>
    <w:p>
      <w:pPr>
        <w:pStyle w:val="ListParagraph"/>
        <w:widowControl/>
        <w:numPr>
          <w:ilvl w:val="2"/>
          <w:numId w:val="32"/>
        </w:numPr>
        <w:tabs>
          <w:tab w:val="clear" w:pos="720"/>
          <w:tab w:val="left" w:pos="288" w:leader="none"/>
        </w:tabs>
        <w:suppressAutoHyphens w:val="true"/>
        <w:bidi w:val="0"/>
        <w:spacing w:lineRule="exact" w:line="251" w:before="57" w:after="57"/>
        <w:ind w:left="2154" w:right="0" w:hanging="0"/>
        <w:contextualSpacing/>
        <w:jc w:val="both"/>
        <w:rPr/>
      </w:pPr>
      <w:r>
        <w:rPr>
          <w:rFonts w:eastAsia="SimSun;宋体" w:cs="Arial" w:ascii="Arial" w:hAnsi="Arial"/>
          <w:color w:val="00000A"/>
          <w:spacing w:val="-2"/>
          <w:kern w:val="0"/>
          <w:sz w:val="22"/>
          <w:szCs w:val="22"/>
          <w:lang w:val="ca-ES" w:eastAsia="zh-CN" w:bidi="ar-SA"/>
        </w:rPr>
        <w:t>En cas que per la complexitat tècnica de la reparació no es puguin complir aquests terminis, l'empresa adjudicatària està obligada a substituir l'electrodomèstic o equipament espatllat per un de similars característiques en préstec fins que la reparació s'hagi dut a terme.</w:t>
      </w:r>
    </w:p>
    <w:p>
      <w:pPr>
        <w:pStyle w:val="ListParagraph"/>
        <w:widowControl/>
        <w:numPr>
          <w:ilvl w:val="2"/>
          <w:numId w:val="32"/>
        </w:numPr>
        <w:tabs>
          <w:tab w:val="clear" w:pos="720"/>
          <w:tab w:val="left" w:pos="288" w:leader="none"/>
        </w:tabs>
        <w:suppressAutoHyphens w:val="true"/>
        <w:bidi w:val="0"/>
        <w:spacing w:lineRule="exact" w:line="251" w:before="57" w:after="57"/>
        <w:ind w:left="2154" w:right="0" w:hanging="0"/>
        <w:contextualSpacing/>
        <w:jc w:val="both"/>
        <w:rPr/>
      </w:pPr>
      <w:r>
        <w:rPr>
          <w:rFonts w:eastAsia="SimSun;宋体" w:cs="Arial" w:ascii="Arial" w:hAnsi="Arial"/>
          <w:color w:val="00000A"/>
          <w:spacing w:val="-2"/>
          <w:kern w:val="0"/>
          <w:sz w:val="22"/>
          <w:szCs w:val="22"/>
          <w:lang w:val="ca-ES" w:eastAsia="zh-CN" w:bidi="ar-SA"/>
        </w:rPr>
        <w:t>Tots els materials substituïts seran d’idèntica qualitat als existents. Els operaris tindran la qualificació requerida per realitzar els treballs, disposant de tots els medis necessaris i procurant evitar en la mida del possible tota pertorbació del funcionament normal del centre o servei. En tot cas, s'informarà prèviament al Servei d’Educació i a la direcció de l’escola de les operacions que es realitzaran i de les molèsties que s'ocasionaran, així com del calendari previst.</w:t>
      </w:r>
    </w:p>
    <w:p>
      <w:pPr>
        <w:pStyle w:val="ListParagraph"/>
        <w:widowControl/>
        <w:numPr>
          <w:ilvl w:val="2"/>
          <w:numId w:val="32"/>
        </w:numPr>
        <w:tabs>
          <w:tab w:val="clear" w:pos="720"/>
          <w:tab w:val="left" w:pos="288" w:leader="none"/>
        </w:tabs>
        <w:suppressAutoHyphens w:val="true"/>
        <w:bidi w:val="0"/>
        <w:spacing w:lineRule="exact" w:line="251" w:before="57" w:after="57"/>
        <w:ind w:left="2154" w:right="0" w:hanging="0"/>
        <w:contextualSpacing/>
        <w:jc w:val="both"/>
        <w:rPr>
          <w:shd w:fill="auto" w:val="clear"/>
        </w:rPr>
      </w:pPr>
      <w:r>
        <w:rPr>
          <w:rFonts w:eastAsia="SimSun;宋体" w:cs="Arial" w:ascii="Arial" w:hAnsi="Arial"/>
          <w:color w:val="00000A"/>
          <w:spacing w:val="-2"/>
          <w:kern w:val="0"/>
          <w:sz w:val="22"/>
          <w:szCs w:val="22"/>
          <w:shd w:fill="auto" w:val="clear"/>
          <w:lang w:val="ca-ES" w:eastAsia="zh-CN" w:bidi="ar-SA"/>
        </w:rPr>
        <w:t xml:space="preserve">L’incompliment dels terminis de resposta i resolució donarà lloc a penalitats que s’especifiquen en aquest plec. </w:t>
      </w:r>
    </w:p>
    <w:p>
      <w:pPr>
        <w:pStyle w:val="ListParagraph"/>
        <w:widowControl/>
        <w:numPr>
          <w:ilvl w:val="2"/>
          <w:numId w:val="32"/>
        </w:numPr>
        <w:tabs>
          <w:tab w:val="clear" w:pos="720"/>
          <w:tab w:val="left" w:pos="288" w:leader="none"/>
        </w:tabs>
        <w:suppressAutoHyphens w:val="true"/>
        <w:bidi w:val="0"/>
        <w:spacing w:lineRule="exact" w:line="251" w:before="57" w:after="57"/>
        <w:ind w:left="2154" w:right="0" w:hanging="0"/>
        <w:contextualSpacing/>
        <w:jc w:val="both"/>
        <w:rPr/>
      </w:pPr>
      <w:r>
        <w:rPr>
          <w:rFonts w:eastAsia="SimSun;宋体" w:cs="Arial" w:ascii="Arial" w:hAnsi="Arial"/>
          <w:color w:val="00000A"/>
          <w:spacing w:val="-2"/>
          <w:kern w:val="0"/>
          <w:sz w:val="22"/>
          <w:szCs w:val="22"/>
          <w:shd w:fill="auto" w:val="clear"/>
          <w:lang w:val="ca-ES" w:eastAsia="zh-CN" w:bidi="ar-SA"/>
        </w:rPr>
        <w:t>Caldrà respectar el circuit de comunicació d’avaries per tal que totes les actuacions de correctiu quedin recollides</w:t>
      </w:r>
      <w:r>
        <w:rPr>
          <w:rFonts w:eastAsia="SimSun;宋体" w:cs="Arial" w:ascii="Arial" w:hAnsi="Arial"/>
          <w:color w:val="00000A"/>
          <w:spacing w:val="-2"/>
          <w:kern w:val="0"/>
          <w:sz w:val="22"/>
          <w:szCs w:val="22"/>
          <w:lang w:val="ca-ES" w:eastAsia="zh-CN" w:bidi="ar-SA"/>
        </w:rPr>
        <w:t xml:space="preserve"> al programa de gestió del Manteniment, Rosmiman. Així, la cuinera ho comunicarà a la direcció del centre i a la coordinadora de l’empresa adjudicatària que serà la responsable de registrar l’avís al programa de gestió de Manteniment, Rosmiman. Des del Servei d’Educació es generarà la corresponent ordre de treball i l’adjudicatari serà el responsable de l’execució i tancament d’aquesta.</w:t>
      </w:r>
    </w:p>
    <w:p>
      <w:pPr>
        <w:pStyle w:val="ListParagraph"/>
        <w:widowControl/>
        <w:numPr>
          <w:ilvl w:val="2"/>
          <w:numId w:val="32"/>
        </w:numPr>
        <w:tabs>
          <w:tab w:val="clear" w:pos="720"/>
          <w:tab w:val="left" w:pos="288" w:leader="none"/>
        </w:tabs>
        <w:suppressAutoHyphens w:val="true"/>
        <w:bidi w:val="0"/>
        <w:spacing w:lineRule="exact" w:line="251" w:before="57" w:after="57"/>
        <w:ind w:left="2154" w:right="0" w:hanging="0"/>
        <w:contextualSpacing/>
        <w:jc w:val="both"/>
        <w:rPr/>
      </w:pPr>
      <w:r>
        <w:rPr>
          <w:rFonts w:eastAsia="SimSun;宋体" w:cs="Arial" w:ascii="Arial" w:hAnsi="Arial"/>
          <w:color w:val="00000A"/>
          <w:spacing w:val="-2"/>
          <w:kern w:val="0"/>
          <w:sz w:val="22"/>
          <w:szCs w:val="22"/>
          <w:lang w:val="ca-ES" w:eastAsia="zh-CN" w:bidi="ar-SA"/>
        </w:rPr>
        <w:t>Caldrà fer una correcta gestió de tots el residus de la cuina. En particular, caldrà acreditar la gestió correcta dels residus generats pels decantadors de greixos, per part d’una empresa autoritzada per l’Agència Catalana de Residus, mitjançant el full de seguiment. També caldrà acreditar les neteges dels conductes d’evacuació de fums mitjançant document justificatiu (factura o albarà segellat per l’escola).</w:t>
      </w:r>
    </w:p>
    <w:p>
      <w:pPr>
        <w:pStyle w:val="ListParagraph"/>
        <w:widowControl/>
        <w:numPr>
          <w:ilvl w:val="2"/>
          <w:numId w:val="32"/>
        </w:numPr>
        <w:tabs>
          <w:tab w:val="clear" w:pos="720"/>
          <w:tab w:val="left" w:pos="288" w:leader="none"/>
        </w:tabs>
        <w:suppressAutoHyphens w:val="true"/>
        <w:bidi w:val="0"/>
        <w:spacing w:lineRule="exact" w:line="251" w:before="57" w:after="57"/>
        <w:ind w:left="2154" w:right="0" w:hanging="0"/>
        <w:contextualSpacing/>
        <w:jc w:val="both"/>
        <w:rPr/>
      </w:pPr>
      <w:r>
        <w:rPr>
          <w:rFonts w:eastAsia="SimSun;宋体" w:cs="Arial" w:ascii="Arial" w:hAnsi="Arial"/>
          <w:color w:val="00000A"/>
          <w:spacing w:val="-2"/>
          <w:kern w:val="0"/>
          <w:sz w:val="22"/>
          <w:szCs w:val="22"/>
          <w:lang w:val="ca-ES" w:eastAsia="zh-CN" w:bidi="ar-SA"/>
        </w:rPr>
        <w:t>Caldrà fer un ús adequat de les instal·lacions utilitzant criteris d’estalvi i eficiència energètica. Es prohibeix específicament:</w:t>
      </w:r>
    </w:p>
    <w:p>
      <w:pPr>
        <w:pStyle w:val="ListParagraph"/>
        <w:widowControl/>
        <w:numPr>
          <w:ilvl w:val="8"/>
          <w:numId w:val="32"/>
        </w:numPr>
        <w:tabs>
          <w:tab w:val="clear" w:pos="720"/>
          <w:tab w:val="left" w:pos="858" w:leader="none"/>
          <w:tab w:val="left" w:pos="4875" w:leader="none"/>
        </w:tabs>
        <w:suppressAutoHyphens w:val="true"/>
        <w:bidi w:val="0"/>
        <w:spacing w:lineRule="auto" w:line="240" w:before="57" w:after="57"/>
        <w:ind w:left="2891" w:right="0" w:hanging="0"/>
        <w:contextualSpacing/>
        <w:jc w:val="both"/>
        <w:rPr/>
      </w:pPr>
      <w:r>
        <w:rPr>
          <w:rFonts w:eastAsia="SimSun;宋体" w:cs="Arial" w:ascii="Arial" w:hAnsi="Arial"/>
          <w:color w:val="00000A"/>
          <w:spacing w:val="-2"/>
          <w:kern w:val="0"/>
          <w:sz w:val="22"/>
          <w:szCs w:val="22"/>
          <w:lang w:val="ca-ES" w:eastAsia="zh-CN" w:bidi="ar-SA"/>
        </w:rPr>
        <w:t>Tenir</w:t>
      </w:r>
      <w:r>
        <w:rPr>
          <w:rFonts w:eastAsia="SimSun;宋体" w:cs="Arial" w:ascii="Arial" w:hAnsi="Arial"/>
          <w:color w:val="00000A"/>
          <w:spacing w:val="-5"/>
          <w:kern w:val="0"/>
          <w:sz w:val="22"/>
          <w:szCs w:val="22"/>
          <w:lang w:val="ca-ES" w:eastAsia="zh-CN" w:bidi="ar-SA"/>
        </w:rPr>
        <w:t xml:space="preserve"> </w:t>
      </w:r>
      <w:r>
        <w:rPr>
          <w:rFonts w:eastAsia="SimSun;宋体" w:cs="Arial" w:ascii="Arial" w:hAnsi="Arial"/>
          <w:color w:val="00000A"/>
          <w:spacing w:val="-2"/>
          <w:kern w:val="0"/>
          <w:sz w:val="22"/>
          <w:szCs w:val="22"/>
          <w:lang w:val="ca-ES" w:eastAsia="zh-CN" w:bidi="ar-SA"/>
        </w:rPr>
        <w:t>els</w:t>
      </w:r>
      <w:r>
        <w:rPr>
          <w:rFonts w:eastAsia="SimSun;宋体" w:cs="Arial" w:ascii="Arial" w:hAnsi="Arial"/>
          <w:color w:val="00000A"/>
          <w:spacing w:val="-3"/>
          <w:kern w:val="0"/>
          <w:sz w:val="22"/>
          <w:szCs w:val="22"/>
          <w:lang w:val="ca-ES" w:eastAsia="zh-CN" w:bidi="ar-SA"/>
        </w:rPr>
        <w:t xml:space="preserve"> </w:t>
      </w:r>
      <w:r>
        <w:rPr>
          <w:rFonts w:eastAsia="SimSun;宋体" w:cs="Arial" w:ascii="Arial" w:hAnsi="Arial"/>
          <w:color w:val="00000A"/>
          <w:spacing w:val="-2"/>
          <w:kern w:val="0"/>
          <w:sz w:val="22"/>
          <w:szCs w:val="22"/>
          <w:lang w:val="ca-ES" w:eastAsia="zh-CN" w:bidi="ar-SA"/>
        </w:rPr>
        <w:t>fogons,</w:t>
      </w:r>
      <w:r>
        <w:rPr>
          <w:rFonts w:eastAsia="SimSun;宋体" w:cs="Arial" w:ascii="Arial" w:hAnsi="Arial"/>
          <w:color w:val="00000A"/>
          <w:spacing w:val="-4"/>
          <w:kern w:val="0"/>
          <w:sz w:val="22"/>
          <w:szCs w:val="22"/>
          <w:lang w:val="ca-ES" w:eastAsia="zh-CN" w:bidi="ar-SA"/>
        </w:rPr>
        <w:t xml:space="preserve"> </w:t>
      </w:r>
      <w:r>
        <w:rPr>
          <w:rFonts w:eastAsia="SimSun;宋体" w:cs="Arial" w:ascii="Arial" w:hAnsi="Arial"/>
          <w:color w:val="00000A"/>
          <w:spacing w:val="-2"/>
          <w:kern w:val="0"/>
          <w:sz w:val="22"/>
          <w:szCs w:val="22"/>
          <w:lang w:val="ca-ES" w:eastAsia="zh-CN" w:bidi="ar-SA"/>
        </w:rPr>
        <w:t>forns</w:t>
      </w:r>
      <w:r>
        <w:rPr>
          <w:rFonts w:eastAsia="SimSun;宋体" w:cs="Arial" w:ascii="Arial" w:hAnsi="Arial"/>
          <w:color w:val="00000A"/>
          <w:spacing w:val="-3"/>
          <w:kern w:val="0"/>
          <w:sz w:val="22"/>
          <w:szCs w:val="22"/>
          <w:lang w:val="ca-ES" w:eastAsia="zh-CN" w:bidi="ar-SA"/>
        </w:rPr>
        <w:t xml:space="preserve"> </w:t>
      </w:r>
      <w:r>
        <w:rPr>
          <w:rFonts w:eastAsia="SimSun;宋体" w:cs="Arial" w:ascii="Arial" w:hAnsi="Arial"/>
          <w:color w:val="00000A"/>
          <w:spacing w:val="-2"/>
          <w:kern w:val="0"/>
          <w:sz w:val="22"/>
          <w:szCs w:val="22"/>
          <w:lang w:val="ca-ES" w:eastAsia="zh-CN" w:bidi="ar-SA"/>
        </w:rPr>
        <w:t>o similars</w:t>
      </w:r>
      <w:r>
        <w:rPr>
          <w:rFonts w:eastAsia="SimSun;宋体" w:cs="Arial" w:ascii="Arial" w:hAnsi="Arial"/>
          <w:color w:val="00000A"/>
          <w:spacing w:val="1"/>
          <w:kern w:val="0"/>
          <w:sz w:val="22"/>
          <w:szCs w:val="22"/>
          <w:lang w:val="ca-ES" w:eastAsia="zh-CN" w:bidi="ar-SA"/>
        </w:rPr>
        <w:t xml:space="preserve"> </w:t>
      </w:r>
      <w:r>
        <w:rPr>
          <w:rFonts w:eastAsia="SimSun;宋体" w:cs="Arial" w:ascii="Arial" w:hAnsi="Arial"/>
          <w:color w:val="00000A"/>
          <w:spacing w:val="-2"/>
          <w:kern w:val="0"/>
          <w:sz w:val="22"/>
          <w:szCs w:val="22"/>
          <w:lang w:val="ca-ES" w:eastAsia="zh-CN" w:bidi="ar-SA"/>
        </w:rPr>
        <w:t>encesos</w:t>
      </w:r>
      <w:r>
        <w:rPr>
          <w:rFonts w:eastAsia="SimSun;宋体" w:cs="Arial" w:ascii="Arial" w:hAnsi="Arial"/>
          <w:color w:val="00000A"/>
          <w:spacing w:val="-3"/>
          <w:kern w:val="0"/>
          <w:sz w:val="22"/>
          <w:szCs w:val="22"/>
          <w:lang w:val="ca-ES" w:eastAsia="zh-CN" w:bidi="ar-SA"/>
        </w:rPr>
        <w:t xml:space="preserve"> </w:t>
      </w:r>
      <w:r>
        <w:rPr>
          <w:rFonts w:eastAsia="SimSun;宋体" w:cs="Arial" w:ascii="Arial" w:hAnsi="Arial"/>
          <w:color w:val="00000A"/>
          <w:spacing w:val="-2"/>
          <w:kern w:val="0"/>
          <w:sz w:val="22"/>
          <w:szCs w:val="22"/>
          <w:lang w:val="ca-ES" w:eastAsia="zh-CN" w:bidi="ar-SA"/>
        </w:rPr>
        <w:t>si</w:t>
      </w:r>
      <w:r>
        <w:rPr>
          <w:rFonts w:eastAsia="SimSun;宋体" w:cs="Arial" w:ascii="Arial" w:hAnsi="Arial"/>
          <w:color w:val="00000A"/>
          <w:spacing w:val="-3"/>
          <w:kern w:val="0"/>
          <w:sz w:val="22"/>
          <w:szCs w:val="22"/>
          <w:lang w:val="ca-ES" w:eastAsia="zh-CN" w:bidi="ar-SA"/>
        </w:rPr>
        <w:t xml:space="preserve"> </w:t>
      </w:r>
      <w:r>
        <w:rPr>
          <w:rFonts w:eastAsia="SimSun;宋体" w:cs="Arial" w:ascii="Arial" w:hAnsi="Arial"/>
          <w:color w:val="00000A"/>
          <w:spacing w:val="-2"/>
          <w:kern w:val="0"/>
          <w:sz w:val="22"/>
          <w:szCs w:val="22"/>
          <w:lang w:val="ca-ES" w:eastAsia="zh-CN" w:bidi="ar-SA"/>
        </w:rPr>
        <w:t>no</w:t>
      </w:r>
      <w:r>
        <w:rPr>
          <w:rFonts w:eastAsia="SimSun;宋体" w:cs="Arial" w:ascii="Arial" w:hAnsi="Arial"/>
          <w:color w:val="00000A"/>
          <w:spacing w:val="-3"/>
          <w:kern w:val="0"/>
          <w:sz w:val="22"/>
          <w:szCs w:val="22"/>
          <w:lang w:val="ca-ES" w:eastAsia="zh-CN" w:bidi="ar-SA"/>
        </w:rPr>
        <w:t xml:space="preserve"> </w:t>
      </w:r>
      <w:r>
        <w:rPr>
          <w:rFonts w:eastAsia="SimSun;宋体" w:cs="Arial" w:ascii="Arial" w:hAnsi="Arial"/>
          <w:color w:val="00000A"/>
          <w:spacing w:val="-2"/>
          <w:kern w:val="0"/>
          <w:sz w:val="22"/>
          <w:szCs w:val="22"/>
          <w:lang w:val="ca-ES" w:eastAsia="zh-CN" w:bidi="ar-SA"/>
        </w:rPr>
        <w:t>s'estan</w:t>
      </w:r>
      <w:r>
        <w:rPr>
          <w:rFonts w:eastAsia="SimSun;宋体" w:cs="Arial" w:ascii="Arial" w:hAnsi="Arial"/>
          <w:color w:val="00000A"/>
          <w:spacing w:val="-1"/>
          <w:kern w:val="0"/>
          <w:sz w:val="22"/>
          <w:szCs w:val="22"/>
          <w:lang w:val="ca-ES" w:eastAsia="zh-CN" w:bidi="ar-SA"/>
        </w:rPr>
        <w:t xml:space="preserve"> </w:t>
      </w:r>
      <w:r>
        <w:rPr>
          <w:rFonts w:eastAsia="SimSun;宋体" w:cs="Arial" w:ascii="Arial" w:hAnsi="Arial"/>
          <w:color w:val="00000A"/>
          <w:spacing w:val="-2"/>
          <w:kern w:val="0"/>
          <w:sz w:val="22"/>
          <w:szCs w:val="22"/>
          <w:lang w:val="ca-ES" w:eastAsia="zh-CN" w:bidi="ar-SA"/>
        </w:rPr>
        <w:t>fent</w:t>
      </w:r>
      <w:r>
        <w:rPr>
          <w:rFonts w:eastAsia="SimSun;宋体" w:cs="Arial" w:ascii="Arial" w:hAnsi="Arial"/>
          <w:color w:val="00000A"/>
          <w:spacing w:val="-4"/>
          <w:kern w:val="0"/>
          <w:sz w:val="22"/>
          <w:szCs w:val="22"/>
          <w:lang w:val="ca-ES" w:eastAsia="zh-CN" w:bidi="ar-SA"/>
        </w:rPr>
        <w:t xml:space="preserve"> </w:t>
      </w:r>
      <w:r>
        <w:rPr>
          <w:rFonts w:eastAsia="SimSun;宋体" w:cs="Arial" w:ascii="Arial" w:hAnsi="Arial"/>
          <w:color w:val="00000A"/>
          <w:spacing w:val="-2"/>
          <w:kern w:val="0"/>
          <w:sz w:val="22"/>
          <w:szCs w:val="22"/>
          <w:lang w:val="ca-ES" w:eastAsia="zh-CN" w:bidi="ar-SA"/>
        </w:rPr>
        <w:t>servir</w:t>
      </w:r>
      <w:r>
        <w:rPr>
          <w:rFonts w:eastAsia="SimSun;宋体" w:cs="Arial" w:ascii="Arial" w:hAnsi="Arial"/>
          <w:color w:val="00000A"/>
          <w:spacing w:val="-4"/>
          <w:kern w:val="0"/>
          <w:sz w:val="22"/>
          <w:szCs w:val="22"/>
          <w:lang w:val="ca-ES" w:eastAsia="zh-CN" w:bidi="ar-SA"/>
        </w:rPr>
        <w:t xml:space="preserve"> </w:t>
      </w:r>
      <w:r>
        <w:rPr>
          <w:rFonts w:eastAsia="SimSun;宋体" w:cs="Arial" w:ascii="Arial" w:hAnsi="Arial"/>
          <w:color w:val="00000A"/>
          <w:spacing w:val="-2"/>
          <w:kern w:val="0"/>
          <w:sz w:val="22"/>
          <w:szCs w:val="22"/>
          <w:lang w:val="ca-ES" w:eastAsia="zh-CN" w:bidi="ar-SA"/>
        </w:rPr>
        <w:t xml:space="preserve">per cuinar. </w:t>
      </w:r>
    </w:p>
    <w:p>
      <w:pPr>
        <w:pStyle w:val="ListParagraph"/>
        <w:widowControl/>
        <w:numPr>
          <w:ilvl w:val="8"/>
          <w:numId w:val="32"/>
        </w:numPr>
        <w:tabs>
          <w:tab w:val="clear" w:pos="720"/>
          <w:tab w:val="left" w:pos="858" w:leader="none"/>
          <w:tab w:val="left" w:pos="4875" w:leader="none"/>
        </w:tabs>
        <w:suppressAutoHyphens w:val="true"/>
        <w:bidi w:val="0"/>
        <w:spacing w:lineRule="auto" w:line="240" w:before="57" w:after="57"/>
        <w:ind w:left="2891" w:right="0" w:hanging="0"/>
        <w:contextualSpacing/>
        <w:jc w:val="left"/>
        <w:rPr/>
      </w:pPr>
      <w:r>
        <w:rPr>
          <w:rFonts w:eastAsia="SimSun;宋体" w:cs="Arial" w:ascii="Arial" w:hAnsi="Arial"/>
          <w:color w:val="00000A"/>
          <w:kern w:val="0"/>
          <w:sz w:val="22"/>
          <w:szCs w:val="22"/>
          <w:lang w:val="ca-ES" w:eastAsia="zh-CN" w:bidi="ar-SA"/>
        </w:rPr>
        <w:t>La instal·lació de qualsevol electrodomèstic que requereixi modificacions a les instal·lacions de l'escola (inclosos els augments de potència elèctrica) o suposin un increment del consum energètic.</w:t>
      </w:r>
    </w:p>
    <w:p>
      <w:pPr>
        <w:pStyle w:val="Cosdeltext"/>
        <w:widowControl/>
        <w:tabs>
          <w:tab w:val="clear" w:pos="720"/>
          <w:tab w:val="left" w:pos="858" w:leader="none"/>
          <w:tab w:val="left" w:pos="4875" w:leader="none"/>
        </w:tabs>
        <w:suppressAutoHyphens w:val="true"/>
        <w:bidi w:val="0"/>
        <w:spacing w:lineRule="auto" w:line="240" w:before="57" w:after="57"/>
        <w:ind w:left="0" w:right="0" w:hanging="0"/>
        <w:jc w:val="left"/>
        <w:rPr>
          <w:rFonts w:ascii="Arial" w:hAnsi="Arial" w:eastAsia="SimSun;宋体" w:cs="Arial"/>
          <w:color w:val="00000A"/>
          <w:kern w:val="0"/>
          <w:sz w:val="22"/>
          <w:szCs w:val="22"/>
          <w:lang w:val="ca-ES" w:eastAsia="zh-CN" w:bidi="ar-SA"/>
        </w:rPr>
      </w:pPr>
      <w:r>
        <w:rPr>
          <w:rFonts w:eastAsia="SimSun;宋体" w:cs="Arial" w:ascii="Arial" w:hAnsi="Arial"/>
          <w:color w:val="00000A"/>
          <w:kern w:val="0"/>
          <w:sz w:val="22"/>
          <w:szCs w:val="22"/>
          <w:lang w:val="ca-ES" w:eastAsia="zh-CN" w:bidi="ar-SA"/>
        </w:rPr>
      </w:r>
    </w:p>
    <w:p>
      <w:pPr>
        <w:pStyle w:val="Normal"/>
        <w:jc w:val="both"/>
        <w:rPr>
          <w:b/>
          <w:b/>
          <w:sz w:val="22"/>
          <w:szCs w:val="22"/>
        </w:rPr>
      </w:pPr>
      <w:r>
        <w:rPr>
          <w:b/>
          <w:sz w:val="22"/>
          <w:szCs w:val="22"/>
        </w:rPr>
      </w:r>
    </w:p>
    <w:p>
      <w:pPr>
        <w:pStyle w:val="Normal"/>
        <w:jc w:val="both"/>
        <w:rPr>
          <w:b/>
          <w:b/>
          <w:sz w:val="22"/>
          <w:szCs w:val="22"/>
        </w:rPr>
      </w:pPr>
      <w:r>
        <w:rPr>
          <w:b/>
          <w:sz w:val="22"/>
          <w:szCs w:val="22"/>
        </w:rPr>
        <w:t>VINT-I-QUATRENA.- Proposicions</w:t>
      </w:r>
    </w:p>
    <w:p>
      <w:pPr>
        <w:pStyle w:val="Normal"/>
        <w:jc w:val="both"/>
        <w:rPr>
          <w:b/>
          <w:b/>
          <w:sz w:val="22"/>
          <w:szCs w:val="22"/>
        </w:rPr>
      </w:pPr>
      <w:r>
        <w:rPr>
          <w:b/>
          <w:sz w:val="22"/>
          <w:szCs w:val="22"/>
        </w:rPr>
      </w:r>
    </w:p>
    <w:p>
      <w:pPr>
        <w:pStyle w:val="Normal"/>
        <w:jc w:val="both"/>
        <w:rPr/>
      </w:pPr>
      <w:r>
        <w:rPr>
          <w:sz w:val="22"/>
          <w:szCs w:val="22"/>
        </w:rPr>
        <w:t xml:space="preserve">Poden presentar proposicions, que han de ser úniques, les persones naturals o jurídiques, espanyoles o estrangeres, que tinguin plena capacitat d’obrar, no estiguin incurses en cap prohibició de contractar </w:t>
      </w:r>
      <w:r>
        <w:rPr>
          <w:sz w:val="22"/>
        </w:rPr>
        <w:t xml:space="preserve">i disposin de l’adequada solvència econòmica, financera i tècnica o professional. </w:t>
      </w:r>
    </w:p>
    <w:p>
      <w:pPr>
        <w:pStyle w:val="Normal"/>
        <w:jc w:val="both"/>
        <w:rPr>
          <w:sz w:val="22"/>
          <w:szCs w:val="22"/>
        </w:rPr>
      </w:pPr>
      <w:r>
        <w:rPr>
          <w:sz w:val="22"/>
          <w:szCs w:val="22"/>
        </w:rPr>
      </w:r>
    </w:p>
    <w:p>
      <w:pPr>
        <w:pStyle w:val="Normal"/>
        <w:jc w:val="both"/>
        <w:rPr>
          <w:sz w:val="22"/>
          <w:szCs w:val="22"/>
        </w:rPr>
      </w:pPr>
      <w:r>
        <w:rPr>
          <w:sz w:val="22"/>
          <w:szCs w:val="22"/>
        </w:rPr>
      </w:r>
    </w:p>
    <w:p>
      <w:pPr>
        <w:pStyle w:val="Encapalament7"/>
        <w:rPr/>
      </w:pPr>
      <w:r>
        <w:rPr>
          <w:szCs w:val="22"/>
        </w:rPr>
        <w:t>VINT-I-CINQUENA.- Mitjà de presentació de les proposicions</w:t>
      </w:r>
    </w:p>
    <w:p>
      <w:pPr>
        <w:pStyle w:val="Normal"/>
        <w:jc w:val="both"/>
        <w:rPr>
          <w:sz w:val="22"/>
          <w:szCs w:val="22"/>
        </w:rPr>
      </w:pPr>
      <w:r>
        <w:rPr>
          <w:sz w:val="22"/>
          <w:szCs w:val="22"/>
        </w:rPr>
      </w:r>
    </w:p>
    <w:p>
      <w:pPr>
        <w:pStyle w:val="Normal"/>
        <w:jc w:val="both"/>
        <w:rPr>
          <w:color w:val="auto"/>
          <w:sz w:val="22"/>
          <w:szCs w:val="22"/>
        </w:rPr>
      </w:pPr>
      <w:r>
        <w:rPr>
          <w:color w:val="auto"/>
          <w:sz w:val="22"/>
          <w:szCs w:val="22"/>
        </w:rPr>
        <w:t xml:space="preserve">De conformitat amb les disposicions addicionals 15, 16 i 17 de LCSP, s’estableix l’obligatorietat de l’ús de mitjans electrònics, informàtics o telemàtics per desenvolupar totes les fases del procediment de contractació, inclusives les que correspongui realitzar a les empreses licitadores i/o candidates com la presentació de les ofertes. </w:t>
      </w:r>
    </w:p>
    <w:p>
      <w:pPr>
        <w:pStyle w:val="Normal"/>
        <w:jc w:val="both"/>
        <w:rPr>
          <w:strike/>
          <w:color w:val="auto"/>
          <w:sz w:val="22"/>
          <w:szCs w:val="22"/>
        </w:rPr>
      </w:pPr>
      <w:r>
        <w:rPr>
          <w:strike/>
          <w:color w:val="auto"/>
          <w:sz w:val="22"/>
          <w:szCs w:val="22"/>
        </w:rPr>
      </w:r>
    </w:p>
    <w:p>
      <w:pPr>
        <w:pStyle w:val="Normal"/>
        <w:jc w:val="both"/>
        <w:rPr>
          <w:color w:val="auto"/>
          <w:sz w:val="22"/>
          <w:szCs w:val="22"/>
        </w:rPr>
      </w:pPr>
      <w:r>
        <w:rPr>
          <w:color w:val="auto"/>
          <w:sz w:val="22"/>
          <w:szCs w:val="22"/>
        </w:rPr>
        <w:t xml:space="preserve">La presentació d’ofertes es farà únicament a través de l’eina de Presentació Sobre Digital d’Ofertes de la Plataforma de Serveis de Contractació Pública (PSCP-eLicita), accessible des de l’adreça web </w:t>
      </w:r>
      <w:hyperlink r:id="rId8">
        <w:r>
          <w:rPr>
            <w:rStyle w:val="EnlladInternet"/>
            <w:color w:val="auto"/>
            <w:sz w:val="22"/>
            <w:szCs w:val="22"/>
          </w:rPr>
          <w:t>https://contractaciopublica.cat/ca/perfils-contractant/detall/terrassa</w:t>
        </w:r>
      </w:hyperlink>
      <w:r>
        <w:rPr>
          <w:color w:val="auto"/>
          <w:sz w:val="22"/>
          <w:szCs w:val="22"/>
        </w:rPr>
        <w:t>.  Les proposicions que no es presentin per aquests mitjans, en la forma que determina aquest plec, seran excloses.</w:t>
      </w:r>
    </w:p>
    <w:p>
      <w:pPr>
        <w:pStyle w:val="Normal"/>
        <w:jc w:val="both"/>
        <w:rPr>
          <w:color w:val="auto"/>
        </w:rPr>
      </w:pPr>
      <w:r>
        <w:rPr>
          <w:color w:val="auto"/>
          <w:sz w:val="22"/>
          <w:szCs w:val="22"/>
        </w:rPr>
        <w:t xml:space="preserve"> </w:t>
      </w:r>
    </w:p>
    <w:p>
      <w:pPr>
        <w:pStyle w:val="Normal"/>
        <w:jc w:val="both"/>
        <w:rPr>
          <w:color w:val="auto"/>
        </w:rPr>
      </w:pPr>
      <w:r>
        <w:rPr>
          <w:color w:val="auto"/>
          <w:sz w:val="22"/>
          <w:szCs w:val="22"/>
        </w:rPr>
        <w:t xml:space="preserve">És important que les empreses licitadores verifiquin </w:t>
      </w:r>
      <w:r>
        <w:rPr>
          <w:color w:val="auto"/>
          <w:sz w:val="22"/>
          <w:szCs w:val="22"/>
          <w:u w:val="single"/>
        </w:rPr>
        <w:t>amb antelació suficient, abans de la presentació de les proposicions</w:t>
      </w:r>
      <w:r>
        <w:rPr>
          <w:color w:val="auto"/>
          <w:sz w:val="22"/>
          <w:szCs w:val="22"/>
        </w:rPr>
        <w:t xml:space="preserve">, els requisits tècnics de la plataforma (navegadors compatibles, recomanacions vinculades a l’ordinador, accés mitjançant certificat electrònic, formats i pes màxim admesos dels documents de l’oferta, etc ) que podran consultar en el següent enllaç: </w:t>
      </w:r>
      <w:hyperlink r:id="rId9">
        <w:r>
          <w:rPr>
            <w:rStyle w:val="EnlladInternet"/>
            <w:color w:val="auto"/>
          </w:rPr>
          <w:t>https://suport-licitacions-empreses.aoc.cat/hc/ca</w:t>
        </w:r>
      </w:hyperlink>
    </w:p>
    <w:p>
      <w:pPr>
        <w:pStyle w:val="Normal"/>
        <w:jc w:val="both"/>
        <w:rPr>
          <w:color w:val="auto"/>
          <w:sz w:val="22"/>
          <w:szCs w:val="22"/>
        </w:rPr>
      </w:pPr>
      <w:r>
        <w:rPr>
          <w:color w:val="auto"/>
          <w:sz w:val="22"/>
          <w:szCs w:val="22"/>
        </w:rPr>
      </w:r>
    </w:p>
    <w:p>
      <w:pPr>
        <w:pStyle w:val="Normal"/>
        <w:jc w:val="both"/>
        <w:rPr>
          <w:color w:val="auto"/>
          <w:sz w:val="22"/>
          <w:szCs w:val="22"/>
        </w:rPr>
      </w:pPr>
      <w:r>
        <w:rPr>
          <w:color w:val="auto"/>
          <w:sz w:val="22"/>
          <w:szCs w:val="22"/>
        </w:rPr>
        <w:t>Per poder iniciar la tramesa de la documentació, l’eina requerirà a les empreses licitadores que introdueixin una paraula clau per a cada sobre amb documentació xifrada que formi part de la licitació. Amb aquesta paraula clau es xifrarà la documentació, en el moment de l’enviament de les ofertes.</w:t>
      </w:r>
    </w:p>
    <w:p>
      <w:pPr>
        <w:pStyle w:val="Normal"/>
        <w:jc w:val="both"/>
        <w:rPr>
          <w:color w:val="auto"/>
          <w:sz w:val="22"/>
          <w:szCs w:val="22"/>
        </w:rPr>
      </w:pPr>
      <w:r>
        <w:rPr>
          <w:color w:val="auto"/>
          <w:sz w:val="22"/>
          <w:szCs w:val="22"/>
        </w:rPr>
      </w:r>
    </w:p>
    <w:p>
      <w:pPr>
        <w:pStyle w:val="Normal"/>
        <w:jc w:val="both"/>
        <w:rPr>
          <w:color w:val="auto"/>
          <w:sz w:val="22"/>
          <w:szCs w:val="22"/>
        </w:rPr>
      </w:pPr>
      <w:r>
        <w:rPr>
          <w:color w:val="auto"/>
          <w:sz w:val="22"/>
          <w:szCs w:val="22"/>
        </w:rPr>
        <w:t>Per tant, aquest procés de xifrat el duu a terme l’eina de Sobre Digital, de manera que les empreses licitadores no han de xifrar prèviament els arxius mitjançant una altra eina. Així mateix, el desxifrat dels documents de les ofertes es realitza mitjançant la mateixa paraula clau, la qual només es custodiada per cada licitador i és la principal garantia de secret de les ofertes. Cal tenir en compte la importància de custodiar correctament aquesta o aquestes claus (poden ser la mateixa per tots els sobres o diferents per cadascun d’ells), ja que només les empreses licitadores la/les tenen (l’eina de Sobre Digital no guarda ni recorda les contrasenyes introduïdes,) i son imprescindibles per al desxifrat de les ofertes i, per tant, per l’accés al seu contingut. Sense l’esmentada paraula clau resulta impossible accedir a la proposició un cop enviada.</w:t>
      </w:r>
    </w:p>
    <w:p>
      <w:pPr>
        <w:pStyle w:val="Normal"/>
        <w:jc w:val="both"/>
        <w:rPr>
          <w:color w:val="auto"/>
          <w:sz w:val="22"/>
          <w:szCs w:val="22"/>
        </w:rPr>
      </w:pPr>
      <w:r>
        <w:rPr>
          <w:color w:val="auto"/>
          <w:sz w:val="22"/>
          <w:szCs w:val="22"/>
        </w:rPr>
      </w:r>
    </w:p>
    <w:p>
      <w:pPr>
        <w:pStyle w:val="Normal"/>
        <w:jc w:val="both"/>
        <w:rPr>
          <w:color w:val="auto"/>
          <w:sz w:val="22"/>
          <w:szCs w:val="22"/>
        </w:rPr>
      </w:pPr>
      <w:r>
        <w:rPr>
          <w:color w:val="auto"/>
          <w:sz w:val="22"/>
          <w:szCs w:val="22"/>
        </w:rPr>
        <w:t>Es recomana a les empreses licitadores copiar en el porta-retalls de l’equip o descarregar el document amb les claus definides per a cada sobre.</w:t>
      </w:r>
    </w:p>
    <w:p>
      <w:pPr>
        <w:pStyle w:val="Normal"/>
        <w:jc w:val="both"/>
        <w:rPr>
          <w:color w:val="auto"/>
          <w:sz w:val="22"/>
          <w:szCs w:val="22"/>
        </w:rPr>
      </w:pPr>
      <w:r>
        <w:rPr>
          <w:color w:val="auto"/>
          <w:sz w:val="22"/>
          <w:szCs w:val="22"/>
        </w:rPr>
      </w:r>
    </w:p>
    <w:p>
      <w:pPr>
        <w:pStyle w:val="Normal"/>
        <w:jc w:val="both"/>
        <w:rPr>
          <w:color w:val="auto"/>
          <w:sz w:val="22"/>
          <w:szCs w:val="22"/>
        </w:rPr>
      </w:pPr>
      <w:r>
        <w:rPr>
          <w:color w:val="auto"/>
          <w:sz w:val="22"/>
          <w:szCs w:val="22"/>
        </w:rPr>
        <w:t xml:space="preserve">Podeu trobar material de suport (manuals i vídeos) sobre com presentar una oferta mitjançant l’eina eLicita a la web de la Plataforma de Serveis de Contractació Pública: </w:t>
      </w:r>
    </w:p>
    <w:p>
      <w:pPr>
        <w:pStyle w:val="Normal"/>
        <w:jc w:val="both"/>
        <w:rPr>
          <w:color w:val="auto"/>
          <w:sz w:val="22"/>
          <w:szCs w:val="22"/>
        </w:rPr>
      </w:pPr>
      <w:hyperlink r:id="rId10">
        <w:r>
          <w:rPr>
            <w:rStyle w:val="EnlladInternet"/>
            <w:sz w:val="22"/>
            <w:szCs w:val="22"/>
          </w:rPr>
          <w:t>https://contractaciopublica.cat/ca/manuals/usuari</w:t>
        </w:r>
      </w:hyperlink>
    </w:p>
    <w:p>
      <w:pPr>
        <w:pStyle w:val="Normal"/>
        <w:jc w:val="both"/>
        <w:rPr>
          <w:color w:val="auto"/>
          <w:sz w:val="22"/>
          <w:szCs w:val="22"/>
        </w:rPr>
      </w:pPr>
      <w:r>
        <w:rPr>
          <w:color w:val="auto"/>
          <w:sz w:val="22"/>
          <w:szCs w:val="22"/>
        </w:rPr>
      </w:r>
    </w:p>
    <w:p>
      <w:pPr>
        <w:pStyle w:val="Normal"/>
        <w:jc w:val="both"/>
        <w:rPr>
          <w:color w:val="auto"/>
          <w:sz w:val="22"/>
        </w:rPr>
      </w:pPr>
      <w:r>
        <w:rPr>
          <w:iCs/>
          <w:color w:val="auto"/>
          <w:sz w:val="22"/>
          <w:szCs w:val="22"/>
          <w:lang w:eastAsia="es-ES"/>
        </w:rPr>
        <w:t>S’ha de tenir en compte que l’eina no permet la presentació d’arxius de mida superior a 25 Mb. Per aquest motiu, els arxius de les ofertes d’aquesta mida s’han de comprimir o fragmentar en diverses parts. La partició s’ha de realitzar manualment (sense utilitzar eines del tipus winzip o winrar de partició automàtica) i sense incorporar cap tipus de contrasenya. Els arxius resultants de la partició s’han d’incorporar numerats (part 1 de 2, part 2 de 2).</w:t>
      </w:r>
    </w:p>
    <w:p>
      <w:pPr>
        <w:pStyle w:val="Normal"/>
        <w:tabs>
          <w:tab w:val="clear" w:pos="720"/>
          <w:tab w:val="left" w:pos="0" w:leader="none"/>
        </w:tabs>
        <w:jc w:val="both"/>
        <w:rPr>
          <w:rFonts w:eastAsia="Calibri"/>
          <w:strike/>
          <w:color w:val="auto"/>
          <w:sz w:val="22"/>
          <w:szCs w:val="22"/>
        </w:rPr>
      </w:pPr>
      <w:r>
        <w:rPr>
          <w:rFonts w:eastAsia="Calibri"/>
          <w:strike/>
          <w:color w:val="auto"/>
          <w:sz w:val="22"/>
          <w:szCs w:val="22"/>
        </w:rPr>
      </w:r>
    </w:p>
    <w:p>
      <w:pPr>
        <w:pStyle w:val="Normal"/>
        <w:jc w:val="both"/>
        <w:rPr>
          <w:iCs/>
          <w:color w:val="auto"/>
          <w:sz w:val="22"/>
        </w:rPr>
      </w:pPr>
      <w:r>
        <w:rPr>
          <w:iCs/>
          <w:color w:val="auto"/>
          <w:sz w:val="22"/>
        </w:rPr>
        <w:t xml:space="preserve">Les ofertes presentades han d’estar lliures de virus informàtics i de qualsevol tipus de programa o codi nociu, ja que en cap cas es poden obrir els documents afectats per un virus amb les eines de que disposa l’Administració. Així, és obligació de les empreses contractistes passar els documents per un antivirus i, en cas d’arribar documents de les seves ofertes amb virus, serà responsabilitat d’elles que l’Administració no pugui accedir al contingut d’aquests. </w:t>
      </w:r>
    </w:p>
    <w:p>
      <w:pPr>
        <w:pStyle w:val="Normal"/>
        <w:jc w:val="both"/>
        <w:rPr>
          <w:color w:val="auto"/>
          <w:sz w:val="22"/>
        </w:rPr>
      </w:pPr>
      <w:r>
        <w:rPr>
          <w:color w:val="auto"/>
          <w:sz w:val="22"/>
        </w:rPr>
      </w:r>
    </w:p>
    <w:p>
      <w:pPr>
        <w:pStyle w:val="Normal"/>
        <w:jc w:val="both"/>
        <w:rPr>
          <w:iCs/>
          <w:color w:val="auto"/>
          <w:sz w:val="22"/>
        </w:rPr>
      </w:pPr>
      <w:r>
        <w:rPr>
          <w:iCs/>
          <w:color w:val="auto"/>
          <w:sz w:val="22"/>
        </w:rPr>
        <w:t>En cas que algun document presentat per les empreses licitadores estigui malmès, en blanc o sigui il·legible o estigui afectat per algun virus informàtic, la mesa valorarà, en funció de quina sigui la documentació afectada, les conseqüències jurídiques, respecte de la participació d’aquesta empresa en el procediment, que s’hagin de derivar de la impossibilitat d’accedir al contingut d’algun dels documents de l’oferta. En cas de tractar-se de documents imprescindibles per conèixer o valorar l’oferta, l’òrgan de contractació podrà acordar l’exclusió de l’empresa.</w:t>
      </w:r>
    </w:p>
    <w:p>
      <w:pPr>
        <w:pStyle w:val="Normal"/>
        <w:jc w:val="both"/>
        <w:rPr>
          <w:color w:val="auto"/>
          <w:sz w:val="22"/>
          <w:szCs w:val="22"/>
        </w:rPr>
      </w:pPr>
      <w:r>
        <w:rPr>
          <w:color w:val="auto"/>
          <w:sz w:val="22"/>
          <w:szCs w:val="22"/>
        </w:rPr>
      </w:r>
    </w:p>
    <w:p>
      <w:pPr>
        <w:pStyle w:val="Normal"/>
        <w:jc w:val="both"/>
        <w:rPr>
          <w:color w:val="auto"/>
          <w:sz w:val="22"/>
          <w:szCs w:val="22"/>
        </w:rPr>
      </w:pPr>
      <w:r>
        <w:rPr>
          <w:color w:val="auto"/>
          <w:sz w:val="22"/>
          <w:szCs w:val="22"/>
        </w:rPr>
        <w:t>D’acord amb l’article 23 del RGLCAP, les empreses estrangeres han de presentar la documentació traduïda de forma oficial al català i/o al castellà.</w:t>
      </w:r>
    </w:p>
    <w:p>
      <w:pPr>
        <w:pStyle w:val="Normal"/>
        <w:jc w:val="both"/>
        <w:rPr>
          <w:rFonts w:ascii="ArialMT;MS Mincho" w:hAnsi="ArialMT;MS Mincho" w:cs="ArialMT;MS Mincho"/>
          <w:strike/>
          <w:color w:val="auto"/>
          <w:sz w:val="22"/>
          <w:szCs w:val="22"/>
          <w:lang w:val="es-ES" w:eastAsia="es-ES"/>
        </w:rPr>
      </w:pPr>
      <w:r>
        <w:rPr>
          <w:rFonts w:cs="ArialMT;MS Mincho" w:ascii="ArialMT;MS Mincho" w:hAnsi="ArialMT;MS Mincho"/>
          <w:strike/>
          <w:color w:val="auto"/>
          <w:sz w:val="22"/>
          <w:szCs w:val="22"/>
          <w:lang w:val="es-ES" w:eastAsia="es-ES"/>
        </w:rPr>
      </w:r>
    </w:p>
    <w:p>
      <w:pPr>
        <w:pStyle w:val="Normal"/>
        <w:jc w:val="both"/>
        <w:rPr>
          <w:rFonts w:ascii="ArialMT;MS Mincho" w:hAnsi="ArialMT;MS Mincho" w:cs="ArialMT;MS Mincho"/>
          <w:sz w:val="22"/>
          <w:szCs w:val="22"/>
          <w:lang w:val="es-ES" w:eastAsia="es-ES"/>
        </w:rPr>
      </w:pPr>
      <w:r>
        <w:rPr>
          <w:rFonts w:cs="ArialMT;MS Mincho" w:ascii="ArialMT;MS Mincho" w:hAnsi="ArialMT;MS Mincho"/>
          <w:sz w:val="22"/>
          <w:szCs w:val="22"/>
          <w:lang w:val="es-ES" w:eastAsia="es-ES"/>
        </w:rPr>
      </w:r>
    </w:p>
    <w:p>
      <w:pPr>
        <w:pStyle w:val="Encapalament7"/>
        <w:widowControl w:val="false"/>
        <w:rPr>
          <w:szCs w:val="22"/>
        </w:rPr>
      </w:pPr>
      <w:r>
        <w:rPr>
          <w:szCs w:val="22"/>
        </w:rPr>
        <w:t xml:space="preserve">VINT-I-SISENA.- Contingut de les ofertes i documentació a presentar </w:t>
      </w:r>
    </w:p>
    <w:p>
      <w:pPr>
        <w:pStyle w:val="Normal"/>
        <w:rPr/>
      </w:pPr>
      <w:r>
        <w:rPr/>
      </w:r>
    </w:p>
    <w:p>
      <w:pPr>
        <w:pStyle w:val="Normal"/>
        <w:jc w:val="both"/>
        <w:rPr>
          <w:color w:val="auto"/>
          <w:sz w:val="22"/>
          <w:szCs w:val="22"/>
        </w:rPr>
      </w:pPr>
      <w:r>
        <w:rPr>
          <w:color w:val="auto"/>
          <w:sz w:val="22"/>
          <w:szCs w:val="22"/>
        </w:rPr>
        <w:t>Cada empresa licitadora només podrà presentar una proposició.</w:t>
      </w:r>
    </w:p>
    <w:p>
      <w:pPr>
        <w:pStyle w:val="Normal"/>
        <w:jc w:val="both"/>
        <w:rPr>
          <w:color w:val="auto"/>
          <w:sz w:val="22"/>
          <w:szCs w:val="22"/>
        </w:rPr>
      </w:pPr>
      <w:r>
        <w:rPr>
          <w:color w:val="auto"/>
          <w:sz w:val="22"/>
          <w:szCs w:val="22"/>
        </w:rPr>
      </w:r>
    </w:p>
    <w:p>
      <w:pPr>
        <w:pStyle w:val="Normal"/>
        <w:jc w:val="both"/>
        <w:rPr>
          <w:color w:val="auto"/>
          <w:sz w:val="22"/>
          <w:szCs w:val="22"/>
        </w:rPr>
      </w:pPr>
      <w:r>
        <w:rPr>
          <w:color w:val="auto"/>
          <w:sz w:val="22"/>
          <w:szCs w:val="22"/>
        </w:rPr>
        <w:t>Per participar en aquesta licitació, hauran de presentar les seves proposicions a través de l’eina de Sobre Digital de la Plataforma de Serveis de Contractació Pública (PSCP-eLicita), complimentant els espais establerts i adjuntant els documents que es demanen.</w:t>
      </w:r>
    </w:p>
    <w:p>
      <w:pPr>
        <w:pStyle w:val="Normal"/>
        <w:jc w:val="both"/>
        <w:rPr>
          <w:color w:val="auto"/>
          <w:sz w:val="22"/>
          <w:szCs w:val="22"/>
        </w:rPr>
      </w:pPr>
      <w:r>
        <w:rPr>
          <w:color w:val="auto"/>
          <w:sz w:val="22"/>
          <w:szCs w:val="22"/>
        </w:rPr>
      </w:r>
    </w:p>
    <w:p>
      <w:pPr>
        <w:pStyle w:val="Normal"/>
        <w:widowControl w:val="false"/>
        <w:jc w:val="both"/>
        <w:rPr>
          <w:color w:val="auto"/>
          <w:sz w:val="22"/>
        </w:rPr>
      </w:pPr>
      <w:r>
        <w:rPr>
          <w:color w:val="auto"/>
          <w:sz w:val="22"/>
        </w:rPr>
        <w:t>Les empreses  licitadores hauran de presentar la documentació següent:</w:t>
      </w:r>
    </w:p>
    <w:p>
      <w:pPr>
        <w:pStyle w:val="Normal"/>
        <w:widowControl w:val="false"/>
        <w:jc w:val="both"/>
        <w:rPr>
          <w:sz w:val="22"/>
        </w:rPr>
      </w:pPr>
      <w:r>
        <w:rPr>
          <w:sz w:val="22"/>
        </w:rPr>
      </w:r>
    </w:p>
    <w:p>
      <w:pPr>
        <w:pStyle w:val="Normal"/>
        <w:widowControl w:val="false"/>
        <w:jc w:val="both"/>
        <w:rPr>
          <w:sz w:val="22"/>
        </w:rPr>
      </w:pPr>
      <w:r>
        <w:rPr>
          <w:sz w:val="22"/>
        </w:rPr>
      </w:r>
    </w:p>
    <w:p>
      <w:pPr>
        <w:pStyle w:val="Normal"/>
        <w:widowControl w:val="false"/>
        <w:numPr>
          <w:ilvl w:val="0"/>
          <w:numId w:val="15"/>
        </w:numPr>
        <w:tabs>
          <w:tab w:val="clear" w:pos="720"/>
          <w:tab w:val="left" w:pos="0" w:leader="none"/>
          <w:tab w:val="left" w:pos="284" w:leader="none"/>
        </w:tabs>
        <w:ind w:left="426" w:hanging="0"/>
        <w:jc w:val="both"/>
        <w:rPr>
          <w:sz w:val="22"/>
        </w:rPr>
      </w:pPr>
      <w:r>
        <w:rPr>
          <w:sz w:val="22"/>
        </w:rPr>
        <w:t>Un primer sobre senyalat amb el núm. 1, que porta per títol</w:t>
      </w:r>
      <w:r>
        <w:rPr>
          <w:b/>
          <w:sz w:val="22"/>
        </w:rPr>
        <w:t xml:space="preserve"> “Sobre núm. Documentació administrativa”,</w:t>
      </w:r>
      <w:r>
        <w:rPr>
          <w:sz w:val="22"/>
        </w:rPr>
        <w:t xml:space="preserve"> en què s'inclourà la documentació general acreditativa de la capacitat de l'empresa acreditativa i/o declaracions responsables de l’empresa oferent,  de conformitat amb el que disposa l’art. 140 de la LCSP. En concret, el següent:</w:t>
      </w:r>
    </w:p>
    <w:p>
      <w:pPr>
        <w:pStyle w:val="Normal"/>
        <w:widowControl w:val="false"/>
        <w:numPr>
          <w:ilvl w:val="1"/>
          <w:numId w:val="15"/>
        </w:numPr>
        <w:tabs>
          <w:tab w:val="clear" w:pos="720"/>
          <w:tab w:val="left" w:pos="0" w:leader="none"/>
          <w:tab w:val="left" w:pos="567" w:leader="none"/>
        </w:tabs>
        <w:spacing w:before="120" w:after="120"/>
        <w:ind w:left="426" w:hanging="0"/>
        <w:jc w:val="both"/>
        <w:rPr/>
      </w:pPr>
      <w:r>
        <w:rPr>
          <w:sz w:val="22"/>
          <w:szCs w:val="22"/>
        </w:rPr>
        <w:t>Document Nacional d'Identitat, quan es tracti d'empreses individuals.</w:t>
      </w:r>
    </w:p>
    <w:p>
      <w:pPr>
        <w:pStyle w:val="Normal"/>
        <w:widowControl w:val="false"/>
        <w:numPr>
          <w:ilvl w:val="1"/>
          <w:numId w:val="15"/>
        </w:numPr>
        <w:tabs>
          <w:tab w:val="clear" w:pos="720"/>
          <w:tab w:val="left" w:pos="0" w:leader="none"/>
          <w:tab w:val="left" w:pos="567" w:leader="none"/>
        </w:tabs>
        <w:spacing w:before="120" w:after="120"/>
        <w:ind w:left="426" w:hanging="0"/>
        <w:jc w:val="both"/>
        <w:rPr/>
      </w:pPr>
      <w:r>
        <w:rPr>
          <w:sz w:val="22"/>
          <w:szCs w:val="22"/>
        </w:rPr>
        <w:t xml:space="preserve">Els estatuts o regles fundacionals, quan es tracti de persones jurídiques. </w:t>
      </w:r>
    </w:p>
    <w:p>
      <w:pPr>
        <w:pStyle w:val="Normal"/>
        <w:widowControl w:val="false"/>
        <w:numPr>
          <w:ilvl w:val="1"/>
          <w:numId w:val="15"/>
        </w:numPr>
        <w:tabs>
          <w:tab w:val="clear" w:pos="720"/>
          <w:tab w:val="left" w:pos="0" w:leader="none"/>
          <w:tab w:val="left" w:pos="567" w:leader="none"/>
        </w:tabs>
        <w:spacing w:before="120" w:after="120"/>
        <w:ind w:left="426" w:hanging="0"/>
        <w:jc w:val="both"/>
        <w:rPr>
          <w:sz w:val="22"/>
          <w:szCs w:val="22"/>
        </w:rPr>
      </w:pPr>
      <w:r>
        <w:rPr>
          <w:sz w:val="22"/>
          <w:szCs w:val="22"/>
        </w:rPr>
        <w:t>Poder notarial suficient per comparèixer i signar proposicions en nom d'altre.</w:t>
      </w:r>
    </w:p>
    <w:p>
      <w:pPr>
        <w:pStyle w:val="Normal"/>
        <w:widowControl w:val="false"/>
        <w:tabs>
          <w:tab w:val="clear" w:pos="720"/>
          <w:tab w:val="left" w:pos="0" w:leader="none"/>
          <w:tab w:val="left" w:pos="993" w:leader="none"/>
        </w:tabs>
        <w:spacing w:before="120" w:after="120"/>
        <w:ind w:left="426" w:hanging="0"/>
        <w:jc w:val="both"/>
        <w:rPr/>
      </w:pPr>
      <w:r>
        <w:rPr>
          <w:sz w:val="22"/>
          <w:szCs w:val="22"/>
        </w:rPr>
        <w:t>La documentació requerida en els punts 1.1 a 1.3. no caldrà ser aportada de nou, en el cas de que en el període dels sis mesos anteriors hagi estat aportada a l’Ajuntament en una altre licitació, llevat que hi hagi hagut canvis en aquesta documentació.</w:t>
      </w:r>
    </w:p>
    <w:p>
      <w:pPr>
        <w:pStyle w:val="Normal"/>
        <w:widowControl w:val="false"/>
        <w:numPr>
          <w:ilvl w:val="1"/>
          <w:numId w:val="15"/>
        </w:numPr>
        <w:tabs>
          <w:tab w:val="clear" w:pos="720"/>
          <w:tab w:val="left" w:pos="0" w:leader="none"/>
          <w:tab w:val="left" w:pos="567" w:leader="none"/>
        </w:tabs>
        <w:spacing w:before="120" w:after="120"/>
        <w:ind w:left="426" w:hanging="0"/>
        <w:jc w:val="both"/>
        <w:rPr>
          <w:sz w:val="22"/>
          <w:szCs w:val="22"/>
        </w:rPr>
      </w:pPr>
      <w:r>
        <w:rPr>
          <w:sz w:val="22"/>
          <w:szCs w:val="22"/>
        </w:rPr>
        <w:t>Els documents acreditatius de la solvència econòmica i financera i tècnica o professional, i, si és el cas, classificació, en el grup, subgrup i categoria assenyalats en aquest plec.</w:t>
      </w:r>
    </w:p>
    <w:p>
      <w:pPr>
        <w:pStyle w:val="Normal"/>
        <w:widowControl w:val="false"/>
        <w:numPr>
          <w:ilvl w:val="1"/>
          <w:numId w:val="15"/>
        </w:numPr>
        <w:tabs>
          <w:tab w:val="clear" w:pos="720"/>
          <w:tab w:val="left" w:pos="0" w:leader="none"/>
          <w:tab w:val="left" w:pos="567" w:leader="none"/>
        </w:tabs>
        <w:spacing w:before="120" w:after="120"/>
        <w:ind w:left="426" w:hanging="0"/>
        <w:jc w:val="both"/>
        <w:rPr>
          <w:shd w:fill="auto" w:val="clear"/>
        </w:rPr>
      </w:pPr>
      <w:r>
        <w:rPr>
          <w:sz w:val="22"/>
          <w:szCs w:val="22"/>
          <w:shd w:fill="auto" w:val="clear"/>
        </w:rPr>
        <w:t xml:space="preserve">Declaració responsable </w:t>
      </w:r>
      <w:r>
        <w:rPr>
          <w:color w:val="000000"/>
          <w:sz w:val="22"/>
          <w:szCs w:val="22"/>
          <w:shd w:fill="auto" w:val="clear"/>
        </w:rPr>
        <w:t xml:space="preserve">indicant que acompleix les condicions </w:t>
      </w:r>
      <w:r>
        <w:rPr>
          <w:color w:val="000000"/>
          <w:sz w:val="22"/>
          <w:shd w:fill="auto" w:val="clear"/>
        </w:rPr>
        <w:t>establertes legalment per tal de poder contractar amb l’Administració, d’acord amb l’article 140 de la LCSP, i</w:t>
      </w:r>
      <w:r>
        <w:rPr>
          <w:sz w:val="22"/>
          <w:shd w:fill="auto" w:val="clear"/>
        </w:rPr>
        <w:t xml:space="preserve"> </w:t>
      </w:r>
      <w:r>
        <w:rPr>
          <w:sz w:val="22"/>
          <w:szCs w:val="22"/>
          <w:shd w:fill="auto" w:val="clear"/>
        </w:rPr>
        <w:t xml:space="preserve">de no estar incurs en cap de les circumstàncies de prohibició de contractar amb l'Administració Pública (annex 2), previstes en l'art. 71 de la LCSP. Aquesta declaració ha d’incloure la manifestació d’estar al corrent del compliment de les obligacions tributàries i amb la Seguretat Social. La justificació acreditativa d’aquest requisit l’haurà de presentar l’empresa adjudicatària abans de l’adjudicació. </w:t>
      </w:r>
    </w:p>
    <w:p>
      <w:pPr>
        <w:pStyle w:val="Normal"/>
        <w:widowControl w:val="false"/>
        <w:tabs>
          <w:tab w:val="clear" w:pos="720"/>
          <w:tab w:val="left" w:pos="0" w:leader="none"/>
        </w:tabs>
        <w:spacing w:before="120" w:after="120"/>
        <w:ind w:left="426" w:hanging="0"/>
        <w:jc w:val="both"/>
        <w:rPr>
          <w:color w:val="000000"/>
          <w:sz w:val="22"/>
          <w:szCs w:val="22"/>
          <w:lang w:val="es-ES"/>
        </w:rPr>
      </w:pPr>
      <w:r>
        <w:rPr>
          <w:color w:val="000000"/>
          <w:sz w:val="22"/>
          <w:szCs w:val="22"/>
        </w:rPr>
        <w:t>L’empresa licitadora que hagi manifestat que té relacions legals amb paradisos fiscals haurà de presentar en aquest mateix sobre la documentació descriptiva dels moviments financers concrets i tota la informació relativa a aquestes actuacions. Es donarà publicitat en el perfil de contractant municipal de què l’empresa ha declarat tenir relacions amb paradisos fiscals</w:t>
      </w:r>
      <w:r>
        <w:rPr>
          <w:color w:val="000000"/>
          <w:sz w:val="22"/>
          <w:szCs w:val="22"/>
          <w:lang w:val="es-ES"/>
        </w:rPr>
        <w:t>.</w:t>
      </w:r>
    </w:p>
    <w:p>
      <w:pPr>
        <w:pStyle w:val="Normal"/>
        <w:widowControl w:val="false"/>
        <w:tabs>
          <w:tab w:val="clear" w:pos="720"/>
          <w:tab w:val="left" w:pos="0" w:leader="none"/>
        </w:tabs>
        <w:spacing w:before="120" w:after="120"/>
        <w:ind w:left="426" w:hanging="0"/>
        <w:jc w:val="both"/>
        <w:rPr>
          <w:shd w:fill="auto" w:val="clear"/>
        </w:rPr>
      </w:pPr>
      <w:r>
        <w:rPr>
          <w:color w:val="000000"/>
          <w:sz w:val="22"/>
          <w:szCs w:val="22"/>
          <w:shd w:fill="auto" w:val="clear"/>
        </w:rPr>
        <w:t xml:space="preserve">Aquesta declaració responsable </w:t>
      </w:r>
      <w:r>
        <w:rPr>
          <w:sz w:val="22"/>
          <w:szCs w:val="22"/>
          <w:shd w:fill="auto" w:val="clear"/>
        </w:rPr>
        <w:t>(annex 2)</w:t>
      </w:r>
      <w:r>
        <w:rPr>
          <w:color w:val="000000"/>
          <w:sz w:val="22"/>
          <w:szCs w:val="22"/>
          <w:shd w:fill="auto" w:val="clear"/>
        </w:rPr>
        <w:t xml:space="preserve"> s’haurà d’aportar tot i que l’empresa presenti el </w:t>
      </w:r>
      <w:r>
        <w:rPr>
          <w:bCs/>
          <w:color w:val="000000"/>
          <w:sz w:val="22"/>
          <w:szCs w:val="22"/>
          <w:shd w:fill="auto" w:val="clear"/>
        </w:rPr>
        <w:t>Document Europeu Únic de Contractació (DEUC).</w:t>
      </w:r>
    </w:p>
    <w:p>
      <w:pPr>
        <w:pStyle w:val="Normal"/>
        <w:widowControl w:val="false"/>
        <w:numPr>
          <w:ilvl w:val="1"/>
          <w:numId w:val="15"/>
        </w:numPr>
        <w:tabs>
          <w:tab w:val="clear" w:pos="720"/>
          <w:tab w:val="left" w:pos="0" w:leader="none"/>
          <w:tab w:val="left" w:pos="567" w:leader="none"/>
        </w:tabs>
        <w:spacing w:before="120" w:after="120"/>
        <w:jc w:val="both"/>
        <w:rPr>
          <w:shd w:fill="auto" w:val="clear"/>
        </w:rPr>
      </w:pPr>
      <w:r>
        <w:rPr>
          <w:color w:val="000000"/>
          <w:sz w:val="22"/>
          <w:szCs w:val="22"/>
          <w:shd w:fill="auto" w:val="clear"/>
        </w:rPr>
        <w:t>Formulari normalitzat Document Europeu Únic de Contractació (DEUC) (annex 3).</w:t>
      </w:r>
    </w:p>
    <w:p>
      <w:pPr>
        <w:pStyle w:val="Normal"/>
        <w:widowControl w:val="false"/>
        <w:tabs>
          <w:tab w:val="clear" w:pos="720"/>
          <w:tab w:val="left" w:pos="0" w:leader="none"/>
        </w:tabs>
        <w:spacing w:before="120" w:after="120"/>
        <w:ind w:left="426" w:hanging="0"/>
        <w:jc w:val="both"/>
        <w:rPr>
          <w:color w:val="000000"/>
          <w:sz w:val="22"/>
          <w:szCs w:val="22"/>
        </w:rPr>
      </w:pPr>
      <w:r>
        <w:rPr>
          <w:color w:val="000000"/>
          <w:sz w:val="22"/>
          <w:szCs w:val="22"/>
        </w:rPr>
        <w:t xml:space="preserve">Aquest  Document Europeu Únic de Contractació (DEUC) s’haurà d’aportar tot i que es presenti la declaració responsable ( punt I.5). </w:t>
      </w:r>
    </w:p>
    <w:p>
      <w:pPr>
        <w:pStyle w:val="Default"/>
        <w:tabs>
          <w:tab w:val="clear" w:pos="720"/>
          <w:tab w:val="left" w:pos="0" w:leader="none"/>
        </w:tabs>
        <w:spacing w:before="120" w:after="120"/>
        <w:ind w:left="426" w:hanging="0"/>
        <w:jc w:val="both"/>
        <w:rPr/>
      </w:pPr>
      <w:r>
        <w:rPr>
          <w:rStyle w:val="Valorcamps"/>
          <w:sz w:val="22"/>
          <w:szCs w:val="22"/>
          <w:lang w:val="ca-ES"/>
        </w:rPr>
        <w:t xml:space="preserve">Podeu consultar la informació relativa al formulari normalitzat del DEUC, segons l’article 59 de la directiva 24/2014/UE del Parlament europeu i del Consell a través del següent enllaç: </w:t>
      </w:r>
    </w:p>
    <w:p>
      <w:pPr>
        <w:pStyle w:val="Default"/>
        <w:tabs>
          <w:tab w:val="clear" w:pos="720"/>
          <w:tab w:val="left" w:pos="0" w:leader="none"/>
        </w:tabs>
        <w:spacing w:before="120" w:after="120"/>
        <w:ind w:left="426" w:hanging="0"/>
        <w:jc w:val="both"/>
        <w:rPr>
          <w:rStyle w:val="Valorcamps"/>
          <w:sz w:val="22"/>
          <w:szCs w:val="22"/>
          <w:lang w:val="ca-ES"/>
        </w:rPr>
      </w:pPr>
      <w:hyperlink r:id="rId11">
        <w:r>
          <w:rPr>
            <w:rStyle w:val="EnlladInternet"/>
            <w:rFonts w:cs="Times New Roman"/>
            <w:sz w:val="22"/>
            <w:szCs w:val="22"/>
          </w:rPr>
          <w:t>http://eur-lex.europa.eu/legal-content/ES/TXT/?uri=uriserv:OJ.L_.2016.003.01.0016.01.SPA&amp;toc=OJ:L:2016:003:TOC</w:t>
        </w:r>
      </w:hyperlink>
      <w:r>
        <w:rPr>
          <w:rStyle w:val="Valorcamps"/>
          <w:sz w:val="22"/>
          <w:szCs w:val="22"/>
          <w:lang w:val="ca-ES"/>
        </w:rPr>
        <w:t xml:space="preserve">  </w:t>
      </w:r>
    </w:p>
    <w:p>
      <w:pPr>
        <w:pStyle w:val="Default"/>
        <w:tabs>
          <w:tab w:val="clear" w:pos="720"/>
          <w:tab w:val="left" w:pos="0" w:leader="none"/>
        </w:tabs>
        <w:spacing w:before="120" w:after="120"/>
        <w:ind w:left="426" w:hanging="0"/>
        <w:jc w:val="both"/>
        <w:rPr/>
      </w:pPr>
      <w:r>
        <w:rPr>
          <w:rStyle w:val="Valorcamps"/>
          <w:sz w:val="22"/>
          <w:szCs w:val="22"/>
          <w:shd w:fill="auto" w:val="clear"/>
          <w:lang w:val="ca-ES"/>
        </w:rPr>
        <w:t xml:space="preserve">Les empreses que optin per la presentació d’aquesta declaració poden descarregar l’arxiu “xlm” que s’adjuntarà i obrir-lo i complimentar-lo a través de </w:t>
      </w:r>
      <w:r>
        <w:rPr>
          <w:rStyle w:val="Valorcamps"/>
          <w:sz w:val="22"/>
          <w:szCs w:val="22"/>
          <w:shd w:fill="auto" w:val="clear"/>
          <w:lang w:val="af-ZA"/>
        </w:rPr>
        <w:t>l’aplicatiu</w:t>
      </w:r>
      <w:r>
        <w:rPr>
          <w:rStyle w:val="Valorcamps"/>
          <w:sz w:val="22"/>
          <w:szCs w:val="22"/>
          <w:shd w:fill="auto" w:val="clear"/>
          <w:lang w:val="ca-ES"/>
        </w:rPr>
        <w:t xml:space="preserve"> que es troba al següent enllaç: </w:t>
      </w:r>
      <w:r>
        <w:rPr>
          <w:rStyle w:val="EnlacedeInternet"/>
          <w:rFonts w:cs="Times New Roman"/>
          <w:sz w:val="22"/>
          <w:shd w:fill="auto" w:val="clear"/>
        </w:rPr>
        <w:t>https://visor.registrodelicitadores.gob.es/espd-web/filter?lang=es</w:t>
      </w:r>
      <w:r>
        <w:rPr>
          <w:sz w:val="22"/>
          <w:shd w:fill="auto" w:val="clear"/>
        </w:rPr>
        <w:t xml:space="preserve"> .</w:t>
      </w:r>
      <w:r>
        <w:rPr>
          <w:rStyle w:val="Valorcamps"/>
          <w:sz w:val="22"/>
          <w:szCs w:val="22"/>
          <w:shd w:fill="auto" w:val="clear"/>
          <w:lang w:val="ca-ES"/>
        </w:rPr>
        <w:t xml:space="preserve">  Aquest formulari en línia s’haurà d’omplir, imprimir i signar pel representant de l’empresa i incloure’l al sobre 1</w:t>
      </w:r>
      <w:r>
        <w:rPr>
          <w:shd w:fill="auto" w:val="clear"/>
        </w:rPr>
        <w:t>.</w:t>
      </w:r>
    </w:p>
    <w:p>
      <w:pPr>
        <w:pStyle w:val="Normal"/>
        <w:widowControl w:val="false"/>
        <w:numPr>
          <w:ilvl w:val="1"/>
          <w:numId w:val="15"/>
        </w:numPr>
        <w:tabs>
          <w:tab w:val="clear" w:pos="720"/>
          <w:tab w:val="left" w:pos="0" w:leader="none"/>
          <w:tab w:val="left" w:pos="567" w:leader="none"/>
        </w:tabs>
        <w:spacing w:before="120" w:after="120"/>
        <w:ind w:left="426" w:hanging="0"/>
        <w:jc w:val="both"/>
        <w:rPr>
          <w:color w:val="auto"/>
          <w:sz w:val="22"/>
          <w:szCs w:val="22"/>
        </w:rPr>
      </w:pPr>
      <w:r>
        <w:rPr>
          <w:color w:val="auto"/>
          <w:sz w:val="22"/>
          <w:szCs w:val="22"/>
        </w:rPr>
        <w:t>Quan els licitadors concorrin mitjançant UTE (Unió Temporal d’Empreses), aportaran un document que podrà ser privat en el que, pel cas de resultar adjudicataris, es comprometin a constituir-la. Aquest document haurà d’anar signat pel representant de cadascuna de les empreses i en ell s’indicarà la persona designada com a representant de la UTE davant l’Administració, així com la participació que a cadascun d’ells li correspongui en la UTE. Igualment, hauran de presentar una  memòria indicant els mitjans concrets que cadascuna de les empreses té previst destinar a l’execució del contracte i justificar les raons econòmiques, empresarials o d’especialització tècnica o tecnològica de la constitució de la UTE, en el moment d’acreditar la capacitat i solvència.</w:t>
      </w:r>
    </w:p>
    <w:p>
      <w:pPr>
        <w:pStyle w:val="Normal"/>
        <w:widowControl w:val="false"/>
        <w:numPr>
          <w:ilvl w:val="1"/>
          <w:numId w:val="15"/>
        </w:numPr>
        <w:tabs>
          <w:tab w:val="clear" w:pos="720"/>
          <w:tab w:val="left" w:pos="0" w:leader="none"/>
          <w:tab w:val="left" w:pos="567" w:leader="none"/>
        </w:tabs>
        <w:spacing w:before="120" w:after="120"/>
        <w:ind w:left="426" w:hanging="0"/>
        <w:jc w:val="both"/>
        <w:rPr>
          <w:color w:val="auto"/>
        </w:rPr>
      </w:pPr>
      <w:r>
        <w:rPr>
          <w:sz w:val="22"/>
          <w:szCs w:val="22"/>
        </w:rPr>
        <w:t>Declaració d’acceptació dels mitjans electrònics de comunicac</w:t>
      </w:r>
      <w:r>
        <w:rPr>
          <w:sz w:val="22"/>
          <w:szCs w:val="22"/>
          <w:shd w:fill="auto" w:val="clear"/>
        </w:rPr>
        <w:t xml:space="preserve">ió (annex </w:t>
      </w:r>
      <w:r>
        <w:rPr>
          <w:color w:val="000000"/>
          <w:sz w:val="22"/>
          <w:szCs w:val="22"/>
          <w:shd w:fill="auto" w:val="clear"/>
        </w:rPr>
        <w:t>4).</w:t>
      </w:r>
    </w:p>
    <w:p>
      <w:pPr>
        <w:pStyle w:val="Normal"/>
        <w:widowControl w:val="false"/>
        <w:numPr>
          <w:ilvl w:val="1"/>
          <w:numId w:val="15"/>
        </w:numPr>
        <w:tabs>
          <w:tab w:val="clear" w:pos="720"/>
          <w:tab w:val="left" w:pos="0" w:leader="none"/>
          <w:tab w:val="left" w:pos="567" w:leader="none"/>
        </w:tabs>
        <w:spacing w:before="120" w:after="120"/>
        <w:ind w:left="426" w:hanging="0"/>
        <w:jc w:val="both"/>
        <w:rPr/>
      </w:pPr>
      <w:r>
        <w:rPr>
          <w:sz w:val="22"/>
          <w:szCs w:val="22"/>
          <w:shd w:fill="auto" w:val="clear"/>
        </w:rPr>
        <w:t>Quan es presentin diferents proposicions per societats en les que concorrin al</w:t>
      </w:r>
      <w:r>
        <w:rPr>
          <w:sz w:val="22"/>
          <w:szCs w:val="22"/>
        </w:rPr>
        <w:t>guns dels supòsits establerts a l’article 42.1 del Codi de Comerç respecte als socis que les integren s’haurà de presentar declaració específica al respecte.</w:t>
      </w:r>
    </w:p>
    <w:p>
      <w:pPr>
        <w:pStyle w:val="Normal"/>
        <w:widowControl w:val="false"/>
        <w:numPr>
          <w:ilvl w:val="1"/>
          <w:numId w:val="15"/>
        </w:numPr>
        <w:tabs>
          <w:tab w:val="clear" w:pos="720"/>
          <w:tab w:val="left" w:pos="0" w:leader="none"/>
          <w:tab w:val="left" w:pos="567" w:leader="none"/>
        </w:tabs>
        <w:spacing w:before="120" w:after="120"/>
        <w:ind w:left="426" w:hanging="0"/>
        <w:jc w:val="both"/>
        <w:rPr>
          <w:shd w:fill="auto" w:val="clear"/>
        </w:rPr>
      </w:pPr>
      <w:r>
        <w:rPr>
          <w:color w:val="000000"/>
          <w:sz w:val="22"/>
          <w:szCs w:val="22"/>
          <w:shd w:fill="auto" w:val="clear"/>
        </w:rPr>
        <w:t xml:space="preserve">Declaració de l’empresa de comprometre’s a adscriure a l’execució del contracte determinats mitjans materials i/o personals, quan així es requereixi (Declaració recollida a l’annex 2) </w:t>
      </w:r>
    </w:p>
    <w:p>
      <w:pPr>
        <w:pStyle w:val="Normal"/>
        <w:widowControl w:val="false"/>
        <w:numPr>
          <w:ilvl w:val="1"/>
          <w:numId w:val="15"/>
        </w:numPr>
        <w:tabs>
          <w:tab w:val="clear" w:pos="720"/>
          <w:tab w:val="left" w:pos="0" w:leader="none"/>
          <w:tab w:val="left" w:pos="567" w:leader="none"/>
        </w:tabs>
        <w:spacing w:before="120" w:after="120"/>
        <w:ind w:left="426" w:hanging="0"/>
        <w:jc w:val="both"/>
        <w:rPr>
          <w:shd w:fill="auto" w:val="clear"/>
        </w:rPr>
      </w:pPr>
      <w:r>
        <w:rPr>
          <w:sz w:val="22"/>
          <w:szCs w:val="22"/>
          <w:shd w:fill="auto" w:val="clear"/>
        </w:rPr>
        <w:t xml:space="preserve">(Quan siguin empreses estrangeres) Declaració de submissió als jutjats i tribunals espanyols de qualsevol ordre per a totes les incidències que pugin sorgir del contracte, amb renuncia expressa al seu fur propi </w:t>
      </w:r>
      <w:r>
        <w:rPr>
          <w:color w:val="000000"/>
          <w:sz w:val="22"/>
          <w:szCs w:val="22"/>
          <w:shd w:fill="auto" w:val="clear"/>
        </w:rPr>
        <w:t xml:space="preserve">(Declaració recollida a l’annex 2) </w:t>
      </w:r>
    </w:p>
    <w:p>
      <w:pPr>
        <w:pStyle w:val="Normal"/>
        <w:widowControl w:val="false"/>
        <w:tabs>
          <w:tab w:val="clear" w:pos="720"/>
          <w:tab w:val="left" w:pos="567" w:leader="none"/>
        </w:tabs>
        <w:jc w:val="both"/>
        <w:rPr>
          <w:sz w:val="22"/>
          <w:szCs w:val="22"/>
        </w:rPr>
      </w:pPr>
      <w:r>
        <w:rPr>
          <w:sz w:val="22"/>
          <w:szCs w:val="22"/>
        </w:rPr>
        <w:t>La inscripció en el Registre Oficial de Licitadors i Empreses Classificades l’Estat (ROLECE) o en el Registre Electrònic de Licitadors (RELI) acredita les condicions d’aptitud de l’empresari quant a la seva personalitat i capacitat d’obrar, representació, habilitació professional o empresarial, solvència econòmica i financera i classificació, així com la concurrència o no concurrència de les prohibicions de contractar que hi hagin de constar.</w:t>
      </w:r>
    </w:p>
    <w:p>
      <w:pPr>
        <w:pStyle w:val="Normal"/>
        <w:widowControl w:val="false"/>
        <w:tabs>
          <w:tab w:val="clear" w:pos="720"/>
          <w:tab w:val="left" w:pos="567" w:leader="none"/>
        </w:tabs>
        <w:jc w:val="both"/>
        <w:rPr>
          <w:strike/>
          <w:sz w:val="22"/>
          <w:szCs w:val="22"/>
          <w:lang w:val="es-ES"/>
        </w:rPr>
      </w:pPr>
      <w:r>
        <w:rPr>
          <w:strike/>
          <w:sz w:val="22"/>
          <w:szCs w:val="22"/>
          <w:lang w:val="es-ES"/>
        </w:rPr>
      </w:r>
    </w:p>
    <w:p>
      <w:pPr>
        <w:pStyle w:val="Normal"/>
        <w:widowControl w:val="false"/>
        <w:tabs>
          <w:tab w:val="clear" w:pos="720"/>
          <w:tab w:val="left" w:pos="567" w:leader="none"/>
        </w:tabs>
        <w:jc w:val="both"/>
        <w:rPr>
          <w:shd w:fill="auto" w:val="clear"/>
        </w:rPr>
      </w:pPr>
      <w:r>
        <w:rPr>
          <w:bCs/>
          <w:sz w:val="22"/>
          <w:szCs w:val="22"/>
          <w:shd w:fill="auto" w:val="clear"/>
        </w:rPr>
        <w:t>L’aportació inicial de la documentació anterior (punts I.1. a I.4) es substituirà per la declaració responsable de l’empresa licitadora (punt I.5) indicant que compleix les condicions d’aptitud i solvència establertes legalment per contractar amb l’Administració (annex 2)</w:t>
      </w:r>
      <w:r>
        <w:rPr>
          <w:sz w:val="22"/>
          <w:szCs w:val="22"/>
          <w:shd w:fill="auto" w:val="clear"/>
        </w:rPr>
        <w:t>. L’empresa licitadora a favor de la qual recaigui la proposta d’adjudicació haurà d’acreditar davant l’òrgan de contractació, prèviament a l’adjudicació del contracte, la possessió i validesa dels documents exigits</w:t>
      </w:r>
      <w:r>
        <w:rPr>
          <w:sz w:val="22"/>
          <w:szCs w:val="22"/>
          <w:shd w:fill="auto" w:val="clear"/>
          <w:lang w:val="es-ES"/>
        </w:rPr>
        <w:t>.</w:t>
      </w:r>
    </w:p>
    <w:p>
      <w:pPr>
        <w:pStyle w:val="Default"/>
        <w:rPr>
          <w:bCs/>
          <w:sz w:val="22"/>
          <w:szCs w:val="22"/>
          <w:lang w:val="ca-ES"/>
        </w:rPr>
      </w:pPr>
      <w:r>
        <w:rPr>
          <w:bCs/>
          <w:sz w:val="22"/>
          <w:szCs w:val="22"/>
          <w:lang w:val="ca-ES"/>
        </w:rPr>
      </w:r>
    </w:p>
    <w:p>
      <w:pPr>
        <w:pStyle w:val="Normal"/>
        <w:widowControl w:val="false"/>
        <w:jc w:val="both"/>
        <w:rPr>
          <w:b/>
          <w:b/>
          <w:bCs/>
          <w:shd w:fill="auto" w:val="clear"/>
        </w:rPr>
      </w:pPr>
      <w:r>
        <w:rPr>
          <w:b/>
          <w:bCs/>
          <w:sz w:val="22"/>
          <w:shd w:fill="auto" w:val="clear"/>
        </w:rPr>
        <w:t>La introducció en el sobre 1 de dades corresponents als criteris avaluables de forma automàtica (sobre 2)</w:t>
      </w:r>
      <w:r>
        <w:rPr>
          <w:b/>
          <w:bCs/>
          <w:sz w:val="22"/>
          <w:szCs w:val="22"/>
          <w:shd w:fill="auto" w:val="clear"/>
        </w:rPr>
        <w:t xml:space="preserve">, </w:t>
      </w:r>
      <w:r>
        <w:rPr>
          <w:b/>
          <w:bCs/>
          <w:sz w:val="22"/>
          <w:shd w:fill="auto" w:val="clear"/>
        </w:rPr>
        <w:t xml:space="preserve">de conformitat amb el que preveu el Decret 817/2009, de 8 de maig, pel qual es desenvolupa parcialment la Llei 30/2007, de 30 d’octubre, de contractes del sector públic, comportarà l’exclusió automàtica de l’empresa licitadora. </w:t>
      </w:r>
    </w:p>
    <w:p>
      <w:pPr>
        <w:pStyle w:val="Normal"/>
        <w:widowControl w:val="false"/>
        <w:jc w:val="both"/>
        <w:rPr>
          <w:sz w:val="22"/>
        </w:rPr>
      </w:pPr>
      <w:r>
        <w:rPr>
          <w:sz w:val="22"/>
        </w:rPr>
      </w:r>
    </w:p>
    <w:p>
      <w:pPr>
        <w:pStyle w:val="Normal"/>
        <w:widowControl w:val="false"/>
        <w:numPr>
          <w:ilvl w:val="0"/>
          <w:numId w:val="15"/>
        </w:numPr>
        <w:tabs>
          <w:tab w:val="clear" w:pos="720"/>
          <w:tab w:val="left" w:pos="284" w:leader="none"/>
        </w:tabs>
        <w:spacing w:before="120" w:after="120"/>
        <w:ind w:left="0" w:hanging="0"/>
        <w:jc w:val="both"/>
        <w:rPr>
          <w:shd w:fill="auto" w:val="clear"/>
        </w:rPr>
      </w:pPr>
      <w:r>
        <w:rPr>
          <w:sz w:val="22"/>
          <w:shd w:fill="auto" w:val="clear"/>
        </w:rPr>
        <w:t>Un segon sobre (senyalat amb el núm. 2) amb tota la documentació corresponent als criteris d’adjudicació quantificables mitjançant la mera aplicació de fórmules (Clàusula 15.1), segons el model que figura en l’annex 1 d’aquest plec</w:t>
      </w:r>
    </w:p>
    <w:p>
      <w:pPr>
        <w:pStyle w:val="Normal"/>
        <w:widowControl w:val="false"/>
        <w:numPr>
          <w:ilvl w:val="1"/>
          <w:numId w:val="15"/>
        </w:numPr>
        <w:tabs>
          <w:tab w:val="clear" w:pos="720"/>
          <w:tab w:val="left" w:pos="284" w:leader="none"/>
          <w:tab w:val="left" w:pos="426" w:leader="none"/>
        </w:tabs>
        <w:spacing w:before="120" w:after="120"/>
        <w:jc w:val="both"/>
        <w:rPr>
          <w:color w:val="000000"/>
          <w:sz w:val="22"/>
          <w:szCs w:val="22"/>
        </w:rPr>
      </w:pPr>
      <w:r>
        <w:rPr>
          <w:color w:val="000000"/>
          <w:sz w:val="22"/>
          <w:szCs w:val="22"/>
        </w:rPr>
        <w:t>Incorporació d'aliments de producció ecològica, de proximitat i d'empresa d'economia social en l'elaboració del menú</w:t>
      </w:r>
    </w:p>
    <w:p>
      <w:pPr>
        <w:pStyle w:val="Normal"/>
        <w:widowControl w:val="false"/>
        <w:numPr>
          <w:ilvl w:val="2"/>
          <w:numId w:val="15"/>
        </w:numPr>
        <w:tabs>
          <w:tab w:val="clear" w:pos="720"/>
          <w:tab w:val="left" w:pos="284" w:leader="none"/>
          <w:tab w:val="left" w:pos="426" w:leader="none"/>
        </w:tabs>
        <w:spacing w:before="120" w:after="120"/>
        <w:jc w:val="both"/>
        <w:rPr>
          <w:color w:val="000000"/>
          <w:sz w:val="22"/>
          <w:szCs w:val="22"/>
        </w:rPr>
      </w:pPr>
      <w:r>
        <w:rPr>
          <w:color w:val="000000"/>
          <w:sz w:val="22"/>
          <w:szCs w:val="22"/>
        </w:rPr>
        <w:t xml:space="preserve">Producte ecològic </w:t>
      </w:r>
    </w:p>
    <w:p>
      <w:pPr>
        <w:pStyle w:val="Normal"/>
        <w:widowControl w:val="false"/>
        <w:numPr>
          <w:ilvl w:val="2"/>
          <w:numId w:val="15"/>
        </w:numPr>
        <w:tabs>
          <w:tab w:val="clear" w:pos="720"/>
          <w:tab w:val="left" w:pos="284" w:leader="none"/>
          <w:tab w:val="left" w:pos="426" w:leader="none"/>
        </w:tabs>
        <w:spacing w:before="120" w:after="120"/>
        <w:jc w:val="both"/>
        <w:rPr>
          <w:color w:val="000000"/>
          <w:sz w:val="22"/>
          <w:szCs w:val="22"/>
        </w:rPr>
      </w:pPr>
      <w:r>
        <w:rPr>
          <w:color w:val="000000"/>
          <w:sz w:val="22"/>
          <w:szCs w:val="22"/>
        </w:rPr>
        <w:t xml:space="preserve">Productede proximitat </w:t>
        <w:tab/>
      </w:r>
    </w:p>
    <w:p>
      <w:pPr>
        <w:pStyle w:val="Normal"/>
        <w:widowControl w:val="false"/>
        <w:numPr>
          <w:ilvl w:val="2"/>
          <w:numId w:val="15"/>
        </w:numPr>
        <w:tabs>
          <w:tab w:val="clear" w:pos="720"/>
          <w:tab w:val="left" w:pos="284" w:leader="none"/>
          <w:tab w:val="left" w:pos="426" w:leader="none"/>
        </w:tabs>
        <w:spacing w:before="120" w:after="120"/>
        <w:jc w:val="both"/>
        <w:rPr>
          <w:color w:val="000000"/>
          <w:sz w:val="22"/>
          <w:szCs w:val="22"/>
        </w:rPr>
      </w:pPr>
      <w:r>
        <w:rPr>
          <w:color w:val="000000"/>
          <w:sz w:val="22"/>
          <w:szCs w:val="22"/>
        </w:rPr>
        <w:t>Producte d’economia social</w:t>
      </w:r>
    </w:p>
    <w:p>
      <w:pPr>
        <w:pStyle w:val="Normal"/>
        <w:widowControl w:val="false"/>
        <w:numPr>
          <w:ilvl w:val="1"/>
          <w:numId w:val="15"/>
        </w:numPr>
        <w:tabs>
          <w:tab w:val="clear" w:pos="720"/>
          <w:tab w:val="left" w:pos="284" w:leader="none"/>
          <w:tab w:val="left" w:pos="426" w:leader="none"/>
        </w:tabs>
        <w:spacing w:before="120" w:after="120"/>
        <w:jc w:val="both"/>
        <w:rPr>
          <w:color w:val="000000"/>
          <w:sz w:val="22"/>
          <w:szCs w:val="22"/>
        </w:rPr>
      </w:pPr>
      <w:r>
        <w:rPr>
          <w:color w:val="000000"/>
          <w:sz w:val="22"/>
          <w:szCs w:val="22"/>
        </w:rPr>
        <w:t>Preu</w:t>
        <w:tab/>
      </w:r>
    </w:p>
    <w:p>
      <w:pPr>
        <w:pStyle w:val="Normal"/>
        <w:widowControl w:val="false"/>
        <w:numPr>
          <w:ilvl w:val="1"/>
          <w:numId w:val="15"/>
        </w:numPr>
        <w:tabs>
          <w:tab w:val="clear" w:pos="720"/>
          <w:tab w:val="left" w:pos="284" w:leader="none"/>
          <w:tab w:val="left" w:pos="426" w:leader="none"/>
        </w:tabs>
        <w:spacing w:before="120" w:after="120"/>
        <w:jc w:val="both"/>
        <w:rPr>
          <w:color w:val="000000"/>
          <w:sz w:val="22"/>
          <w:szCs w:val="22"/>
        </w:rPr>
      </w:pPr>
      <w:r>
        <w:rPr>
          <w:color w:val="000000"/>
          <w:sz w:val="22"/>
          <w:szCs w:val="22"/>
        </w:rPr>
        <w:t>Formació del personal</w:t>
        <w:tab/>
      </w:r>
    </w:p>
    <w:p>
      <w:pPr>
        <w:pStyle w:val="Normal"/>
        <w:widowControl w:val="false"/>
        <w:numPr>
          <w:ilvl w:val="1"/>
          <w:numId w:val="15"/>
        </w:numPr>
        <w:tabs>
          <w:tab w:val="clear" w:pos="720"/>
          <w:tab w:val="left" w:pos="284" w:leader="none"/>
          <w:tab w:val="left" w:pos="426" w:leader="none"/>
        </w:tabs>
        <w:spacing w:before="120" w:after="120"/>
        <w:jc w:val="both"/>
        <w:rPr>
          <w:color w:val="000000"/>
          <w:sz w:val="22"/>
          <w:szCs w:val="22"/>
        </w:rPr>
      </w:pPr>
      <w:r>
        <w:rPr>
          <w:color w:val="000000"/>
          <w:sz w:val="22"/>
          <w:szCs w:val="22"/>
        </w:rPr>
        <w:t>Alumnes en pràctiques</w:t>
        <w:tab/>
      </w:r>
    </w:p>
    <w:p>
      <w:pPr>
        <w:pStyle w:val="Normal"/>
        <w:widowControl w:val="false"/>
        <w:tabs>
          <w:tab w:val="clear" w:pos="720"/>
          <w:tab w:val="left" w:pos="284" w:leader="none"/>
          <w:tab w:val="left" w:pos="426" w:leader="none"/>
        </w:tabs>
        <w:spacing w:before="120" w:after="120"/>
        <w:jc w:val="both"/>
        <w:rPr>
          <w:b/>
          <w:b/>
          <w:bCs/>
          <w:shd w:fill="auto" w:val="clear"/>
        </w:rPr>
      </w:pPr>
      <w:r>
        <w:rPr>
          <w:b/>
          <w:bCs/>
          <w:color w:val="000000"/>
          <w:sz w:val="22"/>
          <w:shd w:fill="auto" w:val="clear"/>
        </w:rPr>
        <w:t xml:space="preserve">Les empreses licitadores inclouran en les seves ofertes la documentació acreditativa corresponent a cada criteri de valoració. </w:t>
      </w:r>
    </w:p>
    <w:p>
      <w:pPr>
        <w:pStyle w:val="Normal"/>
        <w:tabs>
          <w:tab w:val="clear" w:pos="720"/>
          <w:tab w:val="left" w:pos="0" w:leader="none"/>
          <w:tab w:val="left" w:pos="396" w:leader="none"/>
          <w:tab w:val="left" w:pos="1020" w:leader="none"/>
          <w:tab w:val="left" w:pos="1644" w:leader="none"/>
          <w:tab w:val="left" w:pos="2880" w:leader="none"/>
        </w:tabs>
        <w:jc w:val="both"/>
        <w:rPr>
          <w:sz w:val="22"/>
        </w:rPr>
      </w:pPr>
      <w:r>
        <w:rPr>
          <w:sz w:val="22"/>
        </w:rPr>
      </w:r>
    </w:p>
    <w:p>
      <w:pPr>
        <w:pStyle w:val="Normal"/>
        <w:widowControl w:val="false"/>
        <w:jc w:val="both"/>
        <w:rPr>
          <w:sz w:val="22"/>
        </w:rPr>
      </w:pPr>
      <w:r>
        <w:rPr>
          <w:sz w:val="22"/>
        </w:rPr>
        <w:t>No s’acceptaran les proposicions que tinguin omissions, errades o esmenes que no permetin conèixer clarament allò que es considera fonamental per valorar-les.</w:t>
      </w:r>
    </w:p>
    <w:p>
      <w:pPr>
        <w:pStyle w:val="Normal"/>
        <w:widowControl w:val="false"/>
        <w:jc w:val="both"/>
        <w:rPr>
          <w:strike/>
          <w:color w:val="4F81BD" w:themeColor="accent1"/>
          <w:sz w:val="22"/>
          <w:szCs w:val="22"/>
        </w:rPr>
      </w:pPr>
      <w:r>
        <w:rPr>
          <w:strike/>
          <w:color w:val="4F81BD" w:themeColor="accent1"/>
          <w:sz w:val="22"/>
          <w:szCs w:val="22"/>
        </w:rPr>
      </w:r>
    </w:p>
    <w:p>
      <w:pPr>
        <w:pStyle w:val="Default"/>
        <w:jc w:val="both"/>
        <w:rPr>
          <w:b/>
          <w:b/>
          <w:sz w:val="22"/>
          <w:szCs w:val="22"/>
          <w:lang w:val="ca-ES"/>
        </w:rPr>
      </w:pPr>
      <w:r>
        <w:rPr>
          <w:b/>
          <w:sz w:val="22"/>
          <w:szCs w:val="22"/>
          <w:lang w:val="ca-ES"/>
        </w:rPr>
      </w:r>
    </w:p>
    <w:p>
      <w:pPr>
        <w:pStyle w:val="Normal"/>
        <w:jc w:val="both"/>
        <w:rPr>
          <w:b/>
          <w:b/>
          <w:color w:val="auto"/>
          <w:sz w:val="22"/>
          <w:szCs w:val="22"/>
        </w:rPr>
      </w:pPr>
      <w:r>
        <w:rPr>
          <w:b/>
          <w:sz w:val="22"/>
          <w:szCs w:val="22"/>
        </w:rPr>
        <w:t xml:space="preserve">VINT-I-SETENA.- Termini de presentació </w:t>
      </w:r>
      <w:r>
        <w:rPr>
          <w:b/>
          <w:color w:val="auto"/>
          <w:sz w:val="22"/>
          <w:szCs w:val="22"/>
        </w:rPr>
        <w:t>d’ofertes i altres requisits de les mateixes</w:t>
      </w:r>
    </w:p>
    <w:p>
      <w:pPr>
        <w:pStyle w:val="Normal"/>
        <w:jc w:val="both"/>
        <w:rPr>
          <w:b/>
          <w:b/>
          <w:sz w:val="22"/>
          <w:szCs w:val="22"/>
        </w:rPr>
      </w:pPr>
      <w:r>
        <w:rPr>
          <w:b/>
          <w:sz w:val="22"/>
          <w:szCs w:val="22"/>
        </w:rPr>
      </w:r>
    </w:p>
    <w:p>
      <w:pPr>
        <w:pStyle w:val="Normal"/>
        <w:jc w:val="both"/>
        <w:rPr/>
      </w:pPr>
      <w:r>
        <w:rPr>
          <w:color w:val="000000"/>
          <w:sz w:val="22"/>
          <w:szCs w:val="22"/>
          <w:shd w:fill="auto" w:val="clear"/>
        </w:rPr>
        <w:t xml:space="preserve">De conformitat amb la disposició addicional 15.3 de la LCSP, la presentació d’ofertes es farà per mitjans electrònics; i únicament seran vàlides les propostes que es presentin a través de l’eina de Presentació d’Ofertes de la Plataforma de Serveis de Contractació Pública (PSCP-eLicita), accedint a la licitació corresponent des de l’adreça web </w:t>
      </w:r>
      <w:hyperlink r:id="rId12">
        <w:r>
          <w:rPr>
            <w:rStyle w:val="EnlladInternet"/>
            <w:rFonts w:cs="Arial"/>
            <w:i/>
            <w:color w:val="000000"/>
            <w:sz w:val="22"/>
            <w:szCs w:val="22"/>
            <w:shd w:fill="auto" w:val="clear"/>
          </w:rPr>
          <w:t>https://contractaciopublica.cat/ca/perfils-contractant/detall/terrassa</w:t>
        </w:r>
      </w:hyperlink>
      <w:r>
        <w:rPr>
          <w:color w:val="000000"/>
          <w:sz w:val="22"/>
          <w:szCs w:val="22"/>
          <w:shd w:fill="auto" w:val="clear"/>
        </w:rPr>
        <w:t>. El registre de presentació de les ofertes per aquesta plataforma es podrà realitzar durant les 24 hores del dia, tots els dies de l'any.</w:t>
      </w:r>
    </w:p>
    <w:p>
      <w:pPr>
        <w:pStyle w:val="Normal"/>
        <w:suppressAutoHyphens w:val="false"/>
        <w:jc w:val="both"/>
        <w:rPr>
          <w:color w:val="auto"/>
          <w:sz w:val="22"/>
          <w:szCs w:val="22"/>
          <w:shd w:fill="auto" w:val="clear"/>
        </w:rPr>
      </w:pPr>
      <w:r>
        <w:rPr>
          <w:color w:val="000000"/>
          <w:sz w:val="22"/>
          <w:szCs w:val="22"/>
          <w:shd w:fill="auto" w:val="clear"/>
        </w:rPr>
      </w:r>
    </w:p>
    <w:p>
      <w:pPr>
        <w:pStyle w:val="Normal"/>
        <w:suppressAutoHyphens w:val="false"/>
        <w:jc w:val="both"/>
        <w:rPr>
          <w:shd w:fill="auto" w:val="clear"/>
        </w:rPr>
      </w:pPr>
      <w:r>
        <w:rPr>
          <w:color w:val="000000"/>
          <w:sz w:val="22"/>
          <w:szCs w:val="22"/>
          <w:shd w:fill="auto" w:val="clear"/>
        </w:rPr>
        <w:t>Les proposicions que no es presentin per aquests mitjans i en la forma que determina aquest plec, seran excloses.</w:t>
      </w:r>
    </w:p>
    <w:p>
      <w:pPr>
        <w:pStyle w:val="Normal"/>
        <w:suppressAutoHyphens w:val="false"/>
        <w:jc w:val="both"/>
        <w:rPr>
          <w:color w:val="auto"/>
          <w:sz w:val="22"/>
          <w:szCs w:val="22"/>
          <w:shd w:fill="auto" w:val="clear"/>
        </w:rPr>
      </w:pPr>
      <w:r>
        <w:rPr>
          <w:color w:val="000000"/>
          <w:sz w:val="22"/>
          <w:szCs w:val="22"/>
          <w:shd w:fill="auto" w:val="clear"/>
        </w:rPr>
      </w:r>
    </w:p>
    <w:p>
      <w:pPr>
        <w:pStyle w:val="Normal"/>
        <w:suppressAutoHyphens w:val="false"/>
        <w:jc w:val="both"/>
        <w:rPr>
          <w:shd w:fill="auto" w:val="clear"/>
        </w:rPr>
      </w:pPr>
      <w:r>
        <w:rPr>
          <w:color w:val="000000"/>
          <w:sz w:val="22"/>
          <w:szCs w:val="22"/>
          <w:shd w:fill="auto" w:val="clear"/>
        </w:rPr>
        <w:t>De conformitat amb l’article 156.3 c) de la LCSP, el termini de presentació d’ofertes en aquest tipus de procediment és de trenta (30) dies naturals, comptats des de la data d’enviament de l’anunci de licitació a l’Oficina de Publicacions de la Unió Europea. Tanmateix, amb la finalitat de donar un millor servei a les empreses licitadores, dins de l’horari d’atenció al públic del Servei de Contractació i d’assistència tècnica de la plataforma de presentació (PSCP - eLicita), s’amplia el termini per presentar ofertes fins al següent dia hàbil a les 14:00:00 hores, de manera que les ofertes rebudes amb posterioritat (és a dir, a les 14:00:01 hores i en endavant) es consideraran extemporànies.</w:t>
      </w:r>
    </w:p>
    <w:p>
      <w:pPr>
        <w:pStyle w:val="Normal"/>
        <w:suppressAutoHyphens w:val="false"/>
        <w:jc w:val="both"/>
        <w:rPr>
          <w:color w:val="auto"/>
          <w:sz w:val="22"/>
          <w:szCs w:val="22"/>
          <w:shd w:fill="auto" w:val="clear"/>
        </w:rPr>
      </w:pPr>
      <w:r>
        <w:rPr>
          <w:color w:val="000000"/>
          <w:sz w:val="22"/>
          <w:szCs w:val="22"/>
          <w:shd w:fill="auto" w:val="clear"/>
        </w:rPr>
      </w:r>
    </w:p>
    <w:p>
      <w:pPr>
        <w:pStyle w:val="Normal"/>
        <w:suppressAutoHyphens w:val="false"/>
        <w:jc w:val="both"/>
        <w:rPr>
          <w:shd w:fill="auto" w:val="clear"/>
        </w:rPr>
      </w:pPr>
      <w:r>
        <w:rPr>
          <w:color w:val="000000"/>
          <w:sz w:val="22"/>
          <w:szCs w:val="22"/>
          <w:shd w:fill="auto" w:val="clear"/>
        </w:rPr>
        <w:t xml:space="preserve">L’anunci en el Perfil de Contractant i al </w:t>
      </w:r>
      <w:r>
        <w:rPr>
          <w:sz w:val="22"/>
          <w:shd w:fill="auto" w:val="clear"/>
        </w:rPr>
        <w:t xml:space="preserve">Diari Oficial de la Unió Europea (DOUE) </w:t>
      </w:r>
      <w:r>
        <w:rPr>
          <w:color w:val="000000"/>
          <w:sz w:val="22"/>
          <w:szCs w:val="22"/>
          <w:shd w:fill="auto" w:val="clear"/>
        </w:rPr>
        <w:t>indicarà la data i l’hora límit de presentació de les proposicions.</w:t>
      </w:r>
    </w:p>
    <w:p>
      <w:pPr>
        <w:pStyle w:val="Normal"/>
        <w:suppressAutoHyphens w:val="false"/>
        <w:jc w:val="both"/>
        <w:rPr>
          <w:color w:val="auto"/>
          <w:sz w:val="22"/>
          <w:szCs w:val="22"/>
          <w:shd w:fill="auto" w:val="clear"/>
        </w:rPr>
      </w:pPr>
      <w:r>
        <w:rPr>
          <w:color w:val="000000"/>
          <w:sz w:val="22"/>
          <w:szCs w:val="22"/>
          <w:shd w:fill="auto" w:val="clear"/>
        </w:rPr>
      </w:r>
    </w:p>
    <w:p>
      <w:pPr>
        <w:pStyle w:val="Normal"/>
        <w:suppressAutoHyphens w:val="false"/>
        <w:jc w:val="both"/>
        <w:rPr>
          <w:shd w:fill="auto" w:val="clear"/>
        </w:rPr>
      </w:pPr>
      <w:r>
        <w:rPr>
          <w:color w:val="000000"/>
          <w:sz w:val="22"/>
          <w:szCs w:val="22"/>
          <w:shd w:fill="auto" w:val="clear"/>
        </w:rPr>
        <w:t>Es recomana que la presentació d’ofertes es realitzi amb antelació suficient que permeti resoldre possibles incidències durant la preparació o enviament de l’oferta.</w:t>
      </w:r>
    </w:p>
    <w:p>
      <w:pPr>
        <w:pStyle w:val="Normal"/>
        <w:suppressAutoHyphens w:val="false"/>
        <w:jc w:val="both"/>
        <w:rPr>
          <w:color w:val="auto"/>
          <w:sz w:val="22"/>
          <w:szCs w:val="22"/>
          <w:highlight w:val="green"/>
        </w:rPr>
      </w:pPr>
      <w:r>
        <w:rPr>
          <w:color w:val="auto"/>
          <w:sz w:val="22"/>
          <w:szCs w:val="22"/>
          <w:highlight w:val="green"/>
        </w:rPr>
      </w:r>
    </w:p>
    <w:p>
      <w:pPr>
        <w:pStyle w:val="Normal"/>
        <w:jc w:val="both"/>
        <w:rPr>
          <w:color w:val="auto"/>
          <w:sz w:val="22"/>
          <w:szCs w:val="22"/>
        </w:rPr>
      </w:pPr>
      <w:r>
        <w:rPr>
          <w:color w:val="auto"/>
          <w:sz w:val="22"/>
          <w:szCs w:val="22"/>
        </w:rPr>
        <w:t xml:space="preserve">Es recorda que en cas de preguntes i dubtes en relació amb el contingut d’aquest plec de clàusules administratives particulars, l’horari d’atenció del Servei de Contractació és de dilluns a divendres de 08:00 a 14:00 h, mitjançant els canals següents: </w:t>
      </w:r>
    </w:p>
    <w:p>
      <w:pPr>
        <w:pStyle w:val="Normal"/>
        <w:jc w:val="both"/>
        <w:rPr>
          <w:color w:val="auto"/>
          <w:sz w:val="22"/>
          <w:szCs w:val="22"/>
        </w:rPr>
      </w:pPr>
      <w:r>
        <w:rPr>
          <w:color w:val="auto"/>
          <w:sz w:val="22"/>
          <w:szCs w:val="22"/>
        </w:rPr>
      </w:r>
    </w:p>
    <w:p>
      <w:pPr>
        <w:pStyle w:val="Normal"/>
        <w:numPr>
          <w:ilvl w:val="0"/>
          <w:numId w:val="22"/>
        </w:numPr>
        <w:jc w:val="both"/>
        <w:rPr>
          <w:color w:val="auto"/>
          <w:sz w:val="22"/>
          <w:szCs w:val="22"/>
        </w:rPr>
      </w:pPr>
      <w:r>
        <w:rPr>
          <w:color w:val="auto"/>
          <w:sz w:val="22"/>
          <w:szCs w:val="22"/>
          <w:lang w:eastAsia="es-ES"/>
        </w:rPr>
        <w:t>Bústia de correu electrònic: contractacio@terrassa.cat</w:t>
      </w:r>
    </w:p>
    <w:p>
      <w:pPr>
        <w:pStyle w:val="Normal"/>
        <w:ind w:left="720" w:hanging="0"/>
        <w:jc w:val="both"/>
        <w:rPr>
          <w:color w:val="auto"/>
          <w:sz w:val="22"/>
          <w:szCs w:val="22"/>
        </w:rPr>
      </w:pPr>
      <w:r>
        <w:rPr>
          <w:color w:val="auto"/>
          <w:sz w:val="22"/>
          <w:szCs w:val="22"/>
        </w:rPr>
      </w:r>
    </w:p>
    <w:p>
      <w:pPr>
        <w:pStyle w:val="Normal"/>
        <w:numPr>
          <w:ilvl w:val="0"/>
          <w:numId w:val="22"/>
        </w:numPr>
        <w:jc w:val="both"/>
        <w:rPr>
          <w:color w:val="auto"/>
          <w:sz w:val="22"/>
          <w:szCs w:val="22"/>
        </w:rPr>
      </w:pPr>
      <w:r>
        <w:rPr>
          <w:color w:val="auto"/>
          <w:sz w:val="22"/>
          <w:szCs w:val="22"/>
        </w:rPr>
        <w:t>Telèfon 93 739 70 00 Ext. 7075.</w:t>
      </w:r>
    </w:p>
    <w:p>
      <w:pPr>
        <w:pStyle w:val="Normal"/>
        <w:jc w:val="both"/>
        <w:rPr>
          <w:color w:val="auto"/>
          <w:sz w:val="22"/>
          <w:szCs w:val="22"/>
        </w:rPr>
      </w:pPr>
      <w:r>
        <w:rPr>
          <w:color w:val="auto"/>
          <w:sz w:val="22"/>
          <w:szCs w:val="22"/>
        </w:rPr>
      </w:r>
    </w:p>
    <w:p>
      <w:pPr>
        <w:pStyle w:val="Normal"/>
        <w:jc w:val="both"/>
        <w:rPr>
          <w:strike/>
          <w:color w:val="auto"/>
          <w:sz w:val="22"/>
          <w:szCs w:val="22"/>
        </w:rPr>
      </w:pPr>
      <w:r>
        <w:rPr>
          <w:color w:val="auto"/>
          <w:sz w:val="22"/>
          <w:szCs w:val="22"/>
        </w:rPr>
        <w:t xml:space="preserve">Així mateix, en relació amb les incidències en la presentació d’ofertes o altra documentació requerida, </w:t>
      </w:r>
      <w:r>
        <w:rPr>
          <w:color w:val="auto"/>
          <w:sz w:val="22"/>
          <w:szCs w:val="22"/>
          <w:lang w:eastAsia="es-ES"/>
        </w:rPr>
        <w:t xml:space="preserve">el servei d’atenció a l’usuari SAU TIC de la Plataforma de Serveis de Contractació Pública (PSCP-eLicita) dona suport al licitador, de dilluns a divendres de 8:00 h a 20:00 h, </w:t>
      </w:r>
      <w:r>
        <w:rPr>
          <w:color w:val="auto"/>
          <w:sz w:val="22"/>
          <w:szCs w:val="22"/>
        </w:rPr>
        <w:t xml:space="preserve">mitjançant els canals següents: </w:t>
      </w:r>
    </w:p>
    <w:p>
      <w:pPr>
        <w:pStyle w:val="Default"/>
        <w:jc w:val="both"/>
        <w:rPr>
          <w:color w:val="auto"/>
          <w:sz w:val="22"/>
          <w:szCs w:val="22"/>
          <w:lang w:val="ca-ES"/>
        </w:rPr>
      </w:pPr>
      <w:r>
        <w:rPr>
          <w:color w:val="auto"/>
          <w:sz w:val="22"/>
          <w:szCs w:val="22"/>
          <w:lang w:val="ca-ES"/>
        </w:rPr>
      </w:r>
    </w:p>
    <w:p>
      <w:pPr>
        <w:pStyle w:val="Default"/>
        <w:numPr>
          <w:ilvl w:val="0"/>
          <w:numId w:val="19"/>
        </w:numPr>
        <w:jc w:val="both"/>
        <w:rPr>
          <w:color w:val="auto"/>
          <w:sz w:val="22"/>
          <w:szCs w:val="22"/>
          <w:lang w:val="ca-ES" w:eastAsia="es-ES"/>
        </w:rPr>
      </w:pPr>
      <w:r>
        <w:rPr>
          <w:color w:val="auto"/>
          <w:sz w:val="22"/>
          <w:szCs w:val="22"/>
          <w:lang w:val="ca-ES" w:eastAsia="es-ES"/>
        </w:rPr>
        <w:t xml:space="preserve">Bústia de correu electrònic: sau.tic@pautic.gencat.cat. Cal indicar en l’assumpte del correu “Codi 31: PSCP-eines de licitació electrònica” i, en el missatge, la informació següent: </w:t>
      </w:r>
    </w:p>
    <w:p>
      <w:pPr>
        <w:pStyle w:val="Default"/>
        <w:ind w:left="60" w:hanging="0"/>
        <w:jc w:val="both"/>
        <w:rPr>
          <w:color w:val="auto"/>
          <w:sz w:val="22"/>
          <w:szCs w:val="22"/>
          <w:lang w:val="ca-ES" w:eastAsia="es-ES"/>
        </w:rPr>
      </w:pPr>
      <w:r>
        <w:rPr>
          <w:color w:val="auto"/>
          <w:sz w:val="22"/>
          <w:szCs w:val="22"/>
          <w:lang w:val="ca-ES" w:eastAsia="es-ES"/>
        </w:rPr>
      </w:r>
    </w:p>
    <w:p>
      <w:pPr>
        <w:pStyle w:val="Normal"/>
        <w:suppressAutoHyphens w:val="false"/>
        <w:spacing w:before="0" w:after="29"/>
        <w:ind w:left="567" w:hanging="0"/>
        <w:jc w:val="both"/>
        <w:rPr>
          <w:color w:val="auto"/>
          <w:sz w:val="22"/>
          <w:szCs w:val="22"/>
          <w:lang w:eastAsia="es-ES"/>
        </w:rPr>
      </w:pPr>
      <w:r>
        <w:rPr>
          <w:color w:val="auto"/>
          <w:sz w:val="22"/>
          <w:szCs w:val="22"/>
          <w:lang w:eastAsia="es-ES"/>
        </w:rPr>
        <w:t xml:space="preserve">- Data i hora de la incidència </w:t>
      </w:r>
    </w:p>
    <w:p>
      <w:pPr>
        <w:pStyle w:val="Normal"/>
        <w:suppressAutoHyphens w:val="false"/>
        <w:spacing w:before="0" w:after="29"/>
        <w:ind w:left="567" w:hanging="0"/>
        <w:jc w:val="both"/>
        <w:rPr>
          <w:color w:val="auto"/>
          <w:sz w:val="22"/>
          <w:szCs w:val="22"/>
          <w:lang w:eastAsia="es-ES"/>
        </w:rPr>
      </w:pPr>
      <w:r>
        <w:rPr>
          <w:color w:val="auto"/>
          <w:sz w:val="22"/>
          <w:szCs w:val="22"/>
          <w:lang w:eastAsia="es-ES"/>
        </w:rPr>
        <w:t xml:space="preserve">- Codi d’expedient </w:t>
      </w:r>
    </w:p>
    <w:p>
      <w:pPr>
        <w:pStyle w:val="Normal"/>
        <w:suppressAutoHyphens w:val="false"/>
        <w:spacing w:before="0" w:after="29"/>
        <w:ind w:left="567" w:hanging="0"/>
        <w:jc w:val="both"/>
        <w:rPr>
          <w:color w:val="auto"/>
          <w:sz w:val="22"/>
          <w:szCs w:val="22"/>
          <w:lang w:eastAsia="es-ES"/>
        </w:rPr>
      </w:pPr>
      <w:r>
        <w:rPr>
          <w:color w:val="auto"/>
          <w:sz w:val="22"/>
          <w:szCs w:val="22"/>
          <w:lang w:eastAsia="es-ES"/>
        </w:rPr>
        <w:t xml:space="preserve">- Òrgan de contractació </w:t>
      </w:r>
    </w:p>
    <w:p>
      <w:pPr>
        <w:pStyle w:val="Normal"/>
        <w:suppressAutoHyphens w:val="false"/>
        <w:spacing w:before="0" w:after="29"/>
        <w:ind w:left="567" w:hanging="0"/>
        <w:jc w:val="both"/>
        <w:rPr>
          <w:color w:val="auto"/>
          <w:sz w:val="22"/>
          <w:szCs w:val="22"/>
          <w:lang w:eastAsia="es-ES"/>
        </w:rPr>
      </w:pPr>
      <w:r>
        <w:rPr>
          <w:color w:val="auto"/>
          <w:sz w:val="22"/>
          <w:szCs w:val="22"/>
          <w:lang w:eastAsia="es-ES"/>
        </w:rPr>
        <w:t xml:space="preserve">- Data i hora límit de presentació de l’oferta </w:t>
      </w:r>
    </w:p>
    <w:p>
      <w:pPr>
        <w:pStyle w:val="Normal"/>
        <w:suppressAutoHyphens w:val="false"/>
        <w:spacing w:before="0" w:after="29"/>
        <w:ind w:left="567" w:hanging="0"/>
        <w:jc w:val="both"/>
        <w:rPr>
          <w:color w:val="auto"/>
          <w:sz w:val="22"/>
          <w:szCs w:val="22"/>
          <w:lang w:eastAsia="es-ES"/>
        </w:rPr>
      </w:pPr>
      <w:r>
        <w:rPr>
          <w:color w:val="auto"/>
          <w:sz w:val="22"/>
          <w:szCs w:val="22"/>
          <w:lang w:eastAsia="es-ES"/>
        </w:rPr>
        <w:t xml:space="preserve">- Nom de l’empresa i dades de contacte </w:t>
      </w:r>
    </w:p>
    <w:p>
      <w:pPr>
        <w:pStyle w:val="Normal"/>
        <w:suppressAutoHyphens w:val="false"/>
        <w:spacing w:before="0" w:after="29"/>
        <w:ind w:left="567" w:hanging="0"/>
        <w:jc w:val="both"/>
        <w:rPr>
          <w:color w:val="auto"/>
          <w:sz w:val="22"/>
          <w:szCs w:val="22"/>
          <w:lang w:eastAsia="es-ES"/>
        </w:rPr>
      </w:pPr>
      <w:r>
        <w:rPr>
          <w:color w:val="auto"/>
          <w:sz w:val="22"/>
          <w:szCs w:val="22"/>
          <w:lang w:eastAsia="es-ES"/>
        </w:rPr>
        <w:t xml:space="preserve">- Captura de pantalla amb el missatge d’error </w:t>
      </w:r>
    </w:p>
    <w:p>
      <w:pPr>
        <w:pStyle w:val="Normal"/>
        <w:suppressAutoHyphens w:val="false"/>
        <w:ind w:left="567" w:hanging="0"/>
        <w:jc w:val="both"/>
        <w:rPr>
          <w:color w:val="auto"/>
          <w:sz w:val="22"/>
          <w:szCs w:val="22"/>
          <w:lang w:eastAsia="es-ES"/>
        </w:rPr>
      </w:pPr>
      <w:r>
        <w:rPr>
          <w:color w:val="auto"/>
          <w:sz w:val="22"/>
          <w:szCs w:val="22"/>
          <w:lang w:eastAsia="es-ES"/>
        </w:rPr>
        <w:t xml:space="preserve">- Descripció de les operacions realitzades i del problema sorgit </w:t>
      </w:r>
    </w:p>
    <w:p>
      <w:pPr>
        <w:pStyle w:val="Default"/>
        <w:ind w:left="567" w:hanging="0"/>
        <w:jc w:val="both"/>
        <w:rPr>
          <w:color w:val="auto"/>
          <w:sz w:val="22"/>
          <w:szCs w:val="22"/>
          <w:lang w:val="ca-ES" w:eastAsia="es-ES"/>
        </w:rPr>
      </w:pPr>
      <w:r>
        <w:rPr>
          <w:color w:val="auto"/>
          <w:sz w:val="22"/>
          <w:szCs w:val="22"/>
          <w:lang w:val="ca-ES" w:eastAsia="es-ES"/>
        </w:rPr>
      </w:r>
    </w:p>
    <w:p>
      <w:pPr>
        <w:pStyle w:val="Default"/>
        <w:numPr>
          <w:ilvl w:val="0"/>
          <w:numId w:val="19"/>
        </w:numPr>
        <w:jc w:val="both"/>
        <w:rPr>
          <w:color w:val="auto"/>
          <w:sz w:val="22"/>
          <w:szCs w:val="22"/>
          <w:lang w:val="ca-ES" w:eastAsia="es-ES"/>
        </w:rPr>
      </w:pPr>
      <w:r>
        <w:rPr>
          <w:color w:val="auto"/>
          <w:sz w:val="22"/>
          <w:szCs w:val="22"/>
          <w:lang w:val="ca-ES" w:eastAsia="es-ES"/>
        </w:rPr>
        <w:t xml:space="preserve">Telèfon 900 924 009 + extensió 1 (canal preferent per incidències que es produeixin en les últimes 24 h del termini de presentació d’ofertes) </w:t>
      </w:r>
    </w:p>
    <w:p>
      <w:pPr>
        <w:pStyle w:val="Normal"/>
        <w:jc w:val="both"/>
        <w:rPr>
          <w:color w:val="auto"/>
          <w:sz w:val="22"/>
          <w:szCs w:val="22"/>
        </w:rPr>
      </w:pPr>
      <w:r>
        <w:rPr>
          <w:color w:val="auto"/>
          <w:sz w:val="22"/>
          <w:szCs w:val="22"/>
        </w:rPr>
      </w:r>
    </w:p>
    <w:p>
      <w:pPr>
        <w:pStyle w:val="Normal"/>
        <w:jc w:val="both"/>
        <w:rPr>
          <w:color w:val="auto"/>
          <w:sz w:val="22"/>
          <w:szCs w:val="22"/>
        </w:rPr>
      </w:pPr>
      <w:r>
        <w:rPr>
          <w:iCs/>
          <w:color w:val="auto"/>
          <w:sz w:val="22"/>
          <w:szCs w:val="22"/>
          <w:lang w:eastAsia="es-ES"/>
        </w:rPr>
        <w:t xml:space="preserve">Si les 24 hores darreres del termini per a la presentació d’ofertes s’interromp el servei per causes tècniques o raons operatives de la pròpia plataforma, aquest termini es prorrogarà o, si el termini ja ha vençut, es rehabilitarà per un temps de 24 hores o, en tot cas, com a mínim, pel temps que hagi estat no operatiu, mitjançant la publicació en el perfil de contractant, esmenant-lo, sempre que sigui possible abans de la seva finalització. </w:t>
      </w:r>
    </w:p>
    <w:p>
      <w:pPr>
        <w:pStyle w:val="Normal"/>
        <w:jc w:val="both"/>
        <w:rPr>
          <w:color w:val="auto"/>
          <w:sz w:val="22"/>
          <w:szCs w:val="22"/>
        </w:rPr>
      </w:pPr>
      <w:r>
        <w:rPr>
          <w:color w:val="auto"/>
          <w:sz w:val="22"/>
          <w:szCs w:val="22"/>
        </w:rPr>
      </w:r>
    </w:p>
    <w:p>
      <w:pPr>
        <w:pStyle w:val="Normal"/>
        <w:jc w:val="both"/>
        <w:rPr>
          <w:color w:val="auto"/>
        </w:rPr>
      </w:pPr>
      <w:r>
        <w:rPr>
          <w:color w:val="auto"/>
          <w:sz w:val="22"/>
          <w:szCs w:val="22"/>
        </w:rPr>
        <w:t xml:space="preserve">Una vegada presentada una proposició, els licitadors es podran descarregar el justificant de presentació de l’oferta amb indicació de la data i hora en què s’ha registrat. </w:t>
      </w:r>
    </w:p>
    <w:p>
      <w:pPr>
        <w:pStyle w:val="Normal"/>
        <w:jc w:val="both"/>
        <w:rPr>
          <w:strike/>
          <w:color w:val="auto"/>
          <w:sz w:val="22"/>
        </w:rPr>
      </w:pPr>
      <w:r>
        <w:rPr>
          <w:strike/>
          <w:color w:val="auto"/>
          <w:sz w:val="22"/>
        </w:rPr>
      </w:r>
    </w:p>
    <w:p>
      <w:pPr>
        <w:pStyle w:val="Normal"/>
        <w:pBdr>
          <w:top w:val="single" w:sz="4" w:space="1" w:color="000000"/>
          <w:left w:val="single" w:sz="4" w:space="4" w:color="000000"/>
          <w:bottom w:val="single" w:sz="4" w:space="1" w:color="000000"/>
          <w:right w:val="single" w:sz="4" w:space="4" w:color="000000"/>
        </w:pBdr>
        <w:jc w:val="both"/>
        <w:rPr>
          <w:b/>
          <w:b/>
          <w:color w:val="auto"/>
        </w:rPr>
      </w:pPr>
      <w:r>
        <w:rPr>
          <w:b/>
          <w:color w:val="auto"/>
          <w:sz w:val="22"/>
        </w:rPr>
        <w:t>Les ofertes dels interessats hauran d’ajustar-se al previst en el plec de clàusules administratives particulars, i la seva presentació suposarà l’acceptació incondicionada pel licitador del contingut de la totalitat d’aquestes clàusules o condicions, així com del plec de prescripcions tècniques, sense excepció.</w:t>
      </w:r>
    </w:p>
    <w:p>
      <w:pPr>
        <w:pStyle w:val="Normal"/>
        <w:jc w:val="both"/>
        <w:rPr>
          <w:color w:val="auto"/>
          <w:sz w:val="22"/>
          <w:highlight w:val="white"/>
        </w:rPr>
      </w:pPr>
      <w:r>
        <w:rPr>
          <w:color w:val="auto"/>
          <w:sz w:val="22"/>
          <w:highlight w:val="white"/>
        </w:rPr>
      </w:r>
    </w:p>
    <w:p>
      <w:pPr>
        <w:pStyle w:val="Normal"/>
        <w:jc w:val="both"/>
        <w:rPr>
          <w:color w:val="auto"/>
          <w:sz w:val="22"/>
        </w:rPr>
      </w:pPr>
      <w:r>
        <w:rPr>
          <w:color w:val="auto"/>
          <w:sz w:val="22"/>
          <w:szCs w:val="22"/>
        </w:rPr>
        <w:t>El procediment electrònic garanteix la integritat i el secret de les proposicions i que</w:t>
      </w:r>
      <w:r>
        <w:rPr>
          <w:color w:val="auto"/>
          <w:sz w:val="22"/>
        </w:rPr>
        <w:t xml:space="preserve"> aquestes no s’obren fins que no hagi finalitzat el termini per presentar-les. Aquest fet comporta que no s’hagi de celebrar cap acte públic per deixar constància del moment d’obertura de les proposicions.</w:t>
      </w:r>
    </w:p>
    <w:p>
      <w:pPr>
        <w:pStyle w:val="Normal"/>
        <w:jc w:val="both"/>
        <w:rPr>
          <w:rFonts w:cs="Times New Roman"/>
          <w:b/>
          <w:b/>
          <w:color w:val="auto"/>
          <w:kern w:val="2"/>
          <w:sz w:val="22"/>
          <w:szCs w:val="22"/>
          <w:highlight w:val="magenta"/>
          <w:lang w:bidi="hi-IN"/>
        </w:rPr>
      </w:pPr>
      <w:r>
        <w:rPr>
          <w:rFonts w:cs="Times New Roman"/>
          <w:b/>
          <w:color w:val="auto"/>
          <w:kern w:val="2"/>
          <w:sz w:val="22"/>
          <w:szCs w:val="22"/>
          <w:highlight w:val="magenta"/>
          <w:lang w:bidi="hi-IN"/>
        </w:rPr>
      </w:r>
    </w:p>
    <w:p>
      <w:pPr>
        <w:pStyle w:val="Normal"/>
        <w:jc w:val="both"/>
        <w:rPr>
          <w:color w:val="auto"/>
          <w:sz w:val="22"/>
        </w:rPr>
      </w:pPr>
      <w:r>
        <w:rPr>
          <w:color w:val="auto"/>
          <w:sz w:val="22"/>
        </w:rPr>
        <w:t>Cada licitador no podrà presentar més d’una oferta. Tampoc podrà presentar cap proposta en unió temporal amb d’altres si ho ha fet individualment o figurar en més d’una unió temporal. La infracció d’aquestes normes donarà lloc a la no admissió de totes les propostes subscrites per aquest licitador.</w:t>
      </w:r>
    </w:p>
    <w:p>
      <w:pPr>
        <w:pStyle w:val="Normal"/>
        <w:jc w:val="both"/>
        <w:rPr>
          <w:color w:val="auto"/>
        </w:rPr>
      </w:pPr>
      <w:r>
        <w:rPr>
          <w:color w:val="auto"/>
        </w:rPr>
      </w:r>
    </w:p>
    <w:p>
      <w:pPr>
        <w:pStyle w:val="Normal"/>
        <w:suppressAutoHyphens w:val="false"/>
        <w:jc w:val="both"/>
        <w:rPr>
          <w:color w:val="auto"/>
          <w:sz w:val="22"/>
        </w:rPr>
      </w:pPr>
      <w:r>
        <w:rPr>
          <w:color w:val="auto"/>
          <w:sz w:val="22"/>
        </w:rPr>
        <w:t>Les empreses licitadores poden substituir i/o modificar l’oferta presentada, durant el termini de presentació d’ofertes, mitjançant la presentació d’una segona oferta, que suposarà la retirada de la primera, sempre que l’empresa licitadora així ho hagi advertit expressament i fefaent a l’òrgan de contractació: en cas contrari, les ofertes seran excloses, per incompliment de la prohibició de presentació de proposicions simultànies (art. 139.3 de la LCSP).</w:t>
      </w:r>
    </w:p>
    <w:p>
      <w:pPr>
        <w:pStyle w:val="Normal"/>
        <w:suppressAutoHyphens w:val="false"/>
        <w:jc w:val="both"/>
        <w:rPr>
          <w:color w:val="auto"/>
          <w:sz w:val="24"/>
          <w:szCs w:val="24"/>
          <w:lang w:eastAsia="es-ES"/>
        </w:rPr>
      </w:pPr>
      <w:r>
        <w:rPr>
          <w:color w:val="auto"/>
          <w:sz w:val="24"/>
          <w:szCs w:val="24"/>
          <w:lang w:eastAsia="es-ES"/>
        </w:rPr>
      </w:r>
    </w:p>
    <w:p>
      <w:pPr>
        <w:pStyle w:val="Normal"/>
        <w:jc w:val="both"/>
        <w:rPr>
          <w:iCs/>
          <w:color w:val="auto"/>
          <w:sz w:val="22"/>
        </w:rPr>
      </w:pPr>
      <w:r>
        <w:rPr>
          <w:iCs/>
          <w:color w:val="auto"/>
          <w:sz w:val="22"/>
        </w:rPr>
        <w:t>Les proposicions extemporànies seran excloses. Les empreses licitadores que no hagin pogut presentar la seva oferta dins de termini per raons tècniques que considerin imputables a la plataforma, als serveis que aquesta integra (registre, validació de signatura...) o a l’eina de presentació electrònica d’ofertes, hauran d’acreditar les causes que han impedit aquesta presentació dins de termini.</w:t>
      </w:r>
    </w:p>
    <w:p>
      <w:pPr>
        <w:pStyle w:val="Normal"/>
        <w:jc w:val="both"/>
        <w:rPr>
          <w:iCs/>
          <w:color w:val="auto"/>
          <w:sz w:val="22"/>
        </w:rPr>
      </w:pPr>
      <w:r>
        <w:rPr>
          <w:iCs/>
          <w:color w:val="auto"/>
          <w:sz w:val="22"/>
        </w:rPr>
      </w:r>
    </w:p>
    <w:p>
      <w:pPr>
        <w:pStyle w:val="Normal"/>
        <w:jc w:val="both"/>
        <w:rPr>
          <w:iCs/>
          <w:color w:val="auto"/>
          <w:sz w:val="22"/>
        </w:rPr>
      </w:pPr>
      <w:r>
        <w:rPr>
          <w:iCs/>
          <w:color w:val="auto"/>
          <w:sz w:val="22"/>
        </w:rPr>
        <w:t>En els supòsits que es prevegin dificultats en la transmissió derivades de la mida dels documents i dades presentades o problemes de connectivitat amb la xarxa, que impedeixin rebre l'oferta dintre del termini establert en aquests plecs, s’acceptarà l’enviament en dues fases. En aquests supòsits, l’empresa licitadora haurà de remetre el resum signat de l’oferta (que conté el resum criptogràfic o empremtes electròniques dels documents o arxius que la composen), abans de la finalització del termini de presentació d’ofertes. Així, les empreses disposaran d’un termini màxim de 24h per enviar els mateixos documents que van seleccionar en fer la presentació, la qual cosa es garanteix mitjançant les empremtes electròniques dels documents que es contenen en el resum de les ofertes que han presentat. Si no s’efectua aquesta segona remissió en el termini de 24h, de conformitat amb el que disposa la LCSP, es considera que l’oferta ha estat retirada.</w:t>
      </w:r>
    </w:p>
    <w:p>
      <w:pPr>
        <w:pStyle w:val="Normal"/>
        <w:jc w:val="both"/>
        <w:rPr>
          <w:b/>
          <w:b/>
          <w:color w:val="auto"/>
          <w:sz w:val="22"/>
        </w:rPr>
      </w:pPr>
      <w:r>
        <w:rPr>
          <w:b/>
          <w:color w:val="auto"/>
          <w:sz w:val="22"/>
        </w:rPr>
      </w:r>
    </w:p>
    <w:p>
      <w:pPr>
        <w:pStyle w:val="Normal"/>
        <w:jc w:val="both"/>
        <w:rPr>
          <w:b/>
          <w:b/>
          <w:color w:val="auto"/>
          <w:sz w:val="22"/>
        </w:rPr>
      </w:pPr>
      <w:r>
        <w:rPr>
          <w:color w:val="auto"/>
          <w:sz w:val="22"/>
          <w:szCs w:val="22"/>
        </w:rPr>
        <w:t xml:space="preserve">La signatura de l’oferta es durà a terme mitjançant la signatura del resum de l’oferta, que incorpora l’empremta electrònica de la resta de documents que la integren. Si es detecta error o omissió en la signatura electrònica de l’oferta, es requerirà a l’empresa licitadora perquè l’esmeni amb la signatura correcta del resum, que haurà d’haver guardat sense efectuar-hi cap modificació. </w:t>
      </w:r>
    </w:p>
    <w:p>
      <w:pPr>
        <w:pStyle w:val="Normal"/>
        <w:widowControl w:val="false"/>
        <w:jc w:val="both"/>
        <w:rPr>
          <w:rFonts w:cs="Times New Roman"/>
          <w:b/>
          <w:b/>
          <w:color w:val="000000"/>
          <w:kern w:val="2"/>
          <w:sz w:val="22"/>
          <w:szCs w:val="22"/>
          <w:highlight w:val="magenta"/>
          <w:lang w:bidi="hi-IN"/>
        </w:rPr>
      </w:pPr>
      <w:r>
        <w:rPr>
          <w:rFonts w:cs="Times New Roman"/>
          <w:b/>
          <w:color w:val="000000"/>
          <w:kern w:val="2"/>
          <w:sz w:val="22"/>
          <w:szCs w:val="22"/>
          <w:highlight w:val="magenta"/>
          <w:lang w:bidi="hi-IN"/>
        </w:rPr>
      </w:r>
    </w:p>
    <w:p>
      <w:pPr>
        <w:pStyle w:val="Normal"/>
        <w:jc w:val="both"/>
        <w:rPr>
          <w:b/>
          <w:b/>
          <w:sz w:val="22"/>
          <w:szCs w:val="22"/>
        </w:rPr>
      </w:pPr>
      <w:r>
        <w:rPr>
          <w:b/>
          <w:sz w:val="22"/>
          <w:szCs w:val="22"/>
        </w:rPr>
      </w:r>
    </w:p>
    <w:p>
      <w:pPr>
        <w:pStyle w:val="Normal"/>
        <w:jc w:val="both"/>
        <w:rPr>
          <w:b/>
          <w:b/>
          <w:sz w:val="22"/>
          <w:szCs w:val="22"/>
        </w:rPr>
      </w:pPr>
      <w:r>
        <w:rPr>
          <w:b/>
          <w:sz w:val="22"/>
          <w:szCs w:val="22"/>
        </w:rPr>
        <w:t>VINT-I-VUITENA.- Lloc de recepció d’ofertes</w:t>
      </w:r>
    </w:p>
    <w:p>
      <w:pPr>
        <w:pStyle w:val="Normal"/>
        <w:jc w:val="both"/>
        <w:rPr>
          <w:rStyle w:val="EnlladInternet"/>
          <w:strike/>
          <w:color w:val="4F81BD" w:themeColor="accent1"/>
          <w:lang w:val="es-ES"/>
        </w:rPr>
      </w:pPr>
      <w:r>
        <w:rPr>
          <w:strike/>
          <w:color w:val="4F81BD" w:themeColor="accent1"/>
          <w:lang w:val="es-ES"/>
        </w:rPr>
      </w:r>
    </w:p>
    <w:p>
      <w:pPr>
        <w:pStyle w:val="Normal"/>
        <w:jc w:val="both"/>
        <w:rPr>
          <w:color w:val="auto"/>
          <w:sz w:val="22"/>
          <w:szCs w:val="22"/>
        </w:rPr>
      </w:pPr>
      <w:r>
        <w:rPr>
          <w:color w:val="auto"/>
          <w:sz w:val="22"/>
          <w:szCs w:val="22"/>
        </w:rPr>
        <w:t xml:space="preserve">La presentació d’ofertes es farà únicament a través de l’eina de Presentació Sobre Digital d’Ofertes de la Plataforma de Serveis de Contractació Pública (PSCP-eLicita), accessible des de l’adreça web </w:t>
      </w:r>
      <w:hyperlink r:id="rId13">
        <w:r>
          <w:rPr>
            <w:rStyle w:val="EnlladInternet"/>
            <w:color w:val="auto"/>
            <w:sz w:val="22"/>
            <w:szCs w:val="22"/>
          </w:rPr>
          <w:t>https://contractaciopublica.cat/ca/perfils-contractant/detall/terrassa</w:t>
        </w:r>
      </w:hyperlink>
      <w:r>
        <w:rPr>
          <w:color w:val="auto"/>
          <w:sz w:val="22"/>
          <w:szCs w:val="22"/>
        </w:rPr>
        <w:t>.</w:t>
      </w:r>
    </w:p>
    <w:p>
      <w:pPr>
        <w:pStyle w:val="Normal"/>
        <w:jc w:val="both"/>
        <w:rPr>
          <w:b/>
          <w:b/>
          <w:color w:val="auto"/>
          <w:sz w:val="22"/>
          <w:szCs w:val="22"/>
        </w:rPr>
      </w:pPr>
      <w:r>
        <w:rPr>
          <w:b/>
          <w:color w:val="auto"/>
          <w:sz w:val="22"/>
          <w:szCs w:val="22"/>
        </w:rPr>
      </w:r>
    </w:p>
    <w:p>
      <w:pPr>
        <w:pStyle w:val="Normal"/>
        <w:jc w:val="both"/>
        <w:rPr>
          <w:b/>
          <w:b/>
          <w:color w:val="000000"/>
          <w:sz w:val="22"/>
          <w:szCs w:val="22"/>
        </w:rPr>
      </w:pPr>
      <w:r>
        <w:rPr>
          <w:b/>
          <w:color w:val="000000"/>
          <w:sz w:val="22"/>
          <w:szCs w:val="22"/>
        </w:rPr>
      </w:r>
    </w:p>
    <w:p>
      <w:pPr>
        <w:pStyle w:val="Normal"/>
        <w:jc w:val="both"/>
        <w:rPr>
          <w:b/>
          <w:b/>
          <w:sz w:val="22"/>
          <w:szCs w:val="22"/>
        </w:rPr>
      </w:pPr>
      <w:r>
        <w:rPr>
          <w:b/>
          <w:sz w:val="22"/>
          <w:szCs w:val="22"/>
        </w:rPr>
        <w:t>VINT-I-NOVENA.- Mesa de contractació</w:t>
      </w:r>
    </w:p>
    <w:p>
      <w:pPr>
        <w:pStyle w:val="Normal"/>
        <w:widowControl w:val="false"/>
        <w:jc w:val="both"/>
        <w:rPr>
          <w:b/>
          <w:b/>
          <w:sz w:val="22"/>
          <w:szCs w:val="22"/>
        </w:rPr>
      </w:pPr>
      <w:r>
        <w:rPr>
          <w:b/>
          <w:sz w:val="22"/>
          <w:szCs w:val="22"/>
        </w:rPr>
      </w:r>
    </w:p>
    <w:p>
      <w:pPr>
        <w:pStyle w:val="Normal"/>
        <w:widowControl w:val="false"/>
        <w:jc w:val="both"/>
        <w:rPr>
          <w:sz w:val="22"/>
          <w:szCs w:val="22"/>
        </w:rPr>
      </w:pPr>
      <w:r>
        <w:rPr>
          <w:sz w:val="22"/>
          <w:szCs w:val="22"/>
        </w:rPr>
        <w:t xml:space="preserve">La mesa estarà constituïda per: </w:t>
      </w:r>
    </w:p>
    <w:p>
      <w:pPr>
        <w:pStyle w:val="Normal"/>
        <w:widowControl w:val="false"/>
        <w:ind w:left="2127" w:hanging="2127"/>
        <w:jc w:val="both"/>
        <w:rPr>
          <w:sz w:val="22"/>
          <w:szCs w:val="22"/>
          <w:highlight w:val="green"/>
        </w:rPr>
      </w:pPr>
      <w:r>
        <w:rPr>
          <w:sz w:val="22"/>
          <w:szCs w:val="22"/>
          <w:highlight w:val="green"/>
        </w:rPr>
      </w:r>
    </w:p>
    <w:tbl>
      <w:tblPr>
        <w:tblW w:w="9212" w:type="dxa"/>
        <w:jc w:val="left"/>
        <w:tblInd w:w="0" w:type="dxa"/>
        <w:tblLayout w:type="fixed"/>
        <w:tblCellMar>
          <w:top w:w="108" w:type="dxa"/>
          <w:left w:w="108" w:type="dxa"/>
          <w:bottom w:w="108" w:type="dxa"/>
          <w:right w:w="108" w:type="dxa"/>
        </w:tblCellMar>
        <w:tblLook w:firstRow="1" w:noVBand="1" w:lastRow="0" w:firstColumn="1" w:lastColumn="0" w:noHBand="0" w:val="04a0"/>
      </w:tblPr>
      <w:tblGrid>
        <w:gridCol w:w="2232"/>
        <w:gridCol w:w="6979"/>
      </w:tblGrid>
      <w:tr>
        <w:trPr/>
        <w:tc>
          <w:tcPr>
            <w:tcW w:w="2232" w:type="dxa"/>
            <w:tcBorders/>
            <w:shd w:color="auto" w:fill="auto" w:val="clear"/>
          </w:tcPr>
          <w:p>
            <w:pPr>
              <w:pStyle w:val="Normal"/>
              <w:widowControl w:val="false"/>
              <w:jc w:val="both"/>
              <w:rPr>
                <w:sz w:val="22"/>
                <w:szCs w:val="22"/>
              </w:rPr>
            </w:pPr>
            <w:r>
              <w:rPr>
                <w:sz w:val="22"/>
                <w:szCs w:val="22"/>
                <w:highlight w:val="white"/>
                <w:u w:val="single"/>
              </w:rPr>
              <w:t>Una presidenta</w:t>
            </w:r>
            <w:r>
              <w:rPr>
                <w:sz w:val="22"/>
                <w:szCs w:val="22"/>
                <w:highlight w:val="white"/>
              </w:rPr>
              <w:t>:</w:t>
            </w:r>
          </w:p>
        </w:tc>
        <w:tc>
          <w:tcPr>
            <w:tcW w:w="6979" w:type="dxa"/>
            <w:tcBorders/>
            <w:shd w:color="auto" w:fill="auto" w:val="clear"/>
          </w:tcPr>
          <w:p>
            <w:pPr>
              <w:pStyle w:val="Normal"/>
              <w:widowControl w:val="false"/>
              <w:jc w:val="both"/>
              <w:rPr>
                <w:color w:val="4F81BD"/>
                <w:sz w:val="22"/>
                <w:szCs w:val="22"/>
              </w:rPr>
            </w:pPr>
            <w:r>
              <w:rPr>
                <w:sz w:val="22"/>
                <w:szCs w:val="22"/>
              </w:rPr>
              <w:t>Sra. Cristina Escudé Blasi, coordinadora General de l’Ajuntament.</w:t>
            </w:r>
          </w:p>
          <w:p>
            <w:pPr>
              <w:pStyle w:val="Normal"/>
              <w:widowControl w:val="false"/>
              <w:jc w:val="both"/>
              <w:rPr>
                <w:rFonts w:eastAsia="NSimSun"/>
                <w:color w:val="auto"/>
                <w:sz w:val="22"/>
                <w:szCs w:val="22"/>
              </w:rPr>
            </w:pPr>
            <w:r>
              <w:rPr>
                <w:rFonts w:eastAsia="NSimSun"/>
                <w:color w:val="auto"/>
                <w:sz w:val="22"/>
                <w:szCs w:val="22"/>
              </w:rPr>
              <w:t>Suplent: Sra. Marc Girol Mur, director de l’Àrea de Promoció Econòmica i Educació</w:t>
            </w:r>
          </w:p>
        </w:tc>
      </w:tr>
      <w:tr>
        <w:trPr/>
        <w:tc>
          <w:tcPr>
            <w:tcW w:w="2232" w:type="dxa"/>
            <w:tcBorders/>
            <w:shd w:color="auto" w:fill="auto" w:val="clear"/>
          </w:tcPr>
          <w:p>
            <w:pPr>
              <w:pStyle w:val="Normal"/>
              <w:widowControl w:val="false"/>
              <w:jc w:val="both"/>
              <w:rPr>
                <w:sz w:val="22"/>
                <w:szCs w:val="22"/>
              </w:rPr>
            </w:pPr>
            <w:r>
              <w:rPr>
                <w:color w:val="auto"/>
                <w:sz w:val="22"/>
                <w:szCs w:val="22"/>
                <w:u w:val="single"/>
              </w:rPr>
              <w:t>Una secretària</w:t>
            </w:r>
            <w:r>
              <w:rPr>
                <w:color w:val="auto"/>
                <w:sz w:val="22"/>
                <w:szCs w:val="22"/>
              </w:rPr>
              <w:t>:</w:t>
            </w:r>
          </w:p>
        </w:tc>
        <w:tc>
          <w:tcPr>
            <w:tcW w:w="6979" w:type="dxa"/>
            <w:tcBorders/>
            <w:shd w:color="auto" w:fill="auto" w:val="clear"/>
          </w:tcPr>
          <w:p>
            <w:pPr>
              <w:pStyle w:val="Normal"/>
              <w:widowControl w:val="false"/>
              <w:tabs>
                <w:tab w:val="clear" w:pos="720"/>
                <w:tab w:val="left" w:pos="1418" w:leader="none"/>
              </w:tabs>
              <w:ind w:left="34" w:hanging="34"/>
              <w:rPr/>
            </w:pPr>
            <w:r>
              <w:rPr>
                <w:sz w:val="22"/>
                <w:szCs w:val="22"/>
                <w:highlight w:val="white"/>
              </w:rPr>
              <w:t xml:space="preserve">Sra. Eva Soria Gil, cap de la Secció de  Serveis i Subministraments del Servei de Contractació. Suplent: </w:t>
            </w:r>
            <w:r>
              <w:rPr>
                <w:rFonts w:eastAsia="SimSun;宋体" w:cs="Arial"/>
                <w:color w:val="00000A"/>
                <w:kern w:val="0"/>
                <w:sz w:val="22"/>
                <w:szCs w:val="22"/>
                <w:highlight w:val="white"/>
                <w:lang w:val="ca-ES" w:eastAsia="zh-CN" w:bidi="ar-SA"/>
              </w:rPr>
              <w:t>Estrella Rodríguez Rico</w:t>
            </w:r>
            <w:r>
              <w:rPr>
                <w:sz w:val="22"/>
                <w:szCs w:val="22"/>
                <w:highlight w:val="white"/>
              </w:rPr>
              <w:t>,  cap de la Secció de  Contractació d’Obres  del Servei de Contractació</w:t>
            </w:r>
          </w:p>
        </w:tc>
      </w:tr>
      <w:tr>
        <w:trPr/>
        <w:tc>
          <w:tcPr>
            <w:tcW w:w="2232" w:type="dxa"/>
            <w:tcBorders/>
            <w:shd w:color="auto" w:fill="auto" w:val="clear"/>
          </w:tcPr>
          <w:p>
            <w:pPr>
              <w:pStyle w:val="Normal"/>
              <w:widowControl w:val="false"/>
              <w:jc w:val="both"/>
              <w:rPr>
                <w:sz w:val="22"/>
                <w:szCs w:val="22"/>
              </w:rPr>
            </w:pPr>
            <w:r>
              <w:rPr>
                <w:color w:val="auto"/>
                <w:sz w:val="22"/>
                <w:szCs w:val="22"/>
                <w:u w:val="single"/>
              </w:rPr>
              <w:t>Vocals</w:t>
            </w:r>
            <w:r>
              <w:rPr>
                <w:color w:val="auto"/>
                <w:sz w:val="22"/>
                <w:szCs w:val="22"/>
              </w:rPr>
              <w:t>:</w:t>
            </w:r>
          </w:p>
        </w:tc>
        <w:tc>
          <w:tcPr>
            <w:tcW w:w="6979" w:type="dxa"/>
            <w:tcBorders/>
            <w:shd w:color="auto" w:fill="auto" w:val="clear"/>
          </w:tcPr>
          <w:p>
            <w:pPr>
              <w:pStyle w:val="Normal"/>
              <w:widowControl w:val="false"/>
              <w:ind w:left="34" w:hanging="34"/>
              <w:jc w:val="both"/>
              <w:rPr>
                <w:sz w:val="22"/>
                <w:szCs w:val="22"/>
              </w:rPr>
            </w:pPr>
            <w:r>
              <w:rPr>
                <w:sz w:val="22"/>
                <w:szCs w:val="22"/>
              </w:rPr>
              <w:tab/>
              <w:t>Sr. Óscar González Ballesteros</w:t>
            </w:r>
            <w:r>
              <w:rPr>
                <w:sz w:val="22"/>
                <w:szCs w:val="22"/>
                <w:highlight w:val="white"/>
              </w:rPr>
              <w:t>, secretari general de l’Ajuntament</w:t>
            </w:r>
            <w:r>
              <w:rPr>
                <w:sz w:val="22"/>
                <w:szCs w:val="22"/>
              </w:rPr>
              <w:t>. Suplent: Sra. Lola Rovira Franch, tècnica superior especialista d’assessorament jurídic a Secretaria i Empreses municipals.</w:t>
            </w:r>
          </w:p>
        </w:tc>
      </w:tr>
      <w:tr>
        <w:trPr/>
        <w:tc>
          <w:tcPr>
            <w:tcW w:w="2232" w:type="dxa"/>
            <w:tcBorders/>
            <w:shd w:color="auto" w:fill="auto" w:val="clear"/>
          </w:tcPr>
          <w:p>
            <w:pPr>
              <w:pStyle w:val="Normal"/>
              <w:widowControl w:val="false"/>
              <w:jc w:val="both"/>
              <w:rPr>
                <w:sz w:val="22"/>
                <w:szCs w:val="22"/>
              </w:rPr>
            </w:pPr>
            <w:r>
              <w:rPr>
                <w:sz w:val="22"/>
                <w:szCs w:val="22"/>
              </w:rPr>
            </w:r>
          </w:p>
        </w:tc>
        <w:tc>
          <w:tcPr>
            <w:tcW w:w="6979" w:type="dxa"/>
            <w:tcBorders/>
            <w:shd w:color="auto" w:fill="auto" w:val="clear"/>
          </w:tcPr>
          <w:p>
            <w:pPr>
              <w:pStyle w:val="Normal"/>
              <w:widowControl w:val="false"/>
              <w:tabs>
                <w:tab w:val="clear" w:pos="720"/>
                <w:tab w:val="left" w:pos="1418" w:leader="none"/>
              </w:tabs>
              <w:jc w:val="both"/>
              <w:rPr>
                <w:color w:val="auto"/>
                <w:sz w:val="22"/>
                <w:szCs w:val="22"/>
              </w:rPr>
            </w:pPr>
            <w:r>
              <w:rPr>
                <w:color w:val="auto"/>
                <w:sz w:val="22"/>
                <w:szCs w:val="22"/>
              </w:rPr>
              <w:t>Sr. Javier Goytisolo Marquínez, interventor general de l’Ajuntament. Suplent: Dolores Megias Jiménez, cap del Servei d'assessorament jurídic a la intervenció.</w:t>
            </w:r>
          </w:p>
        </w:tc>
      </w:tr>
      <w:tr>
        <w:trPr/>
        <w:tc>
          <w:tcPr>
            <w:tcW w:w="2232" w:type="dxa"/>
            <w:tcBorders/>
            <w:shd w:color="auto" w:fill="auto" w:val="clear"/>
          </w:tcPr>
          <w:p>
            <w:pPr>
              <w:pStyle w:val="Normal"/>
              <w:widowControl w:val="false"/>
              <w:jc w:val="both"/>
              <w:rPr>
                <w:sz w:val="22"/>
                <w:szCs w:val="22"/>
              </w:rPr>
            </w:pPr>
            <w:r>
              <w:rPr>
                <w:sz w:val="22"/>
                <w:szCs w:val="22"/>
              </w:rPr>
            </w:r>
          </w:p>
        </w:tc>
        <w:tc>
          <w:tcPr>
            <w:tcW w:w="6979" w:type="dxa"/>
            <w:tcBorders/>
            <w:shd w:color="auto" w:fill="auto" w:val="clear"/>
          </w:tcPr>
          <w:p>
            <w:pPr>
              <w:pStyle w:val="Normal"/>
              <w:widowControl w:val="false"/>
              <w:jc w:val="both"/>
              <w:rPr>
                <w:shd w:fill="auto" w:val="clear"/>
              </w:rPr>
            </w:pPr>
            <w:r>
              <w:rPr>
                <w:sz w:val="22"/>
                <w:szCs w:val="22"/>
                <w:shd w:fill="auto" w:val="clear"/>
              </w:rPr>
              <w:t xml:space="preserve">Sra. Helena Alcaraz Torruella, </w:t>
            </w:r>
            <w:r>
              <w:rPr>
                <w:i w:val="false"/>
                <w:iCs w:val="false"/>
                <w:sz w:val="22"/>
                <w:szCs w:val="22"/>
                <w:shd w:fill="auto" w:val="clear"/>
              </w:rPr>
              <w:t>subdirectora de l’Àrea de Promoció Econòmica i Educació</w:t>
            </w:r>
            <w:r>
              <w:rPr>
                <w:sz w:val="22"/>
                <w:szCs w:val="22"/>
                <w:shd w:fill="auto" w:val="clear"/>
              </w:rPr>
              <w:t>. Suplent: Sra  Gemma López Garcia, directora de Serveis d’Educació.</w:t>
            </w:r>
          </w:p>
        </w:tc>
      </w:tr>
    </w:tbl>
    <w:p>
      <w:pPr>
        <w:pStyle w:val="Normal"/>
        <w:widowControl w:val="false"/>
        <w:ind w:left="2127" w:hanging="2127"/>
        <w:jc w:val="both"/>
        <w:rPr>
          <w:sz w:val="22"/>
          <w:szCs w:val="22"/>
          <w:highlight w:val="green"/>
        </w:rPr>
      </w:pPr>
      <w:r>
        <w:rPr>
          <w:sz w:val="22"/>
          <w:szCs w:val="22"/>
          <w:highlight w:val="green"/>
        </w:rPr>
      </w:r>
    </w:p>
    <w:p>
      <w:pPr>
        <w:pStyle w:val="Normal"/>
        <w:widowControl w:val="false"/>
        <w:tabs>
          <w:tab w:val="clear" w:pos="720"/>
          <w:tab w:val="left" w:pos="1418" w:leader="none"/>
        </w:tabs>
        <w:rPr>
          <w:shd w:fill="auto" w:val="clear"/>
        </w:rPr>
      </w:pPr>
      <w:r>
        <w:rPr>
          <w:color w:val="000000" w:themeColor="text1"/>
          <w:sz w:val="22"/>
          <w:szCs w:val="22"/>
          <w:shd w:fill="auto" w:val="clear"/>
        </w:rPr>
        <w:t xml:space="preserve">O per les persones </w:t>
      </w:r>
      <w:r>
        <w:rPr>
          <w:color w:val="000000"/>
          <w:sz w:val="22"/>
          <w:szCs w:val="22"/>
          <w:shd w:fill="auto" w:val="clear"/>
        </w:rPr>
        <w:t>que les substitueixin en els càrrecs.</w:t>
      </w:r>
    </w:p>
    <w:p>
      <w:pPr>
        <w:pStyle w:val="Normal"/>
        <w:widowControl w:val="false"/>
        <w:rPr>
          <w:color w:val="auto"/>
          <w:sz w:val="22"/>
          <w:szCs w:val="22"/>
          <w:shd w:fill="auto" w:val="clear"/>
        </w:rPr>
      </w:pPr>
      <w:r>
        <w:rPr>
          <w:color w:val="000000"/>
          <w:sz w:val="22"/>
          <w:szCs w:val="22"/>
          <w:shd w:fill="auto" w:val="clear"/>
        </w:rPr>
      </w:r>
    </w:p>
    <w:p>
      <w:pPr>
        <w:pStyle w:val="Normal"/>
        <w:tabs>
          <w:tab w:val="clear" w:pos="720"/>
          <w:tab w:val="center" w:pos="284" w:leader="none"/>
          <w:tab w:val="left" w:pos="360" w:leader="none"/>
        </w:tabs>
        <w:jc w:val="both"/>
        <w:rPr>
          <w:color w:val="000000" w:themeColor="text1"/>
          <w:sz w:val="22"/>
          <w:szCs w:val="22"/>
        </w:rPr>
      </w:pPr>
      <w:r>
        <w:rPr>
          <w:color w:val="auto"/>
          <w:sz w:val="22"/>
          <w:szCs w:val="22"/>
        </w:rPr>
        <w:t>Tots els membres de la mesa de contractació tindran veu i vot, excepte el/la secretari/ària de la mesa, qui actuarà amb veu però sense vot</w:t>
      </w:r>
      <w:r>
        <w:rPr>
          <w:color w:val="000000" w:themeColor="text1"/>
          <w:sz w:val="22"/>
          <w:szCs w:val="22"/>
        </w:rPr>
        <w:t>.</w:t>
      </w:r>
    </w:p>
    <w:p>
      <w:pPr>
        <w:pStyle w:val="Normal"/>
        <w:tabs>
          <w:tab w:val="clear" w:pos="720"/>
          <w:tab w:val="center" w:pos="284" w:leader="none"/>
          <w:tab w:val="left" w:pos="360" w:leader="none"/>
        </w:tabs>
        <w:jc w:val="both"/>
        <w:rPr>
          <w:color w:val="000000" w:themeColor="text1"/>
          <w:sz w:val="22"/>
          <w:szCs w:val="22"/>
        </w:rPr>
      </w:pPr>
      <w:r>
        <w:rPr>
          <w:color w:val="000000" w:themeColor="text1"/>
          <w:sz w:val="22"/>
          <w:szCs w:val="22"/>
        </w:rPr>
      </w:r>
    </w:p>
    <w:p>
      <w:pPr>
        <w:pStyle w:val="Normal"/>
        <w:widowControl w:val="false"/>
        <w:jc w:val="both"/>
        <w:rPr>
          <w:b/>
          <w:b/>
          <w:sz w:val="22"/>
          <w:szCs w:val="22"/>
        </w:rPr>
      </w:pPr>
      <w:r>
        <w:rPr>
          <w:b/>
          <w:sz w:val="22"/>
          <w:szCs w:val="22"/>
        </w:rPr>
      </w:r>
    </w:p>
    <w:p>
      <w:pPr>
        <w:pStyle w:val="Normal"/>
        <w:widowControl w:val="false"/>
        <w:jc w:val="both"/>
        <w:rPr>
          <w:b/>
          <w:b/>
          <w:sz w:val="22"/>
          <w:szCs w:val="22"/>
        </w:rPr>
      </w:pPr>
      <w:r>
        <w:rPr>
          <w:b/>
          <w:sz w:val="22"/>
          <w:szCs w:val="22"/>
        </w:rPr>
        <w:t>TRENTENA.- Obertura de les proposicions</w:t>
      </w:r>
    </w:p>
    <w:p>
      <w:pPr>
        <w:pStyle w:val="Normal"/>
        <w:widowControl w:val="false"/>
        <w:jc w:val="both"/>
        <w:rPr>
          <w:b/>
          <w:b/>
          <w:sz w:val="22"/>
          <w:szCs w:val="22"/>
        </w:rPr>
      </w:pPr>
      <w:r>
        <w:rPr>
          <w:b/>
          <w:sz w:val="22"/>
          <w:szCs w:val="22"/>
        </w:rPr>
      </w:r>
    </w:p>
    <w:p>
      <w:pPr>
        <w:pStyle w:val="Normal"/>
        <w:widowControl w:val="false"/>
        <w:jc w:val="both"/>
        <w:rPr>
          <w:color w:val="auto"/>
          <w:sz w:val="22"/>
          <w:szCs w:val="22"/>
        </w:rPr>
      </w:pPr>
      <w:r>
        <w:rPr>
          <w:color w:val="auto"/>
          <w:sz w:val="22"/>
          <w:szCs w:val="22"/>
        </w:rPr>
        <w:t xml:space="preserve">La mesa de contractació qualificarà, en reunió interna, la documentació administrativa (sobre 1). L’obertura de les propostes es farà a través de la </w:t>
      </w:r>
      <w:r>
        <w:rPr>
          <w:color w:val="auto"/>
          <w:sz w:val="22"/>
          <w:szCs w:val="22"/>
          <w:lang w:eastAsia="es-ES"/>
        </w:rPr>
        <w:t>Plataforma de Serveis de Contractació Pública (PSCP-eLicita)</w:t>
      </w:r>
      <w:r>
        <w:rPr>
          <w:color w:val="auto"/>
          <w:sz w:val="22"/>
          <w:szCs w:val="22"/>
        </w:rPr>
        <w:t>. De conformitat amb el que estableix l’article 157.4 de la LCSP, l’obertura no es realitzarà en acte públic, atès que en la licitació s’utilitzen exclusivament mitjans electrònics. El sistema informàtic que suporta aquesta plataforma té un dispositiu que permet acreditar fefaentment el moment de l’obertura de les ofertes i el secret de la informació que hi estigui inclosa.</w:t>
      </w:r>
    </w:p>
    <w:p>
      <w:pPr>
        <w:pStyle w:val="Normal"/>
        <w:widowControl w:val="false"/>
        <w:jc w:val="both"/>
        <w:rPr>
          <w:color w:val="auto"/>
          <w:sz w:val="22"/>
          <w:szCs w:val="22"/>
        </w:rPr>
      </w:pPr>
      <w:r>
        <w:rPr>
          <w:color w:val="auto"/>
          <w:sz w:val="22"/>
          <w:szCs w:val="22"/>
        </w:rPr>
      </w:r>
    </w:p>
    <w:p>
      <w:pPr>
        <w:pStyle w:val="Normal"/>
        <w:widowControl w:val="false"/>
        <w:jc w:val="both"/>
        <w:rPr>
          <w:color w:val="auto"/>
          <w:sz w:val="22"/>
          <w:szCs w:val="22"/>
        </w:rPr>
      </w:pPr>
      <w:r>
        <w:rPr>
          <w:color w:val="auto"/>
          <w:sz w:val="22"/>
          <w:szCs w:val="22"/>
        </w:rPr>
        <w:t>En cas que alguna empresa licitadora no introdueixi la paraula clau, no es podrà accedir al contingut del sobre xifrat. Així, atès que la presentació d’ofertes a través de l’eina de Sobre Digital es basa en el xifratge de la documentació i requereix necessàriament la introducció per part de les empreses licitadores de la/les paraula/es clau, que només elles custodien durant tot el procés, per poder accedir al contingut xifrat dels sobres, no es podrà efectuar la valoració de la documentació de la seva oferta quan no es pugui desxifrar per no haver introduït l’empresa la paraula clau.</w:t>
      </w:r>
    </w:p>
    <w:p>
      <w:pPr>
        <w:pStyle w:val="Normal"/>
        <w:widowControl w:val="false"/>
        <w:jc w:val="both"/>
        <w:rPr>
          <w:color w:val="auto"/>
          <w:sz w:val="22"/>
          <w:szCs w:val="22"/>
        </w:rPr>
      </w:pPr>
      <w:r>
        <w:rPr>
          <w:color w:val="auto"/>
          <w:sz w:val="22"/>
          <w:szCs w:val="22"/>
        </w:rPr>
      </w:r>
    </w:p>
    <w:p>
      <w:pPr>
        <w:pStyle w:val="Normal"/>
        <w:widowControl w:val="false"/>
        <w:jc w:val="both"/>
        <w:rPr>
          <w:color w:val="auto"/>
          <w:sz w:val="22"/>
          <w:szCs w:val="22"/>
        </w:rPr>
      </w:pPr>
      <w:r>
        <w:rPr>
          <w:color w:val="auto"/>
          <w:sz w:val="22"/>
          <w:szCs w:val="22"/>
        </w:rPr>
        <w:t>Es demanarà a les empreses licitadores, mitjançant el correu electrònic assenyalat en el formulari d’inscripció a l’oferta de l’eina de Sobre Digital, que accedeixin a l’eina web de Sobre Digital per introduir les seves paraules clau en el moment que correspongui.</w:t>
      </w:r>
    </w:p>
    <w:p>
      <w:pPr>
        <w:pStyle w:val="Normal"/>
        <w:widowControl w:val="false"/>
        <w:jc w:val="both"/>
        <w:rPr>
          <w:color w:val="auto"/>
          <w:sz w:val="22"/>
          <w:szCs w:val="22"/>
        </w:rPr>
      </w:pPr>
      <w:r>
        <w:rPr>
          <w:color w:val="auto"/>
          <w:sz w:val="22"/>
          <w:szCs w:val="22"/>
        </w:rPr>
      </w:r>
    </w:p>
    <w:p>
      <w:pPr>
        <w:pStyle w:val="Normal"/>
        <w:widowControl w:val="false"/>
        <w:jc w:val="both"/>
        <w:rPr>
          <w:color w:val="auto"/>
          <w:sz w:val="22"/>
          <w:szCs w:val="22"/>
        </w:rPr>
      </w:pPr>
      <w:r>
        <w:rPr>
          <w:color w:val="auto"/>
          <w:sz w:val="22"/>
          <w:szCs w:val="22"/>
        </w:rPr>
        <w:t>En cas de NO obtenir la paraula clau es valorarà la conveniència de publicar un anunci en el Perfil de Contractant, indicant el dia i l’hora límit pel seu enviament.</w:t>
      </w:r>
    </w:p>
    <w:p>
      <w:pPr>
        <w:pStyle w:val="Normal"/>
        <w:widowControl w:val="false"/>
        <w:jc w:val="both"/>
        <w:rPr>
          <w:color w:val="auto"/>
          <w:sz w:val="22"/>
          <w:szCs w:val="22"/>
        </w:rPr>
      </w:pPr>
      <w:r>
        <w:rPr>
          <w:color w:val="auto"/>
          <w:sz w:val="22"/>
          <w:szCs w:val="22"/>
        </w:rPr>
      </w:r>
    </w:p>
    <w:p>
      <w:pPr>
        <w:pStyle w:val="Normal"/>
        <w:jc w:val="both"/>
        <w:rPr>
          <w:color w:val="auto"/>
          <w:sz w:val="22"/>
          <w:szCs w:val="22"/>
        </w:rPr>
      </w:pPr>
      <w:r>
        <w:rPr>
          <w:color w:val="auto"/>
          <w:sz w:val="22"/>
          <w:szCs w:val="22"/>
        </w:rPr>
        <w:t xml:space="preserve">La mesa concedirà un termini de tres (3) dies hàbils a comptar des de l'obertura de la documentació administrativa (sobre 1) per a la resolució de defectes i/o omissions. La comunicació als interessats es farà </w:t>
      </w:r>
      <w:r>
        <w:rPr>
          <w:color w:val="auto"/>
          <w:sz w:val="22"/>
        </w:rPr>
        <w:t>per mitjans electrònics</w:t>
      </w:r>
      <w:r>
        <w:rPr>
          <w:color w:val="auto"/>
          <w:sz w:val="22"/>
          <w:szCs w:val="22"/>
        </w:rPr>
        <w:t xml:space="preserve">. </w:t>
      </w:r>
    </w:p>
    <w:p>
      <w:pPr>
        <w:pStyle w:val="Normal"/>
        <w:widowControl w:val="false"/>
        <w:jc w:val="both"/>
        <w:rPr>
          <w:sz w:val="22"/>
          <w:szCs w:val="22"/>
        </w:rPr>
      </w:pPr>
      <w:r>
        <w:rPr>
          <w:sz w:val="22"/>
          <w:szCs w:val="22"/>
        </w:rPr>
      </w:r>
    </w:p>
    <w:p>
      <w:pPr>
        <w:pStyle w:val="Normal"/>
        <w:jc w:val="both"/>
        <w:rPr>
          <w:sz w:val="22"/>
          <w:szCs w:val="22"/>
        </w:rPr>
      </w:pPr>
      <w:r>
        <w:rPr>
          <w:sz w:val="22"/>
          <w:szCs w:val="22"/>
        </w:rPr>
        <w:t>La mesa de contractació donarà coneixement en el perfil de contractant sobre l'admissió o exclusió de les empreses licitadores.</w:t>
      </w:r>
    </w:p>
    <w:p>
      <w:pPr>
        <w:pStyle w:val="Normal"/>
        <w:jc w:val="both"/>
        <w:rPr>
          <w:sz w:val="22"/>
          <w:szCs w:val="22"/>
        </w:rPr>
      </w:pPr>
      <w:r>
        <w:rPr>
          <w:sz w:val="22"/>
          <w:szCs w:val="22"/>
        </w:rPr>
      </w:r>
    </w:p>
    <w:p>
      <w:pPr>
        <w:pStyle w:val="Normal"/>
        <w:widowControl w:val="false"/>
        <w:jc w:val="both"/>
        <w:rPr>
          <w:sz w:val="22"/>
          <w:szCs w:val="22"/>
        </w:rPr>
      </w:pPr>
      <w:r>
        <w:rPr>
          <w:sz w:val="22"/>
          <w:szCs w:val="22"/>
        </w:rPr>
        <w:t>La mesa desestimarà aquelles empreses licitadores que no aportin tota la documentació requerida o que no acreditin la capacitat i solvència exigides.</w:t>
      </w:r>
    </w:p>
    <w:p>
      <w:pPr>
        <w:pStyle w:val="PlainText"/>
        <w:jc w:val="both"/>
        <w:rPr>
          <w:rFonts w:ascii="Arial" w:hAnsi="Arial" w:cs="Arial"/>
          <w:color w:val="000000"/>
          <w:sz w:val="22"/>
          <w:highlight w:val="green"/>
        </w:rPr>
      </w:pPr>
      <w:r>
        <w:rPr>
          <w:rFonts w:cs="Arial" w:ascii="Arial" w:hAnsi="Arial"/>
          <w:color w:val="000000"/>
          <w:sz w:val="22"/>
          <w:highlight w:val="green"/>
        </w:rPr>
      </w:r>
    </w:p>
    <w:p>
      <w:pPr>
        <w:pStyle w:val="PlainText"/>
        <w:jc w:val="both"/>
        <w:rPr>
          <w:rFonts w:ascii="Arial" w:hAnsi="Arial" w:cs="Arial"/>
          <w:sz w:val="22"/>
          <w:szCs w:val="22"/>
        </w:rPr>
      </w:pPr>
      <w:r>
        <w:rPr>
          <w:rFonts w:cs="Arial" w:ascii="Arial" w:hAnsi="Arial"/>
          <w:sz w:val="22"/>
          <w:szCs w:val="22"/>
        </w:rPr>
      </w:r>
    </w:p>
    <w:p>
      <w:pPr>
        <w:pStyle w:val="Encapalament7"/>
        <w:rPr/>
      </w:pPr>
      <w:r>
        <w:rPr>
          <w:szCs w:val="22"/>
        </w:rPr>
        <w:t>TRENTA-UNENA</w:t>
      </w:r>
      <w:r>
        <w:rPr/>
        <w:t>.- Variants</w:t>
      </w:r>
    </w:p>
    <w:p>
      <w:pPr>
        <w:pStyle w:val="Normal"/>
        <w:rPr/>
      </w:pPr>
      <w:r>
        <w:rPr/>
      </w:r>
    </w:p>
    <w:p>
      <w:pPr>
        <w:pStyle w:val="Normal"/>
        <w:rPr>
          <w:shd w:fill="auto" w:val="clear"/>
        </w:rPr>
      </w:pPr>
      <w:r>
        <w:rPr>
          <w:sz w:val="22"/>
          <w:szCs w:val="22"/>
          <w:shd w:fill="auto" w:val="clear"/>
        </w:rPr>
        <w:t xml:space="preserve">No s’admetran variants sobre l’execució del contracte. </w:t>
      </w:r>
    </w:p>
    <w:p>
      <w:pPr>
        <w:pStyle w:val="Normal"/>
        <w:rPr>
          <w:sz w:val="22"/>
          <w:szCs w:val="22"/>
          <w:shd w:fill="auto" w:val="clear"/>
        </w:rPr>
      </w:pPr>
      <w:r>
        <w:rPr>
          <w:sz w:val="22"/>
          <w:szCs w:val="22"/>
          <w:shd w:fill="auto" w:val="clear"/>
        </w:rPr>
      </w:r>
    </w:p>
    <w:p>
      <w:pPr>
        <w:pStyle w:val="Normal"/>
        <w:rPr>
          <w:sz w:val="22"/>
          <w:szCs w:val="22"/>
          <w:highlight w:val="green"/>
        </w:rPr>
      </w:pPr>
      <w:r>
        <w:rPr>
          <w:sz w:val="22"/>
          <w:szCs w:val="22"/>
          <w:highlight w:val="green"/>
        </w:rPr>
      </w:r>
    </w:p>
    <w:p>
      <w:pPr>
        <w:pStyle w:val="Encapalament7"/>
        <w:rPr/>
      </w:pPr>
      <w:r>
        <w:rPr>
          <w:szCs w:val="22"/>
        </w:rPr>
        <w:t>TRENTA-DOSENA.- Documentació a presentar per l’empresa licitadora que hagi presentat la millor oferta</w:t>
      </w:r>
    </w:p>
    <w:p>
      <w:pPr>
        <w:pStyle w:val="Normal"/>
        <w:rPr/>
      </w:pPr>
      <w:r>
        <w:rPr/>
      </w:r>
    </w:p>
    <w:p>
      <w:pPr>
        <w:pStyle w:val="Normal"/>
        <w:jc w:val="both"/>
        <w:rPr>
          <w:sz w:val="22"/>
          <w:szCs w:val="22"/>
        </w:rPr>
      </w:pPr>
      <w:r>
        <w:rPr>
          <w:sz w:val="22"/>
          <w:szCs w:val="22"/>
        </w:rPr>
        <w:t>L’Ajuntament requerirà a l’empresa licitadora que hagi presentat la millor oferta perquè, dins del termini de deu (10) dies hàbils comptats des de l’endemà del dia en què hagi rebut el requeriment, presenti la documentació justificativa d’estar al corrent del compliment de les obligacions tributàries i amb la Seguretat Social o autoritzi a l’òrgan de contractació per a obtenir directament l’acreditació d’això, i d’haver constituït la garantia definitiva que sigui procedent, així com, si l’empresa licitadora va substituir l’aportació inicial de la documentació acreditativa de la capacitat i solvència per una declaració responsable, l’acreditació de la possessió i validesa dels documents exigits.</w:t>
      </w:r>
    </w:p>
    <w:p>
      <w:pPr>
        <w:pStyle w:val="Normal"/>
        <w:jc w:val="both"/>
        <w:rPr>
          <w:sz w:val="22"/>
          <w:szCs w:val="22"/>
        </w:rPr>
      </w:pPr>
      <w:r>
        <w:rPr>
          <w:sz w:val="22"/>
          <w:szCs w:val="22"/>
        </w:rPr>
      </w:r>
    </w:p>
    <w:p>
      <w:pPr>
        <w:pStyle w:val="Normal"/>
        <w:jc w:val="both"/>
        <w:rPr/>
      </w:pPr>
      <w:r>
        <w:rPr>
          <w:color w:val="000000"/>
          <w:sz w:val="22"/>
        </w:rPr>
        <w:t xml:space="preserve">Si aquest licitador no ha constituït la garantia definitiva o no ha presentat adequadament la documentació requerida en el termini assenyalat, o bé en el termini per esmenar que es doni, s’entendrà que l’empresa licitadora retira la seva oferta, se li exigirà l’import del 3% del pressupost base de licitació, IVA exclòs, en concepte de penalitat, d’acord amb l’article 150 de la LCSP, i, a més, pot donar lloc a declarar l’empresa en prohibició de contractar per la causa prevista a l’article 71.2.a) de la LCSP. I es procedirà a demanar els mateixos requisits al licitador següent per l’ordre en que hagin quedat classificades les ofertes, al qual se li atorgarà el termini corresponent per constituir la garantia definitiva i presentar la resta de documentació requerida. </w:t>
      </w:r>
    </w:p>
    <w:p>
      <w:pPr>
        <w:pStyle w:val="Normal"/>
        <w:jc w:val="both"/>
        <w:rPr>
          <w:b/>
          <w:b/>
          <w:sz w:val="22"/>
          <w:szCs w:val="22"/>
        </w:rPr>
      </w:pPr>
      <w:r>
        <w:rPr>
          <w:b/>
          <w:sz w:val="22"/>
          <w:szCs w:val="22"/>
        </w:rPr>
      </w:r>
    </w:p>
    <w:p>
      <w:pPr>
        <w:pStyle w:val="Normal"/>
        <w:jc w:val="both"/>
        <w:rPr>
          <w:b/>
          <w:b/>
          <w:i/>
          <w:i/>
          <w:iCs/>
          <w:sz w:val="22"/>
          <w:szCs w:val="22"/>
          <w:highlight w:val="green"/>
        </w:rPr>
      </w:pPr>
      <w:r>
        <w:rPr>
          <w:b/>
          <w:i/>
          <w:iCs/>
          <w:sz w:val="22"/>
          <w:szCs w:val="22"/>
          <w:highlight w:val="green"/>
        </w:rPr>
      </w:r>
    </w:p>
    <w:p>
      <w:pPr>
        <w:pStyle w:val="Encapalament8"/>
        <w:rPr>
          <w:szCs w:val="22"/>
        </w:rPr>
      </w:pPr>
      <w:r>
        <w:rPr>
          <w:szCs w:val="22"/>
        </w:rPr>
        <w:t>TRENTA-TRESENA.- Adjudicació del contracte</w:t>
      </w:r>
    </w:p>
    <w:p>
      <w:pPr>
        <w:pStyle w:val="Normal"/>
        <w:rPr>
          <w:b/>
          <w:b/>
          <w:i/>
          <w:i/>
          <w:sz w:val="22"/>
          <w:szCs w:val="22"/>
        </w:rPr>
      </w:pPr>
      <w:r>
        <w:rPr>
          <w:b/>
          <w:i/>
          <w:sz w:val="22"/>
          <w:szCs w:val="22"/>
        </w:rPr>
      </w:r>
    </w:p>
    <w:p>
      <w:pPr>
        <w:pStyle w:val="BodyText3"/>
        <w:rPr>
          <w:sz w:val="22"/>
          <w:szCs w:val="22"/>
          <w:lang w:val="ca-ES"/>
        </w:rPr>
      </w:pPr>
      <w:r>
        <w:rPr>
          <w:sz w:val="22"/>
          <w:szCs w:val="22"/>
          <w:lang w:val="ca-ES"/>
        </w:rPr>
        <w:t>L’Ajuntament acordarà l’adjudicació del contracte en resolució motivada, que es notificarà als candidats i es publicarà en el perfil de contractant de la Plataforma de Serveis de Contractació Pública. La notificació de l’adjudicació contindrà tota la informació que preveu l’article 151 de la LCSP.</w:t>
      </w:r>
    </w:p>
    <w:p>
      <w:pPr>
        <w:pStyle w:val="Cosdeltext"/>
        <w:rPr>
          <w:rFonts w:ascii="Arial" w:hAnsi="Arial" w:cs="Arial"/>
          <w:b/>
          <w:b/>
          <w:sz w:val="22"/>
          <w:szCs w:val="22"/>
          <w:highlight w:val="yellow"/>
          <w:lang w:val="ca-ES"/>
        </w:rPr>
      </w:pPr>
      <w:r>
        <w:rPr>
          <w:rFonts w:cs="Arial" w:ascii="Arial" w:hAnsi="Arial"/>
          <w:b/>
          <w:sz w:val="22"/>
          <w:szCs w:val="22"/>
          <w:highlight w:val="yellow"/>
          <w:lang w:val="ca-ES"/>
        </w:rPr>
      </w:r>
    </w:p>
    <w:p>
      <w:pPr>
        <w:pStyle w:val="Cosdeltext"/>
        <w:rPr>
          <w:rFonts w:ascii="Arial" w:hAnsi="Arial" w:cs="Arial"/>
          <w:b/>
          <w:b/>
          <w:sz w:val="22"/>
          <w:szCs w:val="22"/>
          <w:highlight w:val="yellow"/>
          <w:lang w:val="ca-ES"/>
        </w:rPr>
      </w:pPr>
      <w:r>
        <w:rPr>
          <w:rFonts w:cs="Arial" w:ascii="Arial" w:hAnsi="Arial"/>
          <w:b/>
          <w:sz w:val="22"/>
          <w:szCs w:val="22"/>
          <w:highlight w:val="yellow"/>
          <w:lang w:val="ca-ES"/>
        </w:rPr>
      </w:r>
    </w:p>
    <w:p>
      <w:pPr>
        <w:pStyle w:val="Normal"/>
        <w:jc w:val="both"/>
        <w:rPr>
          <w:b/>
          <w:b/>
          <w:sz w:val="22"/>
          <w:szCs w:val="22"/>
        </w:rPr>
      </w:pPr>
      <w:r>
        <w:rPr>
          <w:b/>
          <w:sz w:val="22"/>
          <w:szCs w:val="22"/>
        </w:rPr>
        <w:t>TRENTA-QUATRENA.- Formalització del contracte</w:t>
      </w:r>
    </w:p>
    <w:p>
      <w:pPr>
        <w:pStyle w:val="Normal"/>
        <w:jc w:val="both"/>
        <w:rPr>
          <w:b/>
          <w:b/>
          <w:sz w:val="22"/>
          <w:szCs w:val="22"/>
        </w:rPr>
      </w:pPr>
      <w:r>
        <w:rPr>
          <w:b/>
          <w:sz w:val="22"/>
          <w:szCs w:val="22"/>
        </w:rPr>
      </w:r>
    </w:p>
    <w:p>
      <w:pPr>
        <w:pStyle w:val="Normal"/>
        <w:jc w:val="both"/>
        <w:rPr/>
      </w:pPr>
      <w:r>
        <w:rPr>
          <w:sz w:val="22"/>
          <w:szCs w:val="22"/>
        </w:rPr>
        <w:t>El contracte es formalitzarà en un document administratiu que s’ajusti amb exactitud a les condicions de la licitació</w:t>
      </w:r>
      <w:r>
        <w:rPr>
          <w:color w:val="000000"/>
          <w:sz w:val="22"/>
          <w:szCs w:val="22"/>
        </w:rPr>
        <w:t xml:space="preserve">. </w:t>
      </w:r>
      <w:r>
        <w:rPr>
          <w:sz w:val="22"/>
          <w:szCs w:val="22"/>
        </w:rPr>
        <w:t>La formalització en document administratiu d’aquest contracte es farà mitjançant signatura electrònica. Amb aquest objectiu, el representant legal de l'empresa adjudicatària haurà de posseir un certificat de signatura electrònica qualificada de persona física amb dispositiu segur lliurat per qualsevol entitat de certificació classificada per l’Agència Catalana de Certificació, o bé DNI electrònic.</w:t>
      </w:r>
    </w:p>
    <w:p>
      <w:pPr>
        <w:pStyle w:val="Normal"/>
        <w:jc w:val="both"/>
        <w:rPr>
          <w:i/>
          <w:i/>
          <w:sz w:val="22"/>
          <w:szCs w:val="22"/>
        </w:rPr>
      </w:pPr>
      <w:r>
        <w:rPr>
          <w:i/>
          <w:sz w:val="22"/>
          <w:szCs w:val="22"/>
        </w:rPr>
      </w:r>
    </w:p>
    <w:p>
      <w:pPr>
        <w:pStyle w:val="Normal"/>
        <w:jc w:val="both"/>
        <w:rPr/>
      </w:pPr>
      <w:r>
        <w:rPr>
          <w:sz w:val="22"/>
          <w:szCs w:val="22"/>
        </w:rPr>
        <w:t>D’acord amb l’article 153 de la LCSP, la formalització del contracte no es pot efectuar abans que transcorrin quinze dies hàbils des que es remeti la notificació de l’adjudicació a les empreses licitadores i candidates en la forma que preveu l’article 151 de la LCSP.</w:t>
      </w:r>
    </w:p>
    <w:p>
      <w:pPr>
        <w:pStyle w:val="Normal"/>
        <w:jc w:val="both"/>
        <w:rPr>
          <w:i/>
          <w:i/>
          <w:sz w:val="22"/>
          <w:szCs w:val="22"/>
        </w:rPr>
      </w:pPr>
      <w:r>
        <w:rPr>
          <w:i/>
          <w:sz w:val="22"/>
          <w:szCs w:val="22"/>
        </w:rPr>
      </w:r>
    </w:p>
    <w:p>
      <w:pPr>
        <w:pStyle w:val="Normal"/>
        <w:jc w:val="both"/>
        <w:rPr>
          <w:sz w:val="22"/>
          <w:szCs w:val="22"/>
        </w:rPr>
      </w:pPr>
      <w:r>
        <w:rPr>
          <w:sz w:val="22"/>
          <w:szCs w:val="22"/>
        </w:rPr>
        <w:t>El contingut del contracte serà el que estableixen els articles 35 de la LCSP i 71 del RGLCAP i no inclourà cap clàusula que impliqui alteració dels termes de l’adjudicació</w:t>
      </w:r>
    </w:p>
    <w:p>
      <w:pPr>
        <w:pStyle w:val="Normal"/>
        <w:jc w:val="both"/>
        <w:rPr>
          <w:sz w:val="22"/>
          <w:szCs w:val="22"/>
        </w:rPr>
      </w:pPr>
      <w:r>
        <w:rPr>
          <w:sz w:val="22"/>
          <w:szCs w:val="22"/>
        </w:rPr>
      </w:r>
    </w:p>
    <w:p>
      <w:pPr>
        <w:pStyle w:val="Normal"/>
        <w:jc w:val="both"/>
        <w:rPr/>
      </w:pPr>
      <w:r>
        <w:rPr>
          <w:sz w:val="22"/>
          <w:szCs w:val="22"/>
        </w:rPr>
        <w:t>El contracte es perfeccionarà amb la seva formalització i aquesta serà requisit imprescindible per poder iniciar-ne l’execució</w:t>
      </w:r>
      <w:r>
        <w:rPr>
          <w:i/>
          <w:sz w:val="22"/>
          <w:szCs w:val="22"/>
        </w:rPr>
        <w:t>.</w:t>
      </w:r>
    </w:p>
    <w:p>
      <w:pPr>
        <w:pStyle w:val="Normal"/>
        <w:jc w:val="both"/>
        <w:rPr>
          <w:i/>
          <w:i/>
          <w:sz w:val="22"/>
          <w:szCs w:val="22"/>
        </w:rPr>
      </w:pPr>
      <w:r>
        <w:rPr>
          <w:i/>
          <w:sz w:val="22"/>
          <w:szCs w:val="22"/>
        </w:rPr>
      </w:r>
    </w:p>
    <w:p>
      <w:pPr>
        <w:pStyle w:val="Normal"/>
        <w:jc w:val="both"/>
        <w:rPr>
          <w:sz w:val="22"/>
          <w:szCs w:val="22"/>
        </w:rPr>
      </w:pPr>
      <w:r>
        <w:rPr>
          <w:sz w:val="22"/>
          <w:szCs w:val="22"/>
        </w:rPr>
        <w:t>La formalització del contracte es publicarà, en un termini no superior a quinze dies després del perfeccionament del contracte, en el perfil de contractant de l’Ajuntament.</w:t>
      </w:r>
    </w:p>
    <w:p>
      <w:pPr>
        <w:pStyle w:val="Normal"/>
        <w:jc w:val="both"/>
        <w:rPr>
          <w:sz w:val="22"/>
          <w:szCs w:val="22"/>
        </w:rPr>
      </w:pPr>
      <w:r>
        <w:rPr>
          <w:sz w:val="22"/>
          <w:szCs w:val="22"/>
        </w:rPr>
      </w:r>
    </w:p>
    <w:p>
      <w:pPr>
        <w:pStyle w:val="Normal"/>
        <w:jc w:val="both"/>
        <w:rPr/>
      </w:pPr>
      <w:r>
        <w:rPr>
          <w:sz w:val="22"/>
          <w:szCs w:val="22"/>
        </w:rPr>
        <w:t xml:space="preserve">L’anunci de formalització s’ha de publicar, a més, en el DOUE. </w:t>
      </w:r>
    </w:p>
    <w:p>
      <w:pPr>
        <w:pStyle w:val="Normal"/>
        <w:jc w:val="both"/>
        <w:rPr>
          <w:sz w:val="22"/>
          <w:szCs w:val="22"/>
        </w:rPr>
      </w:pPr>
      <w:r>
        <w:rPr>
          <w:sz w:val="22"/>
          <w:szCs w:val="22"/>
        </w:rPr>
      </w:r>
    </w:p>
    <w:p>
      <w:pPr>
        <w:pStyle w:val="Normal"/>
        <w:jc w:val="both"/>
        <w:rPr>
          <w:sz w:val="22"/>
          <w:szCs w:val="22"/>
        </w:rPr>
      </w:pPr>
      <w:r>
        <w:rPr>
          <w:sz w:val="22"/>
          <w:szCs w:val="22"/>
        </w:rPr>
        <w:t>Si el contracte no es formalitza en el termini indicat en l’apartat anterior per causes imputables a l’empresa adjudicatària, se li exigirà l’import del 3 per cent del pressupost base de licitació, IVA exclòs, en concepte de penalitat, que es farà efectiu en primer lloc contra la garantia definitiva, si s’ha constituït. A més, aquest fet pot donar lloc a declarar a l’empresa en prohibició de contractar, d’acord amb l’article 71.2 b de la LCSP.</w:t>
      </w:r>
    </w:p>
    <w:p>
      <w:pPr>
        <w:pStyle w:val="Normal"/>
        <w:jc w:val="both"/>
        <w:rPr>
          <w:sz w:val="22"/>
          <w:szCs w:val="22"/>
        </w:rPr>
      </w:pPr>
      <w:r>
        <w:rPr>
          <w:sz w:val="22"/>
          <w:szCs w:val="22"/>
        </w:rPr>
      </w:r>
    </w:p>
    <w:p>
      <w:pPr>
        <w:pStyle w:val="Normal"/>
        <w:jc w:val="both"/>
        <w:rPr>
          <w:sz w:val="22"/>
          <w:szCs w:val="22"/>
        </w:rPr>
      </w:pPr>
      <w:r>
        <w:rPr>
          <w:sz w:val="22"/>
          <w:szCs w:val="22"/>
        </w:rPr>
        <w:t>Si el contracte no es formalitza en el termini indicat per causes imputables l’administració, s’haurà d’indemnitzar a l’empresa adjudicatària pels danys i perjudicis que la demora li pugui ocasionar.</w:t>
      </w:r>
    </w:p>
    <w:p>
      <w:pPr>
        <w:pStyle w:val="Normal"/>
        <w:jc w:val="both"/>
        <w:rPr>
          <w:sz w:val="22"/>
          <w:szCs w:val="22"/>
        </w:rPr>
      </w:pPr>
      <w:r>
        <w:rPr>
          <w:sz w:val="22"/>
          <w:szCs w:val="22"/>
        </w:rPr>
      </w:r>
    </w:p>
    <w:p>
      <w:pPr>
        <w:pStyle w:val="Normal"/>
        <w:jc w:val="both"/>
        <w:rPr/>
      </w:pPr>
      <w:r>
        <w:rPr>
          <w:sz w:val="22"/>
          <w:szCs w:val="22"/>
        </w:rPr>
        <w:t>En el supòsit que el contracte no es pugui formalitzar amb l’empresa adjudicatària, s’adjudicarà a l’empresa següent que hagi presentat la millor oferta d’acord amb l’ordre en què hagin quedat classificades les ofertes, amb la presentació prèvia de la documentació a què es refereix la clàusula 32</w:t>
      </w:r>
      <w:r>
        <w:rPr>
          <w:position w:val="0"/>
          <w:sz w:val="22"/>
          <w:sz w:val="22"/>
          <w:szCs w:val="22"/>
          <w:shd w:fill="auto" w:val="clear"/>
          <w:vertAlign w:val="baseline"/>
        </w:rPr>
        <w:t>a</w:t>
      </w:r>
      <w:r>
        <w:rPr>
          <w:sz w:val="22"/>
          <w:szCs w:val="22"/>
          <w:shd w:fill="auto" w:val="clear"/>
        </w:rPr>
        <w:t>,</w:t>
      </w:r>
      <w:r>
        <w:rPr>
          <w:sz w:val="22"/>
          <w:szCs w:val="22"/>
        </w:rPr>
        <w:t xml:space="preserve"> essent aplicables els terminis previstos en els apartats anteriors.</w:t>
      </w:r>
    </w:p>
    <w:p>
      <w:pPr>
        <w:pStyle w:val="Normal"/>
        <w:jc w:val="both"/>
        <w:rPr>
          <w:sz w:val="22"/>
          <w:szCs w:val="22"/>
        </w:rPr>
      </w:pPr>
      <w:r>
        <w:rPr>
          <w:sz w:val="22"/>
          <w:szCs w:val="22"/>
        </w:rPr>
      </w:r>
    </w:p>
    <w:p>
      <w:pPr>
        <w:pStyle w:val="Normal"/>
        <w:jc w:val="both"/>
        <w:rPr>
          <w:sz w:val="22"/>
          <w:szCs w:val="22"/>
        </w:rPr>
      </w:pPr>
      <w:r>
        <w:rPr>
          <w:sz w:val="22"/>
          <w:szCs w:val="22"/>
        </w:rPr>
        <w:t xml:space="preserve">Un cop formalitzat el contracte, es comunicarà al Registre Públic de Contractes de la Generalitat de Catalunya, per a la seva inscripció, les dades bàsiques, entre les quals figuraran la identitat de l’empresa adjudicatària, l’import d’adjudicació del contracte, juntament amb el desglossament corresponent de l’IVA; i posteriorment, si s’escau, les modificacions, les pròrrogues, les variacions de terminis o de preus, l’import final i l’extinció del contracte. </w:t>
      </w:r>
    </w:p>
    <w:p>
      <w:pPr>
        <w:pStyle w:val="Normal"/>
        <w:jc w:val="both"/>
        <w:rPr>
          <w:sz w:val="22"/>
          <w:szCs w:val="22"/>
        </w:rPr>
      </w:pPr>
      <w:r>
        <w:rPr>
          <w:sz w:val="22"/>
          <w:szCs w:val="22"/>
        </w:rPr>
      </w:r>
    </w:p>
    <w:p>
      <w:pPr>
        <w:pStyle w:val="Normal"/>
        <w:jc w:val="both"/>
        <w:rPr>
          <w:sz w:val="22"/>
          <w:szCs w:val="22"/>
        </w:rPr>
      </w:pPr>
      <w:r>
        <w:rPr>
          <w:sz w:val="22"/>
          <w:szCs w:val="22"/>
        </w:rPr>
        <w:t>Les dades contractuals comunicades al registre públic de contractes seran d’accés públic, amb les limitacions que imposen les normes sobre protecció de dades, sempre  que no tinguin caràcter de confidencials.</w:t>
      </w:r>
    </w:p>
    <w:p>
      <w:pPr>
        <w:pStyle w:val="Normal"/>
        <w:jc w:val="both"/>
        <w:rPr>
          <w:sz w:val="22"/>
          <w:szCs w:val="22"/>
        </w:rPr>
      </w:pPr>
      <w:r>
        <w:rPr>
          <w:sz w:val="22"/>
          <w:szCs w:val="22"/>
        </w:rPr>
      </w:r>
    </w:p>
    <w:p>
      <w:pPr>
        <w:pStyle w:val="Encapalament7"/>
        <w:numPr>
          <w:ilvl w:val="0"/>
          <w:numId w:val="0"/>
        </w:numPr>
        <w:ind w:left="0" w:hanging="0"/>
        <w:rPr>
          <w:szCs w:val="22"/>
        </w:rPr>
      </w:pPr>
      <w:r>
        <w:rPr>
          <w:szCs w:val="22"/>
        </w:rPr>
      </w:r>
    </w:p>
    <w:p>
      <w:pPr>
        <w:pStyle w:val="Encapalament7"/>
        <w:rPr>
          <w:szCs w:val="22"/>
        </w:rPr>
      </w:pPr>
      <w:r>
        <w:rPr>
          <w:szCs w:val="22"/>
        </w:rPr>
        <w:t>TRENTA-CINQUENA.- Notificacions telemàtiques</w:t>
      </w:r>
    </w:p>
    <w:p>
      <w:pPr>
        <w:pStyle w:val="Normal"/>
        <w:jc w:val="both"/>
        <w:rPr>
          <w:b/>
          <w:b/>
          <w:sz w:val="22"/>
          <w:szCs w:val="22"/>
        </w:rPr>
      </w:pPr>
      <w:r>
        <w:rPr>
          <w:b/>
          <w:sz w:val="22"/>
          <w:szCs w:val="22"/>
        </w:rPr>
      </w:r>
    </w:p>
    <w:p>
      <w:pPr>
        <w:pStyle w:val="Normal"/>
        <w:jc w:val="both"/>
        <w:rPr>
          <w:shd w:fill="auto" w:val="clear"/>
        </w:rPr>
      </w:pPr>
      <w:r>
        <w:rPr>
          <w:sz w:val="22"/>
          <w:szCs w:val="22"/>
          <w:shd w:fill="auto" w:val="clear"/>
        </w:rPr>
        <w:t xml:space="preserve">L’Ajuntament utilitzarà, exclusivament, els mitjans electrònics </w:t>
      </w:r>
      <w:r>
        <w:rPr>
          <w:color w:val="000000"/>
          <w:sz w:val="22"/>
          <w:szCs w:val="22"/>
          <w:shd w:fill="auto" w:val="clear"/>
        </w:rPr>
        <w:t xml:space="preserve">en les seves notificacions i </w:t>
      </w:r>
      <w:r>
        <w:rPr>
          <w:sz w:val="22"/>
          <w:szCs w:val="22"/>
          <w:shd w:fill="auto" w:val="clear"/>
        </w:rPr>
        <w:t xml:space="preserve">comunicacions amb les empreses licitadores. </w:t>
      </w:r>
      <w:r>
        <w:rPr>
          <w:sz w:val="22"/>
          <w:shd w:fill="auto" w:val="clear"/>
        </w:rPr>
        <w:t xml:space="preserve">A aquest efecte, tots els licitadors presentaran en la seva oferta, dins el sobre 1, l’annex 4 </w:t>
      </w:r>
      <w:r>
        <w:rPr>
          <w:i/>
          <w:iCs/>
          <w:sz w:val="22"/>
          <w:shd w:fill="auto" w:val="clear"/>
        </w:rPr>
        <w:t xml:space="preserve">“ Model de Comunicació de dades per a les notificacions electròniques”, </w:t>
      </w:r>
      <w:r>
        <w:rPr>
          <w:sz w:val="22"/>
          <w:shd w:fill="auto" w:val="clear"/>
        </w:rPr>
        <w:t>degudament complimentat.</w:t>
      </w:r>
    </w:p>
    <w:p>
      <w:pPr>
        <w:pStyle w:val="Normal"/>
        <w:jc w:val="both"/>
        <w:rPr>
          <w:shd w:fill="auto" w:val="clear"/>
        </w:rPr>
      </w:pPr>
      <w:r>
        <w:rPr>
          <w:shd w:fill="auto" w:val="clear"/>
        </w:rPr>
      </w:r>
    </w:p>
    <w:p>
      <w:pPr>
        <w:pStyle w:val="Normal"/>
        <w:jc w:val="both"/>
        <w:rPr>
          <w:b/>
          <w:b/>
          <w:sz w:val="22"/>
          <w:szCs w:val="22"/>
        </w:rPr>
      </w:pPr>
      <w:r>
        <w:rPr>
          <w:b/>
          <w:sz w:val="22"/>
          <w:szCs w:val="22"/>
        </w:rPr>
      </w:r>
    </w:p>
    <w:p>
      <w:pPr>
        <w:pStyle w:val="Encapalament7"/>
        <w:rPr>
          <w:szCs w:val="22"/>
        </w:rPr>
      </w:pPr>
      <w:r>
        <w:rPr>
          <w:szCs w:val="22"/>
        </w:rPr>
        <w:t>TRENTA-SISENA.- Revisió de preus</w:t>
      </w:r>
    </w:p>
    <w:p>
      <w:pPr>
        <w:pStyle w:val="Normal"/>
        <w:jc w:val="both"/>
        <w:rPr>
          <w:b/>
          <w:b/>
          <w:sz w:val="22"/>
          <w:szCs w:val="22"/>
        </w:rPr>
      </w:pPr>
      <w:r>
        <w:rPr>
          <w:b/>
          <w:sz w:val="22"/>
          <w:szCs w:val="22"/>
        </w:rPr>
      </w:r>
    </w:p>
    <w:p>
      <w:pPr>
        <w:pStyle w:val="Normal"/>
        <w:suppressAutoHyphens w:val="false"/>
        <w:rPr>
          <w:sz w:val="22"/>
          <w:szCs w:val="22"/>
        </w:rPr>
      </w:pPr>
      <w:r>
        <w:rPr>
          <w:sz w:val="22"/>
          <w:szCs w:val="22"/>
        </w:rPr>
        <w:t xml:space="preserve">En el present contracte no procedeix la revisió de preus. </w:t>
      </w:r>
    </w:p>
    <w:p>
      <w:pPr>
        <w:pStyle w:val="Encapalament7"/>
        <w:numPr>
          <w:ilvl w:val="0"/>
          <w:numId w:val="0"/>
        </w:numPr>
        <w:ind w:left="0" w:hanging="0"/>
        <w:rPr>
          <w:rFonts w:ascii="Helvetica;Arial" w:hAnsi="Helvetica;Arial" w:cs="Helvetica;Arial"/>
          <w:szCs w:val="22"/>
        </w:rPr>
      </w:pPr>
      <w:r>
        <w:rPr>
          <w:rFonts w:cs="Helvetica;Arial" w:ascii="Helvetica;Arial" w:hAnsi="Helvetica;Arial"/>
          <w:szCs w:val="22"/>
        </w:rPr>
      </w:r>
    </w:p>
    <w:p>
      <w:pPr>
        <w:pStyle w:val="Encapalament7"/>
        <w:rPr>
          <w:rFonts w:ascii="Helvetica;Arial" w:hAnsi="Helvetica;Arial" w:cs="Helvetica;Arial"/>
          <w:szCs w:val="22"/>
        </w:rPr>
      </w:pPr>
      <w:r>
        <w:rPr>
          <w:rFonts w:cs="Helvetica;Arial" w:ascii="Helvetica;Arial" w:hAnsi="Helvetica;Arial"/>
          <w:szCs w:val="22"/>
        </w:rPr>
      </w:r>
    </w:p>
    <w:p>
      <w:pPr>
        <w:pStyle w:val="Encapalament7"/>
        <w:rPr>
          <w:szCs w:val="22"/>
        </w:rPr>
      </w:pPr>
      <w:r>
        <w:rPr>
          <w:szCs w:val="22"/>
        </w:rPr>
        <w:t>TRENTA-SETENA.- Règim del pagament del preu</w:t>
      </w:r>
    </w:p>
    <w:p>
      <w:pPr>
        <w:pStyle w:val="Normal"/>
        <w:rPr>
          <w:szCs w:val="22"/>
        </w:rPr>
      </w:pPr>
      <w:r>
        <w:rPr>
          <w:szCs w:val="22"/>
        </w:rPr>
      </w:r>
    </w:p>
    <w:p>
      <w:pPr>
        <w:pStyle w:val="Normal"/>
        <w:jc w:val="both"/>
        <w:rPr>
          <w:i w:val="false"/>
          <w:i w:val="false"/>
          <w:iCs w:val="false"/>
          <w:shd w:fill="auto" w:val="clear"/>
        </w:rPr>
      </w:pPr>
      <w:r>
        <w:rPr>
          <w:i w:val="false"/>
          <w:iCs w:val="false"/>
          <w:sz w:val="22"/>
          <w:shd w:fill="auto" w:val="clear"/>
        </w:rPr>
        <w:t>L’import dels serveis executats s’acreditarà de conformitat amb el plec de prescripcions tècniques, per mitjà dels documents que acreditin la realització total o parcial, si s’escau, del contracte.</w:t>
      </w:r>
    </w:p>
    <w:p>
      <w:pPr>
        <w:pStyle w:val="Normal"/>
        <w:jc w:val="both"/>
        <w:rPr>
          <w:b/>
          <w:b/>
          <w:i w:val="false"/>
          <w:i w:val="false"/>
          <w:iCs w:val="false"/>
          <w:sz w:val="22"/>
          <w:szCs w:val="22"/>
          <w:shd w:fill="auto" w:val="clear"/>
        </w:rPr>
      </w:pPr>
      <w:r>
        <w:rPr>
          <w:b/>
          <w:i w:val="false"/>
          <w:iCs w:val="false"/>
          <w:sz w:val="22"/>
          <w:szCs w:val="22"/>
          <w:shd w:fill="auto" w:val="clear"/>
        </w:rPr>
      </w:r>
    </w:p>
    <w:p>
      <w:pPr>
        <w:pStyle w:val="Normal"/>
        <w:jc w:val="both"/>
        <w:rPr>
          <w:i w:val="false"/>
          <w:i w:val="false"/>
          <w:iCs w:val="false"/>
          <w:shd w:fill="auto" w:val="clear"/>
        </w:rPr>
      </w:pPr>
      <w:r>
        <w:rPr>
          <w:rFonts w:ascii="ArialMT" w:hAnsi="ArialMT"/>
          <w:i w:val="false"/>
          <w:iCs w:val="false"/>
          <w:sz w:val="22"/>
          <w:szCs w:val="22"/>
          <w:shd w:fill="auto" w:val="clear"/>
        </w:rPr>
        <w:t xml:space="preserve">El pagament dels serveis prestats es farà contra factures mensuals, a presentar entre el </w:t>
      </w:r>
      <w:r>
        <w:rPr>
          <w:rFonts w:ascii="ArialMT" w:hAnsi="ArialMT"/>
          <w:i w:val="false"/>
          <w:iCs w:val="false"/>
          <w:sz w:val="22"/>
          <w:shd w:fill="auto" w:val="clear"/>
        </w:rPr>
        <w:t>dia 1 i 5 del mes següent a la prestació del servei, i on es detallaran el nombre de menús servits durant el mes anterior a cada escola, de la següent forma:</w:t>
      </w:r>
    </w:p>
    <w:p>
      <w:pPr>
        <w:pStyle w:val="Normal"/>
        <w:numPr>
          <w:ilvl w:val="0"/>
          <w:numId w:val="33"/>
        </w:numPr>
        <w:jc w:val="both"/>
        <w:rPr>
          <w:i w:val="false"/>
          <w:i w:val="false"/>
          <w:iCs w:val="false"/>
          <w:shd w:fill="auto" w:val="clear"/>
        </w:rPr>
      </w:pPr>
      <w:r>
        <w:rPr>
          <w:rFonts w:ascii="ArialMT" w:hAnsi="ArialMT"/>
          <w:i w:val="false"/>
          <w:iCs w:val="false"/>
          <w:sz w:val="22"/>
          <w:shd w:fill="auto" w:val="clear"/>
        </w:rPr>
        <w:t>Escoles bressol: indicar nombre d’alumnes i de personal educador per a cada escola.</w:t>
      </w:r>
    </w:p>
    <w:p>
      <w:pPr>
        <w:pStyle w:val="Normal"/>
        <w:numPr>
          <w:ilvl w:val="0"/>
          <w:numId w:val="33"/>
        </w:numPr>
        <w:jc w:val="both"/>
        <w:rPr>
          <w:i w:val="false"/>
          <w:i w:val="false"/>
          <w:iCs w:val="false"/>
          <w:shd w:fill="auto" w:val="clear"/>
        </w:rPr>
      </w:pPr>
      <w:r>
        <w:rPr>
          <w:rFonts w:ascii="ArialMT" w:hAnsi="ArialMT"/>
          <w:i w:val="false"/>
          <w:iCs w:val="false"/>
          <w:sz w:val="22"/>
          <w:shd w:fill="auto" w:val="clear"/>
        </w:rPr>
        <w:t>Escoles d’educació especial: indicar nombre d’alumnes de cada escola.</w:t>
      </w:r>
    </w:p>
    <w:p>
      <w:pPr>
        <w:pStyle w:val="Normal"/>
        <w:jc w:val="both"/>
        <w:rPr>
          <w:i w:val="false"/>
          <w:i w:val="false"/>
          <w:iCs w:val="false"/>
          <w:shd w:fill="auto" w:val="clear"/>
        </w:rPr>
      </w:pPr>
      <w:r>
        <w:rPr>
          <w:i w:val="false"/>
          <w:iCs w:val="false"/>
          <w:shd w:fill="auto" w:val="clear"/>
        </w:rPr>
      </w:r>
    </w:p>
    <w:p>
      <w:pPr>
        <w:pStyle w:val="Normal"/>
        <w:jc w:val="both"/>
        <w:rPr>
          <w:i w:val="false"/>
          <w:i w:val="false"/>
          <w:iCs w:val="false"/>
          <w:shd w:fill="auto" w:val="clear"/>
        </w:rPr>
      </w:pPr>
      <w:r>
        <w:rPr>
          <w:rFonts w:ascii="ArialMT" w:hAnsi="ArialMT"/>
          <w:i w:val="false"/>
          <w:iCs w:val="false"/>
          <w:sz w:val="22"/>
          <w:shd w:fill="auto" w:val="clear"/>
        </w:rPr>
        <w:t>La facturació de l'empresa adjudicatària es realitzarà d'acord amb el nombre de criatures i de personal educador (en el cas de les escoles bressol) que efectivament dinin a l'escola.</w:t>
      </w:r>
    </w:p>
    <w:p>
      <w:pPr>
        <w:pStyle w:val="Normal"/>
        <w:jc w:val="both"/>
        <w:rPr>
          <w:i/>
          <w:i/>
          <w:sz w:val="22"/>
          <w:szCs w:val="22"/>
          <w:highlight w:val="green"/>
        </w:rPr>
      </w:pPr>
      <w:r>
        <w:rPr>
          <w:i/>
          <w:sz w:val="22"/>
          <w:szCs w:val="22"/>
          <w:highlight w:val="green"/>
        </w:rPr>
      </w:r>
    </w:p>
    <w:p>
      <w:pPr>
        <w:pStyle w:val="Normal"/>
        <w:shd w:val="clear" w:color="auto" w:fill="FFFFFF"/>
        <w:jc w:val="both"/>
        <w:rPr>
          <w:color w:val="000000"/>
          <w:sz w:val="22"/>
          <w:szCs w:val="22"/>
        </w:rPr>
      </w:pPr>
      <w:r>
        <w:rPr>
          <w:color w:val="000000"/>
          <w:sz w:val="22"/>
          <w:szCs w:val="22"/>
        </w:rPr>
        <w:t xml:space="preserve">La factura o factures es presentaran en format electrònic, sense necessitat d'imprimir-les ni de desplaçar-se a les oficines municipals. </w:t>
      </w:r>
    </w:p>
    <w:p>
      <w:pPr>
        <w:pStyle w:val="Normal"/>
        <w:shd w:val="clear" w:color="auto" w:fill="FFFFFF"/>
        <w:jc w:val="both"/>
        <w:rPr>
          <w:color w:val="000000"/>
          <w:sz w:val="22"/>
          <w:szCs w:val="22"/>
        </w:rPr>
      </w:pPr>
      <w:r>
        <w:rPr>
          <w:color w:val="000000"/>
          <w:sz w:val="22"/>
          <w:szCs w:val="22"/>
        </w:rPr>
      </w:r>
    </w:p>
    <w:p>
      <w:pPr>
        <w:pStyle w:val="Normal"/>
        <w:shd w:val="clear" w:color="auto" w:fill="FFFFFF"/>
        <w:jc w:val="both"/>
        <w:rPr>
          <w:color w:val="000000"/>
          <w:sz w:val="22"/>
          <w:szCs w:val="22"/>
        </w:rPr>
      </w:pPr>
      <w:r>
        <w:rPr>
          <w:color w:val="000000"/>
          <w:sz w:val="22"/>
          <w:szCs w:val="22"/>
        </w:rPr>
        <w:t>El format electrònic admès és el format Facturae</w:t>
      </w:r>
    </w:p>
    <w:p>
      <w:pPr>
        <w:pStyle w:val="Normal"/>
        <w:shd w:val="clear" w:color="auto" w:fill="FFFFFF"/>
        <w:jc w:val="both"/>
        <w:rPr/>
      </w:pPr>
      <w:r>
        <w:rPr>
          <w:color w:val="000000"/>
          <w:sz w:val="22"/>
          <w:szCs w:val="22"/>
        </w:rPr>
        <w:t>(</w:t>
      </w:r>
      <w:hyperlink r:id="rId14">
        <w:r>
          <w:rPr>
            <w:rStyle w:val="EnlacedeInternet"/>
            <w:rFonts w:cs="Times New Roman"/>
            <w:sz w:val="22"/>
            <w:szCs w:val="22"/>
          </w:rPr>
          <w:t>https://aoberta.terrassa.cat/tramits/fitxa.jsp?id=4761</w:t>
        </w:r>
      </w:hyperlink>
      <w:r>
        <w:rPr>
          <w:color w:val="000000"/>
          <w:sz w:val="22"/>
          <w:szCs w:val="22"/>
        </w:rPr>
        <w:t xml:space="preserve">). </w:t>
      </w:r>
    </w:p>
    <w:p>
      <w:pPr>
        <w:pStyle w:val="Normal"/>
        <w:widowControl w:val="false"/>
        <w:jc w:val="both"/>
        <w:rPr>
          <w:color w:val="000000"/>
          <w:sz w:val="22"/>
          <w:szCs w:val="22"/>
        </w:rPr>
      </w:pPr>
      <w:r>
        <w:rPr>
          <w:color w:val="000000"/>
          <w:sz w:val="22"/>
          <w:szCs w:val="22"/>
        </w:rPr>
      </w:r>
    </w:p>
    <w:p>
      <w:pPr>
        <w:pStyle w:val="Normal"/>
        <w:widowControl w:val="false"/>
        <w:jc w:val="both"/>
        <w:rPr>
          <w:sz w:val="22"/>
          <w:szCs w:val="22"/>
        </w:rPr>
      </w:pPr>
      <w:r>
        <w:rPr>
          <w:sz w:val="22"/>
          <w:szCs w:val="22"/>
        </w:rPr>
        <w:t xml:space="preserve">El còmput del termini per al pagament de les factures vindrà determinat per la data de registre de la factura a l’Ajuntament. </w:t>
      </w:r>
    </w:p>
    <w:p>
      <w:pPr>
        <w:pStyle w:val="Normal"/>
        <w:widowControl w:val="false"/>
        <w:jc w:val="both"/>
        <w:rPr>
          <w:i/>
          <w:i/>
          <w:iCs/>
          <w:color w:val="000000"/>
          <w:sz w:val="22"/>
          <w:szCs w:val="22"/>
        </w:rPr>
      </w:pPr>
      <w:r>
        <w:rPr>
          <w:i/>
          <w:iCs/>
          <w:color w:val="000000"/>
          <w:sz w:val="22"/>
          <w:szCs w:val="22"/>
        </w:rPr>
      </w:r>
    </w:p>
    <w:p>
      <w:pPr>
        <w:pStyle w:val="Normal"/>
        <w:jc w:val="both"/>
        <w:rPr>
          <w:sz w:val="22"/>
          <w:szCs w:val="22"/>
        </w:rPr>
      </w:pPr>
      <w:r>
        <w:rPr>
          <w:color w:val="000000"/>
          <w:sz w:val="22"/>
          <w:szCs w:val="22"/>
        </w:rPr>
        <w:t xml:space="preserve">En aplicació de la Llei 25/2013, de 27 de desembre, d’impuls de la factura electrònica, i de conformitat amb la Modificació de per al govern i administració electrònica, l’ús de la factura electrònica (format Facturae) i la seva presentació a través del punt general d’entrada de factures electròniques </w:t>
      </w:r>
      <w:r>
        <w:rPr>
          <w:b/>
          <w:bCs/>
          <w:color w:val="000000"/>
          <w:sz w:val="22"/>
          <w:szCs w:val="22"/>
          <w:u w:val="single"/>
        </w:rPr>
        <w:t>és obligatori</w:t>
      </w:r>
      <w:r>
        <w:rPr>
          <w:color w:val="000000"/>
          <w:sz w:val="22"/>
          <w:szCs w:val="22"/>
        </w:rPr>
        <w:t xml:space="preserve"> per a tots els proveïdors que en el marc d’una relació contractual hagin lliurat béns, prestats serveis i/o executat obres per a l’Ajuntament. </w:t>
      </w:r>
    </w:p>
    <w:p>
      <w:pPr>
        <w:pStyle w:val="Normal"/>
        <w:jc w:val="both"/>
        <w:rPr>
          <w:b/>
          <w:b/>
          <w:sz w:val="22"/>
          <w:szCs w:val="22"/>
        </w:rPr>
      </w:pPr>
      <w:r>
        <w:rPr>
          <w:b/>
          <w:sz w:val="22"/>
          <w:szCs w:val="22"/>
        </w:rPr>
      </w:r>
    </w:p>
    <w:p>
      <w:pPr>
        <w:pStyle w:val="Normal"/>
        <w:widowControl w:val="false"/>
        <w:jc w:val="both"/>
        <w:rPr>
          <w:sz w:val="22"/>
          <w:szCs w:val="22"/>
        </w:rPr>
      </w:pPr>
      <w:r>
        <w:rPr>
          <w:sz w:val="22"/>
          <w:szCs w:val="22"/>
        </w:rPr>
        <w:t xml:space="preserve">Codi DIR que haurà d’incorporar la factura electrònica: </w:t>
      </w:r>
    </w:p>
    <w:p>
      <w:pPr>
        <w:pStyle w:val="Normal"/>
        <w:widowControl w:val="false"/>
        <w:jc w:val="both"/>
        <w:rPr>
          <w:b/>
          <w:b/>
          <w:sz w:val="22"/>
          <w:szCs w:val="22"/>
        </w:rPr>
      </w:pPr>
      <w:r>
        <w:rPr>
          <w:b/>
          <w:sz w:val="22"/>
          <w:szCs w:val="22"/>
        </w:rPr>
      </w:r>
    </w:p>
    <w:tbl>
      <w:tblPr>
        <w:tblW w:w="9071" w:type="dxa"/>
        <w:jc w:val="center"/>
        <w:tblInd w:w="0" w:type="dxa"/>
        <w:tblLayout w:type="fixed"/>
        <w:tblCellMar>
          <w:top w:w="0" w:type="dxa"/>
          <w:left w:w="98" w:type="dxa"/>
          <w:bottom w:w="0" w:type="dxa"/>
          <w:right w:w="108" w:type="dxa"/>
        </w:tblCellMar>
        <w:tblLook w:firstRow="0" w:noVBand="0" w:lastRow="0" w:firstColumn="0" w:lastColumn="0" w:noHBand="0" w:val="0000"/>
      </w:tblPr>
      <w:tblGrid>
        <w:gridCol w:w="2902"/>
        <w:gridCol w:w="1842"/>
        <w:gridCol w:w="1846"/>
        <w:gridCol w:w="2480"/>
      </w:tblGrid>
      <w:tr>
        <w:trPr/>
        <w:tc>
          <w:tcPr>
            <w:tcW w:w="2902" w:type="dxa"/>
            <w:tcBorders>
              <w:top w:val="single" w:sz="4" w:space="0" w:color="FFFFFF"/>
              <w:left w:val="single" w:sz="4" w:space="0" w:color="FFFFFF"/>
              <w:bottom w:val="single" w:sz="4" w:space="0" w:color="FFFFFF"/>
            </w:tcBorders>
            <w:shd w:color="auto" w:fill="F3F3F3" w:val="clear"/>
            <w:vAlign w:val="center"/>
          </w:tcPr>
          <w:p>
            <w:pPr>
              <w:pStyle w:val="Normal"/>
              <w:widowControl w:val="false"/>
              <w:snapToGrid w:val="false"/>
              <w:spacing w:before="60" w:after="60"/>
              <w:jc w:val="center"/>
              <w:rPr>
                <w:sz w:val="22"/>
                <w:szCs w:val="22"/>
              </w:rPr>
            </w:pPr>
            <w:r>
              <w:rPr>
                <w:sz w:val="22"/>
                <w:szCs w:val="22"/>
              </w:rPr>
              <w:t>Servei</w:t>
            </w:r>
          </w:p>
        </w:tc>
        <w:tc>
          <w:tcPr>
            <w:tcW w:w="1842" w:type="dxa"/>
            <w:tcBorders>
              <w:top w:val="single" w:sz="4" w:space="0" w:color="FFFFFF"/>
              <w:left w:val="single" w:sz="4" w:space="0" w:color="FFFFFF"/>
              <w:bottom w:val="single" w:sz="4" w:space="0" w:color="FFFFFF"/>
            </w:tcBorders>
            <w:shd w:color="auto" w:fill="F3F3F3" w:val="clear"/>
            <w:vAlign w:val="center"/>
          </w:tcPr>
          <w:p>
            <w:pPr>
              <w:pStyle w:val="Normal"/>
              <w:widowControl w:val="false"/>
              <w:spacing w:before="60" w:after="60"/>
              <w:jc w:val="center"/>
              <w:rPr>
                <w:sz w:val="22"/>
                <w:szCs w:val="22"/>
              </w:rPr>
            </w:pPr>
            <w:r>
              <w:rPr>
                <w:sz w:val="22"/>
                <w:szCs w:val="22"/>
              </w:rPr>
              <w:t>Oficina comptable</w:t>
            </w:r>
          </w:p>
        </w:tc>
        <w:tc>
          <w:tcPr>
            <w:tcW w:w="1846" w:type="dxa"/>
            <w:tcBorders>
              <w:top w:val="single" w:sz="4" w:space="0" w:color="FFFFFF"/>
              <w:left w:val="single" w:sz="4" w:space="0" w:color="FFFFFF"/>
              <w:bottom w:val="single" w:sz="4" w:space="0" w:color="FFFFFF"/>
            </w:tcBorders>
            <w:shd w:color="auto" w:fill="F3F3F3" w:val="clear"/>
            <w:vAlign w:val="center"/>
          </w:tcPr>
          <w:p>
            <w:pPr>
              <w:pStyle w:val="Normal"/>
              <w:widowControl w:val="false"/>
              <w:spacing w:before="60" w:after="60"/>
              <w:jc w:val="center"/>
              <w:rPr>
                <w:sz w:val="22"/>
                <w:szCs w:val="22"/>
              </w:rPr>
            </w:pPr>
            <w:r>
              <w:rPr>
                <w:sz w:val="22"/>
                <w:szCs w:val="22"/>
              </w:rPr>
              <w:t>Òrgan gestor</w:t>
            </w:r>
          </w:p>
        </w:tc>
        <w:tc>
          <w:tcPr>
            <w:tcW w:w="2480" w:type="dxa"/>
            <w:tcBorders>
              <w:top w:val="single" w:sz="4" w:space="0" w:color="FFFFFF"/>
              <w:left w:val="single" w:sz="4" w:space="0" w:color="FFFFFF"/>
              <w:bottom w:val="single" w:sz="4" w:space="0" w:color="FFFFFF"/>
              <w:right w:val="single" w:sz="4" w:space="0" w:color="FFFFFF"/>
            </w:tcBorders>
            <w:shd w:color="auto" w:fill="F3F3F3" w:val="clear"/>
            <w:vAlign w:val="center"/>
          </w:tcPr>
          <w:p>
            <w:pPr>
              <w:pStyle w:val="Normal"/>
              <w:widowControl w:val="false"/>
              <w:spacing w:before="60" w:after="60"/>
              <w:jc w:val="center"/>
              <w:rPr>
                <w:sz w:val="22"/>
                <w:szCs w:val="22"/>
              </w:rPr>
            </w:pPr>
            <w:r>
              <w:rPr>
                <w:sz w:val="22"/>
                <w:szCs w:val="22"/>
              </w:rPr>
              <w:t>Unitat tramitadora</w:t>
            </w:r>
          </w:p>
        </w:tc>
      </w:tr>
      <w:tr>
        <w:trPr/>
        <w:tc>
          <w:tcPr>
            <w:tcW w:w="2902" w:type="dxa"/>
            <w:tcBorders>
              <w:top w:val="single" w:sz="4" w:space="0" w:color="FFFFFF"/>
              <w:left w:val="single" w:sz="4" w:space="0" w:color="FFFFFF"/>
              <w:bottom w:val="single" w:sz="4" w:space="0" w:color="FFFFFF"/>
            </w:tcBorders>
            <w:shd w:color="auto" w:fill="F3F3F3" w:val="clear"/>
            <w:tcMar>
              <w:top w:w="113" w:type="dxa"/>
              <w:left w:w="96" w:type="dxa"/>
              <w:bottom w:w="113" w:type="dxa"/>
            </w:tcMar>
            <w:vAlign w:val="center"/>
          </w:tcPr>
          <w:p>
            <w:pPr>
              <w:pStyle w:val="TableParagraph"/>
              <w:widowControl w:val="false"/>
              <w:spacing w:lineRule="exact" w:line="232" w:before="0" w:after="0"/>
              <w:ind w:left="110" w:right="0" w:hanging="0"/>
              <w:jc w:val="center"/>
              <w:rPr>
                <w:sz w:val="22"/>
              </w:rPr>
            </w:pPr>
            <w:r>
              <w:rPr>
                <w:spacing w:val="-2"/>
                <w:sz w:val="22"/>
              </w:rPr>
              <w:t>Educació</w:t>
            </w:r>
          </w:p>
        </w:tc>
        <w:tc>
          <w:tcPr>
            <w:tcW w:w="1842" w:type="dxa"/>
            <w:tcBorders>
              <w:top w:val="single" w:sz="4" w:space="0" w:color="FFFFFF"/>
              <w:left w:val="single" w:sz="4" w:space="0" w:color="FFFFFF"/>
              <w:bottom w:val="single" w:sz="4" w:space="0" w:color="FFFFFF"/>
            </w:tcBorders>
            <w:shd w:color="auto" w:fill="F3F3F3" w:val="clear"/>
            <w:tcMar>
              <w:top w:w="113" w:type="dxa"/>
              <w:left w:w="96" w:type="dxa"/>
              <w:bottom w:w="113" w:type="dxa"/>
            </w:tcMar>
            <w:vAlign w:val="center"/>
          </w:tcPr>
          <w:p>
            <w:pPr>
              <w:pStyle w:val="TableParagraph"/>
              <w:widowControl w:val="false"/>
              <w:spacing w:lineRule="exact" w:line="232" w:before="0" w:after="0"/>
              <w:ind w:left="109" w:right="0" w:hanging="0"/>
              <w:jc w:val="center"/>
              <w:rPr>
                <w:sz w:val="22"/>
              </w:rPr>
            </w:pPr>
            <w:r>
              <w:rPr>
                <w:spacing w:val="-2"/>
                <w:sz w:val="22"/>
              </w:rPr>
              <w:t>LA0003834</w:t>
            </w:r>
          </w:p>
        </w:tc>
        <w:tc>
          <w:tcPr>
            <w:tcW w:w="1846" w:type="dxa"/>
            <w:tcBorders>
              <w:top w:val="single" w:sz="4" w:space="0" w:color="FFFFFF"/>
              <w:left w:val="single" w:sz="4" w:space="0" w:color="FFFFFF"/>
              <w:bottom w:val="single" w:sz="4" w:space="0" w:color="FFFFFF"/>
            </w:tcBorders>
            <w:shd w:color="auto" w:fill="F3F3F3" w:val="clear"/>
            <w:tcMar>
              <w:top w:w="113" w:type="dxa"/>
              <w:left w:w="96" w:type="dxa"/>
              <w:bottom w:w="113" w:type="dxa"/>
            </w:tcMar>
            <w:vAlign w:val="center"/>
          </w:tcPr>
          <w:p>
            <w:pPr>
              <w:pStyle w:val="TableParagraph"/>
              <w:widowControl w:val="false"/>
              <w:spacing w:lineRule="exact" w:line="232" w:before="0" w:after="0"/>
              <w:ind w:left="110" w:right="0" w:hanging="0"/>
              <w:jc w:val="center"/>
              <w:rPr>
                <w:sz w:val="22"/>
              </w:rPr>
            </w:pPr>
            <w:r>
              <w:rPr>
                <w:spacing w:val="-2"/>
                <w:sz w:val="22"/>
              </w:rPr>
              <w:t>LA0004540</w:t>
            </w:r>
          </w:p>
        </w:tc>
        <w:tc>
          <w:tcPr>
            <w:tcW w:w="2480" w:type="dxa"/>
            <w:tcBorders>
              <w:top w:val="single" w:sz="4" w:space="0" w:color="FFFFFF"/>
              <w:left w:val="single" w:sz="4" w:space="0" w:color="FFFFFF"/>
              <w:bottom w:val="single" w:sz="4" w:space="0" w:color="FFFFFF"/>
              <w:right w:val="single" w:sz="4" w:space="0" w:color="FFFFFF"/>
            </w:tcBorders>
            <w:shd w:color="auto" w:fill="F3F3F3" w:val="clear"/>
            <w:tcMar>
              <w:top w:w="113" w:type="dxa"/>
              <w:left w:w="96" w:type="dxa"/>
              <w:bottom w:w="113" w:type="dxa"/>
            </w:tcMar>
            <w:vAlign w:val="center"/>
          </w:tcPr>
          <w:p>
            <w:pPr>
              <w:pStyle w:val="TableParagraph"/>
              <w:widowControl w:val="false"/>
              <w:spacing w:lineRule="exact" w:line="232" w:before="0" w:after="0"/>
              <w:ind w:left="110" w:right="0" w:hanging="0"/>
              <w:jc w:val="center"/>
              <w:rPr>
                <w:sz w:val="22"/>
              </w:rPr>
            </w:pPr>
            <w:r>
              <w:rPr>
                <w:spacing w:val="-2"/>
                <w:sz w:val="22"/>
              </w:rPr>
              <w:t>LA0004540</w:t>
            </w:r>
          </w:p>
        </w:tc>
      </w:tr>
    </w:tbl>
    <w:p>
      <w:pPr>
        <w:pStyle w:val="Normal"/>
        <w:widowControl w:val="false"/>
        <w:jc w:val="both"/>
        <w:rPr>
          <w:b/>
          <w:b/>
          <w:sz w:val="22"/>
          <w:szCs w:val="22"/>
        </w:rPr>
      </w:pPr>
      <w:r>
        <w:rPr>
          <w:b/>
          <w:sz w:val="22"/>
          <w:szCs w:val="22"/>
        </w:rPr>
      </w:r>
    </w:p>
    <w:p>
      <w:pPr>
        <w:pStyle w:val="Encapalament7"/>
        <w:rPr>
          <w:b w:val="false"/>
          <w:b w:val="false"/>
          <w:szCs w:val="22"/>
        </w:rPr>
      </w:pPr>
      <w:r>
        <w:rPr>
          <w:b w:val="false"/>
          <w:szCs w:val="22"/>
        </w:rPr>
        <w:t xml:space="preserve">Informació sobre la presentació de factures: </w:t>
      </w:r>
    </w:p>
    <w:p>
      <w:pPr>
        <w:pStyle w:val="Encapalament7"/>
        <w:ind w:left="720" w:hanging="720"/>
        <w:rPr/>
      </w:pPr>
      <w:hyperlink r:id="rId15">
        <w:r>
          <w:rPr>
            <w:rStyle w:val="EnlacedeInternet"/>
            <w:rFonts w:cs="Times New Roman"/>
            <w:szCs w:val="22"/>
          </w:rPr>
          <w:t>https://aoberta.terrassa.cat/tramits/fitxa.jsp?id=4761</w:t>
        </w:r>
      </w:hyperlink>
      <w:r>
        <w:rPr>
          <w:b w:val="false"/>
          <w:szCs w:val="22"/>
        </w:rPr>
        <w:t xml:space="preserve">. </w:t>
      </w:r>
    </w:p>
    <w:p>
      <w:pPr>
        <w:pStyle w:val="Normal"/>
        <w:widowControl w:val="false"/>
        <w:jc w:val="both"/>
        <w:rPr>
          <w:sz w:val="22"/>
          <w:szCs w:val="22"/>
          <w:highlight w:val="magenta"/>
        </w:rPr>
      </w:pPr>
      <w:r>
        <w:rPr>
          <w:sz w:val="22"/>
          <w:szCs w:val="22"/>
          <w:highlight w:val="magenta"/>
        </w:rPr>
      </w:r>
    </w:p>
    <w:p>
      <w:pPr>
        <w:pStyle w:val="Normal"/>
        <w:widowControl w:val="false"/>
        <w:jc w:val="both"/>
        <w:rPr>
          <w:sz w:val="22"/>
          <w:szCs w:val="22"/>
        </w:rPr>
      </w:pPr>
      <w:r>
        <w:rPr>
          <w:sz w:val="22"/>
          <w:szCs w:val="22"/>
        </w:rPr>
        <w:t>L’empresa contractista podrà transmetre els drets de cobrament en els termes i condicions establerts en l’article 200 de la LCSP.</w:t>
      </w:r>
    </w:p>
    <w:p>
      <w:pPr>
        <w:pStyle w:val="Encapalament7"/>
        <w:numPr>
          <w:ilvl w:val="0"/>
          <w:numId w:val="0"/>
        </w:numPr>
        <w:ind w:left="0" w:hanging="0"/>
        <w:rPr>
          <w:szCs w:val="22"/>
        </w:rPr>
      </w:pPr>
      <w:r>
        <w:rPr>
          <w:szCs w:val="22"/>
        </w:rPr>
      </w:r>
    </w:p>
    <w:p>
      <w:pPr>
        <w:pStyle w:val="Normal"/>
        <w:rPr>
          <w:sz w:val="22"/>
          <w:szCs w:val="22"/>
        </w:rPr>
      </w:pPr>
      <w:r>
        <w:rPr>
          <w:sz w:val="22"/>
          <w:szCs w:val="22"/>
        </w:rPr>
      </w:r>
    </w:p>
    <w:p>
      <w:pPr>
        <w:pStyle w:val="Encapalament7"/>
        <w:rPr/>
      </w:pPr>
      <w:r>
        <w:rPr>
          <w:szCs w:val="22"/>
        </w:rPr>
        <w:t>TRENTA-VUITENA.- Garanties provisionals i definitives</w:t>
      </w:r>
    </w:p>
    <w:p>
      <w:pPr>
        <w:pStyle w:val="Normal"/>
        <w:jc w:val="both"/>
        <w:rPr>
          <w:b/>
          <w:b/>
          <w:sz w:val="22"/>
          <w:szCs w:val="22"/>
        </w:rPr>
      </w:pPr>
      <w:r>
        <w:rPr>
          <w:b/>
          <w:sz w:val="22"/>
          <w:szCs w:val="22"/>
        </w:rPr>
      </w:r>
    </w:p>
    <w:p>
      <w:pPr>
        <w:pStyle w:val="Normal"/>
        <w:jc w:val="both"/>
        <w:rPr>
          <w:shd w:fill="auto" w:val="clear"/>
        </w:rPr>
      </w:pPr>
      <w:r>
        <w:rPr>
          <w:sz w:val="22"/>
          <w:szCs w:val="22"/>
          <w:shd w:fill="auto" w:val="clear"/>
        </w:rPr>
        <w:t>Garantia provisional. En aquest procediment de contractació no és procedent l’exigència d’una garantia provisional.</w:t>
      </w:r>
    </w:p>
    <w:p>
      <w:pPr>
        <w:pStyle w:val="Normal"/>
        <w:jc w:val="both"/>
        <w:rPr>
          <w:sz w:val="22"/>
          <w:szCs w:val="22"/>
          <w:shd w:fill="auto" w:val="clear"/>
        </w:rPr>
      </w:pPr>
      <w:r>
        <w:rPr>
          <w:sz w:val="22"/>
          <w:szCs w:val="22"/>
          <w:shd w:fill="auto" w:val="clear"/>
        </w:rPr>
      </w:r>
    </w:p>
    <w:p>
      <w:pPr>
        <w:pStyle w:val="Normal"/>
        <w:jc w:val="both"/>
        <w:rPr>
          <w:shd w:fill="auto" w:val="clear"/>
        </w:rPr>
      </w:pPr>
      <w:r>
        <w:rPr>
          <w:sz w:val="22"/>
          <w:szCs w:val="22"/>
          <w:shd w:fill="auto" w:val="clear"/>
        </w:rPr>
        <w:t>L’empresa licitadora que presenti la millor oferta de conformitat amb el que disposa l’article 145 de la LCSP haurà de constituir a disposició de l’òrgan de contractació una garantia d’un 5 per 100 del pressupost base de licitació, exclòs l’IVA.</w:t>
      </w:r>
    </w:p>
    <w:p>
      <w:pPr>
        <w:pStyle w:val="Normal"/>
        <w:jc w:val="both"/>
        <w:rPr>
          <w:sz w:val="22"/>
          <w:szCs w:val="22"/>
          <w:shd w:fill="auto" w:val="clear"/>
        </w:rPr>
      </w:pPr>
      <w:r>
        <w:rPr>
          <w:sz w:val="22"/>
          <w:szCs w:val="22"/>
          <w:shd w:fill="auto" w:val="clear"/>
        </w:rPr>
      </w:r>
    </w:p>
    <w:p>
      <w:pPr>
        <w:pStyle w:val="Normal"/>
        <w:jc w:val="both"/>
        <w:rPr>
          <w:shd w:fill="auto" w:val="clear"/>
        </w:rPr>
      </w:pPr>
      <w:r>
        <w:rPr>
          <w:sz w:val="22"/>
          <w:szCs w:val="22"/>
          <w:shd w:fill="auto" w:val="clear"/>
        </w:rPr>
        <w:t>Un cop s’hagin acomplert per l’empresa contractista les obligacions derivades del contracte, si no hi ha responsabilitats que hagin d’exercitar-se sobre la garantia definitiva i transcorregut el termini de garantia, es procedirà d’ofici a dictar l’acord de devolució o cancel·lació de la garantia definitiva, d’acord amb el que estableix l’article 111 de la LCSP.</w:t>
      </w:r>
    </w:p>
    <w:p>
      <w:pPr>
        <w:pStyle w:val="Normal"/>
        <w:jc w:val="both"/>
        <w:rPr>
          <w:rFonts w:ascii="Arial-ItalicMT;Arial" w:hAnsi="Arial-ItalicMT;Arial" w:cs="Arial-ItalicMT;Arial"/>
          <w:i/>
          <w:i/>
          <w:iCs/>
          <w:color w:val="000000"/>
          <w:sz w:val="22"/>
          <w:szCs w:val="22"/>
          <w:shd w:fill="auto" w:val="clear"/>
          <w:lang w:eastAsia="es-ES"/>
        </w:rPr>
      </w:pPr>
      <w:r>
        <w:rPr>
          <w:rFonts w:cs="Arial-ItalicMT;Arial" w:ascii="Arial-ItalicMT;Arial" w:hAnsi="Arial-ItalicMT;Arial"/>
          <w:i/>
          <w:iCs/>
          <w:color w:val="000000"/>
          <w:sz w:val="22"/>
          <w:szCs w:val="22"/>
          <w:shd w:fill="auto" w:val="clear"/>
          <w:lang w:eastAsia="es-ES"/>
        </w:rPr>
      </w:r>
    </w:p>
    <w:p>
      <w:pPr>
        <w:pStyle w:val="Normal"/>
        <w:jc w:val="both"/>
        <w:rPr>
          <w:shd w:fill="auto" w:val="clear"/>
        </w:rPr>
      </w:pPr>
      <w:r>
        <w:rPr>
          <w:color w:val="242424"/>
          <w:sz w:val="22"/>
          <w:szCs w:val="22"/>
          <w:shd w:fill="auto" w:val="clear"/>
        </w:rPr>
        <w:t>En casos especials, l’òrgan de contractació podrà establir que, en virtut del que disposa l’article 107.2 de la LCSP, es demani una garantia complementària de fins un 5% de l’import d’adjudicació del contracte, de manera que la garantia total pugui arribar fins el 10 per cent del preu del contracte (IVA exclòs).</w:t>
      </w:r>
    </w:p>
    <w:p>
      <w:pPr>
        <w:pStyle w:val="Normal"/>
        <w:jc w:val="both"/>
        <w:rPr>
          <w:rFonts w:ascii="Arial-ItalicMT;Arial" w:hAnsi="Arial-ItalicMT;Arial" w:cs="Arial-ItalicMT;Arial"/>
          <w:i/>
          <w:i/>
          <w:iCs/>
          <w:color w:val="000000"/>
          <w:sz w:val="22"/>
          <w:szCs w:val="22"/>
          <w:shd w:fill="auto" w:val="clear"/>
          <w:lang w:eastAsia="es-ES"/>
        </w:rPr>
      </w:pPr>
      <w:r>
        <w:rPr>
          <w:rFonts w:cs="Arial-ItalicMT;Arial" w:ascii="Arial-ItalicMT;Arial" w:hAnsi="Arial-ItalicMT;Arial"/>
          <w:i/>
          <w:iCs/>
          <w:color w:val="000000"/>
          <w:sz w:val="22"/>
          <w:szCs w:val="22"/>
          <w:shd w:fill="auto" w:val="clear"/>
          <w:lang w:eastAsia="es-ES"/>
        </w:rPr>
      </w:r>
    </w:p>
    <w:p>
      <w:pPr>
        <w:pStyle w:val="Normal"/>
        <w:jc w:val="both"/>
        <w:rPr>
          <w:i/>
          <w:i/>
          <w:iCs/>
          <w:sz w:val="18"/>
          <w:szCs w:val="18"/>
          <w:highlight w:val="cyan"/>
        </w:rPr>
      </w:pPr>
      <w:r>
        <w:rPr>
          <w:i/>
          <w:iCs/>
          <w:sz w:val="18"/>
          <w:szCs w:val="18"/>
          <w:highlight w:val="cyan"/>
        </w:rPr>
      </w:r>
    </w:p>
    <w:p>
      <w:pPr>
        <w:pStyle w:val="Encapalament7"/>
        <w:rPr>
          <w:szCs w:val="22"/>
        </w:rPr>
      </w:pPr>
      <w:r>
        <w:rPr>
          <w:szCs w:val="22"/>
        </w:rPr>
        <w:t>TRENTA-NOVENA.- Decisió de no adjudicar i desistiment</w:t>
      </w:r>
    </w:p>
    <w:p>
      <w:pPr>
        <w:pStyle w:val="Normal"/>
        <w:jc w:val="both"/>
        <w:rPr>
          <w:sz w:val="22"/>
          <w:szCs w:val="22"/>
        </w:rPr>
      </w:pPr>
      <w:r>
        <w:rPr>
          <w:sz w:val="22"/>
          <w:szCs w:val="22"/>
        </w:rPr>
      </w:r>
    </w:p>
    <w:p>
      <w:pPr>
        <w:pStyle w:val="Normal"/>
        <w:jc w:val="both"/>
        <w:rPr>
          <w:sz w:val="22"/>
          <w:szCs w:val="22"/>
        </w:rPr>
      </w:pPr>
      <w:r>
        <w:rPr>
          <w:sz w:val="22"/>
          <w:szCs w:val="22"/>
        </w:rPr>
        <w:t>La decisió de no adjudicar o celebrar el contracte per raons d’interès públic degudament justificades a l’expedient o el desistiment del procediment, només es poden acordar per l’òrgan de contractació abans de la formalització, d’acord amb l’article 152.2 de la LCSP. El desistiment del procediment ha d’estar fundat en una infracció no esmenable de les normes de preparació del contracte o de les reguladores del procediment d’adjudicació.</w:t>
      </w:r>
    </w:p>
    <w:p>
      <w:pPr>
        <w:pStyle w:val="Normal"/>
        <w:jc w:val="both"/>
        <w:rPr>
          <w:sz w:val="22"/>
          <w:szCs w:val="22"/>
        </w:rPr>
      </w:pPr>
      <w:r>
        <w:rPr>
          <w:sz w:val="22"/>
          <w:szCs w:val="22"/>
        </w:rPr>
      </w:r>
    </w:p>
    <w:p>
      <w:pPr>
        <w:pStyle w:val="Normal"/>
        <w:jc w:val="both"/>
        <w:rPr>
          <w:sz w:val="22"/>
          <w:szCs w:val="22"/>
        </w:rPr>
      </w:pPr>
      <w:r>
        <w:rPr>
          <w:sz w:val="22"/>
          <w:szCs w:val="22"/>
        </w:rPr>
        <w:t>La decisió de no adjudicar o subscriure el contracte i el desistiment del procediment d’adjudicació es publicarà en el perfil de contractant.</w:t>
      </w:r>
    </w:p>
    <w:p>
      <w:pPr>
        <w:pStyle w:val="Normal"/>
        <w:jc w:val="both"/>
        <w:rPr>
          <w:sz w:val="22"/>
          <w:szCs w:val="22"/>
        </w:rPr>
      </w:pPr>
      <w:r>
        <w:rPr>
          <w:sz w:val="22"/>
          <w:szCs w:val="22"/>
        </w:rPr>
      </w:r>
    </w:p>
    <w:p>
      <w:pPr>
        <w:pStyle w:val="Normal"/>
        <w:jc w:val="both"/>
        <w:rPr>
          <w:sz w:val="22"/>
          <w:szCs w:val="22"/>
        </w:rPr>
      </w:pPr>
      <w:r>
        <w:rPr>
          <w:sz w:val="22"/>
          <w:szCs w:val="22"/>
        </w:rPr>
      </w:r>
    </w:p>
    <w:p>
      <w:pPr>
        <w:pStyle w:val="Normal"/>
        <w:jc w:val="both"/>
        <w:rPr/>
      </w:pPr>
      <w:r>
        <w:rPr>
          <w:b/>
          <w:sz w:val="22"/>
          <w:szCs w:val="22"/>
        </w:rPr>
        <w:t>QUARANTENA.-</w:t>
      </w:r>
      <w:r>
        <w:rPr>
          <w:sz w:val="22"/>
          <w:szCs w:val="22"/>
        </w:rPr>
        <w:t xml:space="preserve"> </w:t>
      </w:r>
      <w:r>
        <w:rPr>
          <w:b/>
          <w:sz w:val="22"/>
          <w:szCs w:val="22"/>
        </w:rPr>
        <w:t>Causes de resolució</w:t>
      </w:r>
    </w:p>
    <w:p>
      <w:pPr>
        <w:pStyle w:val="Normal"/>
        <w:jc w:val="both"/>
        <w:rPr>
          <w:sz w:val="22"/>
          <w:szCs w:val="22"/>
        </w:rPr>
      </w:pPr>
      <w:r>
        <w:rPr>
          <w:sz w:val="22"/>
          <w:szCs w:val="22"/>
        </w:rPr>
      </w:r>
    </w:p>
    <w:p>
      <w:pPr>
        <w:pStyle w:val="Normal"/>
        <w:jc w:val="both"/>
        <w:rPr>
          <w:shd w:fill="auto" w:val="clear"/>
        </w:rPr>
      </w:pPr>
      <w:r>
        <w:rPr>
          <w:sz w:val="22"/>
          <w:szCs w:val="22"/>
          <w:shd w:fill="auto" w:val="clear"/>
        </w:rPr>
        <w:t>Són causes de resolució del contracte les previstes als articles 211 i 313 de la LCSP</w:t>
      </w:r>
    </w:p>
    <w:p>
      <w:pPr>
        <w:pStyle w:val="Normal"/>
        <w:jc w:val="both"/>
        <w:rPr>
          <w:sz w:val="22"/>
          <w:szCs w:val="22"/>
          <w:shd w:fill="auto" w:val="clear"/>
        </w:rPr>
      </w:pPr>
      <w:r>
        <w:rPr>
          <w:sz w:val="22"/>
          <w:szCs w:val="22"/>
          <w:shd w:fill="auto" w:val="clear"/>
        </w:rPr>
      </w:r>
    </w:p>
    <w:p>
      <w:pPr>
        <w:pStyle w:val="Normal"/>
        <w:jc w:val="both"/>
        <w:rPr>
          <w:shd w:fill="auto" w:val="clear"/>
        </w:rPr>
      </w:pPr>
      <w:r>
        <w:rPr>
          <w:sz w:val="22"/>
          <w:szCs w:val="22"/>
          <w:shd w:fill="auto" w:val="clear"/>
        </w:rPr>
        <w:t>L’aplicació i els efectes d’aquestes causes de resolució són les que s’estableixin en els articles 212, 213 i 313 de la LCSP.</w:t>
      </w:r>
    </w:p>
    <w:p>
      <w:pPr>
        <w:pStyle w:val="Normal"/>
        <w:jc w:val="both"/>
        <w:rPr>
          <w:sz w:val="22"/>
          <w:szCs w:val="22"/>
          <w:shd w:fill="auto" w:val="clear"/>
        </w:rPr>
      </w:pPr>
      <w:r>
        <w:rPr>
          <w:sz w:val="22"/>
          <w:szCs w:val="22"/>
          <w:shd w:fill="auto" w:val="clear"/>
        </w:rPr>
      </w:r>
    </w:p>
    <w:p>
      <w:pPr>
        <w:pStyle w:val="Normal"/>
        <w:jc w:val="both"/>
        <w:rPr>
          <w:shd w:fill="auto" w:val="clear"/>
        </w:rPr>
      </w:pPr>
      <w:r>
        <w:rPr>
          <w:sz w:val="22"/>
          <w:szCs w:val="22"/>
          <w:shd w:fill="auto" w:val="clear"/>
        </w:rPr>
        <w:t>També é</w:t>
      </w:r>
      <w:r>
        <w:rPr>
          <w:sz w:val="22"/>
          <w:szCs w:val="22"/>
          <w:shd w:fill="auto" w:val="clear"/>
          <w:lang w:val="af-ZA"/>
        </w:rPr>
        <w:t>s causa de resolució l’incompliment</w:t>
      </w:r>
      <w:r>
        <w:rPr>
          <w:sz w:val="22"/>
          <w:szCs w:val="22"/>
          <w:shd w:fill="auto" w:val="clear"/>
        </w:rPr>
        <w:t xml:space="preserve"> de les obligacions contractuals essencials, qualificades com a tals a les clàusules 22a i 23</w:t>
      </w:r>
      <w:r>
        <w:rPr>
          <w:position w:val="0"/>
          <w:sz w:val="22"/>
          <w:sz w:val="22"/>
          <w:szCs w:val="22"/>
          <w:shd w:fill="auto" w:val="clear"/>
          <w:vertAlign w:val="baseline"/>
        </w:rPr>
        <w:t>a</w:t>
      </w:r>
      <w:r>
        <w:rPr>
          <w:sz w:val="22"/>
          <w:szCs w:val="22"/>
          <w:shd w:fill="auto" w:val="clear"/>
        </w:rPr>
        <w:t xml:space="preserve"> d’aquest plec. </w:t>
      </w:r>
    </w:p>
    <w:p>
      <w:pPr>
        <w:pStyle w:val="Encapalament7"/>
        <w:rPr>
          <w:szCs w:val="22"/>
        </w:rPr>
      </w:pPr>
      <w:r>
        <w:rPr>
          <w:szCs w:val="22"/>
        </w:rPr>
      </w:r>
    </w:p>
    <w:p>
      <w:pPr>
        <w:pStyle w:val="Encapalament7"/>
        <w:numPr>
          <w:ilvl w:val="0"/>
          <w:numId w:val="0"/>
        </w:numPr>
        <w:ind w:left="0" w:hanging="0"/>
        <w:rPr>
          <w:szCs w:val="22"/>
        </w:rPr>
      </w:pPr>
      <w:r>
        <w:rPr>
          <w:szCs w:val="22"/>
        </w:rPr>
      </w:r>
    </w:p>
    <w:p>
      <w:pPr>
        <w:pStyle w:val="Encapalament7"/>
        <w:rPr>
          <w:szCs w:val="22"/>
        </w:rPr>
      </w:pPr>
      <w:r>
        <w:rPr>
          <w:szCs w:val="22"/>
        </w:rPr>
        <w:t xml:space="preserve">QUARANTA-UNENA.- Incompliment de les condicions d’execució </w:t>
      </w:r>
    </w:p>
    <w:p>
      <w:pPr>
        <w:pStyle w:val="Normal"/>
        <w:rPr>
          <w:sz w:val="22"/>
          <w:szCs w:val="22"/>
        </w:rPr>
      </w:pPr>
      <w:r>
        <w:rPr>
          <w:sz w:val="22"/>
          <w:szCs w:val="22"/>
        </w:rPr>
      </w:r>
    </w:p>
    <w:p>
      <w:pPr>
        <w:pStyle w:val="Normal"/>
        <w:jc w:val="both"/>
        <w:rPr/>
      </w:pPr>
      <w:r>
        <w:rPr>
          <w:sz w:val="22"/>
          <w:szCs w:val="22"/>
        </w:rPr>
        <w:t>1.L’empresa contractista està obligat a complir el contracte dins del termini total fixat per a la seva realització, així com, si és el cas, dels terminis parcials assenyalats per a la seva execució successiva.</w:t>
      </w:r>
    </w:p>
    <w:p>
      <w:pPr>
        <w:pStyle w:val="Normal"/>
        <w:jc w:val="both"/>
        <w:rPr>
          <w:sz w:val="22"/>
          <w:szCs w:val="22"/>
        </w:rPr>
      </w:pPr>
      <w:r>
        <w:rPr>
          <w:sz w:val="22"/>
          <w:szCs w:val="22"/>
        </w:rPr>
      </w:r>
    </w:p>
    <w:p>
      <w:pPr>
        <w:pStyle w:val="Normal"/>
        <w:tabs>
          <w:tab w:val="clear" w:pos="720"/>
          <w:tab w:val="left" w:pos="0" w:leader="none"/>
        </w:tabs>
        <w:jc w:val="both"/>
        <w:rPr/>
      </w:pPr>
      <w:r>
        <w:rPr>
          <w:sz w:val="22"/>
          <w:szCs w:val="22"/>
        </w:rPr>
        <w:t>2.La constitució en mora de l’empresa contractista no requereix intimació prèvia per part de l’Administració. Si l’empresa contractista incorregués en demora respecte del compliment dels terminis total o parcials, per causes que li siguin imputables, l’Administració podrà optar, ateses les circumstàncies del cas, per la resolució del contracte amb pèrdua de la garantia o per la imposició de les penalitats, en la forma i condicions establertes en els articles 193 i 194 de la LCSP.</w:t>
      </w:r>
    </w:p>
    <w:p>
      <w:pPr>
        <w:pStyle w:val="Normal"/>
        <w:tabs>
          <w:tab w:val="clear" w:pos="720"/>
          <w:tab w:val="left" w:pos="0" w:leader="none"/>
        </w:tabs>
        <w:jc w:val="both"/>
        <w:rPr>
          <w:sz w:val="22"/>
          <w:szCs w:val="22"/>
        </w:rPr>
      </w:pPr>
      <w:r>
        <w:rPr>
          <w:sz w:val="22"/>
          <w:szCs w:val="22"/>
        </w:rPr>
      </w:r>
    </w:p>
    <w:p>
      <w:pPr>
        <w:pStyle w:val="Normal"/>
        <w:tabs>
          <w:tab w:val="clear" w:pos="720"/>
          <w:tab w:val="left" w:pos="0" w:leader="none"/>
        </w:tabs>
        <w:jc w:val="both"/>
        <w:rPr/>
      </w:pPr>
      <w:r>
        <w:rPr>
          <w:sz w:val="22"/>
          <w:szCs w:val="22"/>
        </w:rPr>
        <w:t>L’Administració tindrà la mateixa facultat si l’empresa contractista incompleix parcialment, per causes imputables que li siguin imputables, l’execució de les prestacions definides en el contracte.</w:t>
      </w:r>
    </w:p>
    <w:p>
      <w:pPr>
        <w:pStyle w:val="Normal"/>
        <w:tabs>
          <w:tab w:val="clear" w:pos="720"/>
          <w:tab w:val="left" w:pos="0" w:leader="none"/>
        </w:tabs>
        <w:jc w:val="both"/>
        <w:rPr>
          <w:sz w:val="22"/>
          <w:szCs w:val="22"/>
        </w:rPr>
      </w:pPr>
      <w:r>
        <w:rPr>
          <w:sz w:val="22"/>
          <w:szCs w:val="22"/>
        </w:rPr>
      </w:r>
    </w:p>
    <w:p>
      <w:pPr>
        <w:pStyle w:val="Normal"/>
        <w:tabs>
          <w:tab w:val="clear" w:pos="720"/>
          <w:tab w:val="left" w:pos="0" w:leader="none"/>
        </w:tabs>
        <w:jc w:val="both"/>
        <w:rPr/>
      </w:pPr>
      <w:r>
        <w:rPr>
          <w:sz w:val="22"/>
          <w:szCs w:val="22"/>
        </w:rPr>
        <w:t>Si el retard respecte al compliment dels terminis fos produït per motius no imputables a l’empresa contractista i aquesta ofereix complir si se li amplia el termini inicial d’execució, se li concedirà un termini, almenys, igual al temps perdut, a menys que el contractista en demani un altre de més curt.</w:t>
      </w:r>
    </w:p>
    <w:p>
      <w:pPr>
        <w:pStyle w:val="Encapalament8"/>
        <w:numPr>
          <w:ilvl w:val="0"/>
          <w:numId w:val="0"/>
        </w:numPr>
        <w:ind w:left="0" w:hanging="0"/>
        <w:rPr>
          <w:color w:val="000000"/>
          <w:szCs w:val="22"/>
        </w:rPr>
      </w:pPr>
      <w:r>
        <w:rPr>
          <w:color w:val="000000"/>
          <w:szCs w:val="22"/>
        </w:rPr>
      </w:r>
    </w:p>
    <w:p>
      <w:pPr>
        <w:pStyle w:val="Encapalament8"/>
        <w:rPr>
          <w:szCs w:val="22"/>
        </w:rPr>
      </w:pPr>
      <w:r>
        <w:rPr>
          <w:szCs w:val="22"/>
        </w:rPr>
      </w:r>
    </w:p>
    <w:p>
      <w:pPr>
        <w:pStyle w:val="Encapalament8"/>
        <w:rPr>
          <w:szCs w:val="22"/>
        </w:rPr>
      </w:pPr>
      <w:r>
        <w:rPr>
          <w:szCs w:val="22"/>
        </w:rPr>
        <w:t>QUARANTA-DOSENA.- Penalitats per incompliment</w:t>
      </w:r>
    </w:p>
    <w:p>
      <w:pPr>
        <w:pStyle w:val="Cosdeltext"/>
        <w:jc w:val="both"/>
        <w:rPr>
          <w:rFonts w:ascii="Arial" w:hAnsi="Arial" w:cs="Arial"/>
          <w:sz w:val="22"/>
          <w:szCs w:val="22"/>
          <w:lang w:val="ca-ES"/>
        </w:rPr>
      </w:pPr>
      <w:r>
        <w:rPr>
          <w:rFonts w:cs="Arial" w:ascii="Arial" w:hAnsi="Arial"/>
          <w:sz w:val="22"/>
          <w:szCs w:val="22"/>
          <w:lang w:val="ca-ES"/>
        </w:rPr>
      </w:r>
    </w:p>
    <w:p>
      <w:pPr>
        <w:pStyle w:val="Normal"/>
        <w:jc w:val="both"/>
        <w:rPr>
          <w:shd w:fill="auto" w:val="clear"/>
        </w:rPr>
      </w:pPr>
      <w:r>
        <w:rPr>
          <w:sz w:val="22"/>
          <w:shd w:fill="auto" w:val="clear"/>
        </w:rPr>
        <w:t xml:space="preserve">L’empresa contractista s’ha de fer responsable que els serveis objecte del contracte es prestin dins del termini previst, en el lloc acordat i d’acord amb les característiques i requisits establerts en aquest plec i en el plec de prescripcions tècniques particulars. </w:t>
      </w:r>
    </w:p>
    <w:p>
      <w:pPr>
        <w:pStyle w:val="Normal"/>
        <w:jc w:val="both"/>
        <w:rPr>
          <w:sz w:val="22"/>
          <w:shd w:fill="auto" w:val="clear"/>
        </w:rPr>
      </w:pPr>
      <w:r>
        <w:rPr>
          <w:sz w:val="22"/>
          <w:shd w:fill="auto" w:val="clear"/>
        </w:rPr>
      </w:r>
    </w:p>
    <w:p>
      <w:pPr>
        <w:pStyle w:val="Normal"/>
        <w:jc w:val="both"/>
        <w:rPr>
          <w:shd w:fill="auto" w:val="clear"/>
        </w:rPr>
      </w:pPr>
      <w:r>
        <w:rPr>
          <w:sz w:val="22"/>
          <w:shd w:fill="auto" w:val="clear"/>
        </w:rPr>
        <w:t xml:space="preserve">S’estableix el següent catàleg d’incompliment de les obligacions de l’empresa contractista, distingint entre els de caràcter lleu i greu: </w:t>
      </w:r>
    </w:p>
    <w:p>
      <w:pPr>
        <w:pStyle w:val="Normal"/>
        <w:jc w:val="both"/>
        <w:rPr>
          <w:sz w:val="22"/>
          <w:shd w:fill="auto" w:val="clear"/>
        </w:rPr>
      </w:pPr>
      <w:r>
        <w:rPr>
          <w:sz w:val="22"/>
          <w:shd w:fill="auto" w:val="clear"/>
        </w:rPr>
      </w:r>
    </w:p>
    <w:p>
      <w:pPr>
        <w:pStyle w:val="Normal"/>
        <w:jc w:val="both"/>
        <w:rPr>
          <w:shd w:fill="auto" w:val="clear"/>
        </w:rPr>
      </w:pPr>
      <w:r>
        <w:rPr>
          <w:sz w:val="22"/>
          <w:shd w:fill="auto" w:val="clear"/>
        </w:rPr>
        <w:t>Es considerarà de caràcter greu</w:t>
      </w:r>
      <w:r>
        <w:rPr>
          <w:b/>
          <w:sz w:val="22"/>
          <w:shd w:fill="auto" w:val="clear"/>
        </w:rPr>
        <w:t xml:space="preserve"> </w:t>
      </w:r>
      <w:r>
        <w:rPr>
          <w:sz w:val="22"/>
          <w:shd w:fill="auto" w:val="clear"/>
          <w:lang w:val="af-ZA"/>
        </w:rPr>
        <w:t>l’incompliment</w:t>
      </w:r>
      <w:r>
        <w:rPr>
          <w:sz w:val="22"/>
          <w:shd w:fill="auto" w:val="clear"/>
        </w:rPr>
        <w:t xml:space="preserve"> de qualsevol de les condicions especials d’execució de caràcter obligatori establertes a les clàusules 22</w:t>
      </w:r>
      <w:r>
        <w:rPr>
          <w:position w:val="0"/>
          <w:sz w:val="22"/>
          <w:sz w:val="22"/>
          <w:shd w:fill="auto" w:val="clear"/>
          <w:vertAlign w:val="baseline"/>
        </w:rPr>
        <w:t>a</w:t>
      </w:r>
      <w:r>
        <w:rPr>
          <w:sz w:val="22"/>
          <w:shd w:fill="auto" w:val="clear"/>
        </w:rPr>
        <w:t xml:space="preserve"> i 23</w:t>
      </w:r>
      <w:r>
        <w:rPr>
          <w:position w:val="0"/>
          <w:sz w:val="22"/>
          <w:sz w:val="22"/>
          <w:shd w:fill="auto" w:val="clear"/>
          <w:vertAlign w:val="baseline"/>
        </w:rPr>
        <w:t xml:space="preserve">a </w:t>
      </w:r>
      <w:r>
        <w:rPr>
          <w:sz w:val="22"/>
          <w:shd w:fill="auto" w:val="clear"/>
        </w:rPr>
        <w:t xml:space="preserve"> d’aquest plec, </w:t>
      </w:r>
      <w:r>
        <w:rPr>
          <w:sz w:val="22"/>
          <w:shd w:fill="auto" w:val="clear"/>
          <w:lang w:val="af-ZA"/>
        </w:rPr>
        <w:t>l’incompliment</w:t>
      </w:r>
      <w:r>
        <w:rPr>
          <w:sz w:val="22"/>
          <w:shd w:fill="auto" w:val="clear"/>
        </w:rPr>
        <w:t xml:space="preserve"> de les obligacions i/o condicions d’execució del contracte que figuren en els plecs, </w:t>
      </w:r>
      <w:r>
        <w:rPr>
          <w:sz w:val="22"/>
          <w:shd w:fill="auto" w:val="clear"/>
          <w:lang w:val="af-ZA"/>
        </w:rPr>
        <w:t>l’incompliment</w:t>
      </w:r>
      <w:r>
        <w:rPr>
          <w:sz w:val="22"/>
          <w:shd w:fill="auto" w:val="clear"/>
        </w:rPr>
        <w:t xml:space="preserve"> de les millores ofertes per l’adjudicatari i </w:t>
      </w:r>
      <w:r>
        <w:rPr>
          <w:sz w:val="22"/>
          <w:shd w:fill="auto" w:val="clear"/>
          <w:lang w:val="af-ZA"/>
        </w:rPr>
        <w:t>l’incompliment</w:t>
      </w:r>
      <w:r>
        <w:rPr>
          <w:sz w:val="22"/>
          <w:shd w:fill="auto" w:val="clear"/>
        </w:rPr>
        <w:t xml:space="preserve"> del compromís d’adscripció a l’execució del contracte de mitjans personals o materials. Es considerarà de caràcter lleu</w:t>
      </w:r>
      <w:r>
        <w:rPr>
          <w:b/>
          <w:sz w:val="22"/>
          <w:shd w:fill="auto" w:val="clear"/>
        </w:rPr>
        <w:t xml:space="preserve"> </w:t>
      </w:r>
      <w:r>
        <w:rPr>
          <w:sz w:val="22"/>
          <w:shd w:fill="auto" w:val="clear"/>
        </w:rPr>
        <w:t>el compliment defectuós de les obligacions i/o condicions d’execució del contracte, quan no constitueixi una falta de caràcter greu. L’acumulació de tres faltes lleus suposarà una falta greu.</w:t>
      </w:r>
    </w:p>
    <w:p>
      <w:pPr>
        <w:pStyle w:val="Normal"/>
        <w:jc w:val="both"/>
        <w:rPr>
          <w:sz w:val="22"/>
          <w:shd w:fill="auto" w:val="clear"/>
        </w:rPr>
      </w:pPr>
      <w:r>
        <w:rPr>
          <w:sz w:val="22"/>
          <w:shd w:fill="auto" w:val="clear"/>
        </w:rPr>
      </w:r>
    </w:p>
    <w:p>
      <w:pPr>
        <w:pStyle w:val="Normal"/>
        <w:jc w:val="both"/>
        <w:rPr>
          <w:shd w:fill="auto" w:val="clear"/>
        </w:rPr>
      </w:pPr>
      <w:r>
        <w:rPr>
          <w:sz w:val="22"/>
          <w:shd w:fill="auto" w:val="clear"/>
        </w:rPr>
        <w:t xml:space="preserve">Un incompliment de caràcter lleu suposarà una penalitat del 3 % del preu del contracte, exclòs </w:t>
      </w:r>
      <w:r>
        <w:rPr>
          <w:sz w:val="22"/>
          <w:shd w:fill="auto" w:val="clear"/>
          <w:lang w:val="af-ZA"/>
        </w:rPr>
        <w:t>l’IVA</w:t>
      </w:r>
      <w:r>
        <w:rPr>
          <w:sz w:val="22"/>
          <w:shd w:fill="auto" w:val="clear"/>
        </w:rPr>
        <w:t xml:space="preserve">. Davant d’un incompliment de caràcter greu, l’Ajuntament pot optar, ateses les circumstàncies del cas, per la resolució del contracte o per la imposició del 6 % del preu del contracte, exclòs </w:t>
      </w:r>
      <w:r>
        <w:rPr>
          <w:sz w:val="22"/>
          <w:shd w:fill="auto" w:val="clear"/>
          <w:lang w:val="af-ZA"/>
        </w:rPr>
        <w:t>l’IVA</w:t>
      </w:r>
      <w:r>
        <w:rPr>
          <w:sz w:val="22"/>
          <w:shd w:fill="auto" w:val="clear"/>
        </w:rPr>
        <w:t>.</w:t>
      </w:r>
    </w:p>
    <w:p>
      <w:pPr>
        <w:pStyle w:val="Normal"/>
        <w:jc w:val="both"/>
        <w:rPr>
          <w:sz w:val="22"/>
          <w:shd w:fill="auto" w:val="clear"/>
        </w:rPr>
      </w:pPr>
      <w:r>
        <w:rPr>
          <w:sz w:val="22"/>
          <w:shd w:fill="auto" w:val="clear"/>
        </w:rPr>
      </w:r>
    </w:p>
    <w:p>
      <w:pPr>
        <w:pStyle w:val="Normal"/>
        <w:jc w:val="both"/>
        <w:rPr>
          <w:shd w:fill="auto" w:val="clear"/>
        </w:rPr>
      </w:pPr>
      <w:r>
        <w:rPr>
          <w:sz w:val="22"/>
          <w:shd w:fill="auto" w:val="clear"/>
        </w:rPr>
        <w:t xml:space="preserve">Pel que fa al manteniment de les instal·lacions s’estableix el següent catàleg d’incompliment de les obligacions de l’empresa contractista, distingint entre els de caràcter lleu, greu i molt greu: </w:t>
      </w:r>
    </w:p>
    <w:p>
      <w:pPr>
        <w:pStyle w:val="Normal"/>
        <w:jc w:val="both"/>
        <w:rPr>
          <w:sz w:val="22"/>
          <w:shd w:fill="auto" w:val="clear"/>
        </w:rPr>
      </w:pPr>
      <w:r>
        <w:rPr>
          <w:sz w:val="22"/>
          <w:shd w:fill="auto" w:val="clear"/>
        </w:rPr>
      </w:r>
    </w:p>
    <w:p>
      <w:pPr>
        <w:pStyle w:val="Normal"/>
        <w:numPr>
          <w:ilvl w:val="0"/>
          <w:numId w:val="0"/>
        </w:numPr>
        <w:tabs>
          <w:tab w:val="clear" w:pos="720"/>
          <w:tab w:val="left" w:pos="426" w:leader="none"/>
        </w:tabs>
        <w:ind w:left="0" w:hanging="0"/>
        <w:jc w:val="both"/>
        <w:rPr>
          <w:sz w:val="22"/>
        </w:rPr>
      </w:pPr>
      <w:r>
        <w:rPr>
          <w:sz w:val="22"/>
        </w:rPr>
        <w:t>Incompliments de caràcter molt greu:</w:t>
      </w:r>
    </w:p>
    <w:p>
      <w:pPr>
        <w:pStyle w:val="Normal"/>
        <w:tabs>
          <w:tab w:val="clear" w:pos="720"/>
          <w:tab w:val="left" w:pos="426" w:leader="none"/>
        </w:tabs>
        <w:jc w:val="both"/>
        <w:rPr>
          <w:sz w:val="22"/>
        </w:rPr>
      </w:pPr>
      <w:r>
        <w:rPr>
          <w:sz w:val="22"/>
        </w:rPr>
      </w:r>
    </w:p>
    <w:p>
      <w:pPr>
        <w:pStyle w:val="ListParagraph"/>
        <w:widowControl/>
        <w:numPr>
          <w:ilvl w:val="0"/>
          <w:numId w:val="11"/>
        </w:numPr>
        <w:tabs>
          <w:tab w:val="clear" w:pos="720"/>
          <w:tab w:val="left" w:pos="950" w:leader="none"/>
        </w:tabs>
        <w:suppressAutoHyphens w:val="true"/>
        <w:bidi w:val="0"/>
        <w:spacing w:lineRule="auto" w:line="204" w:before="121" w:after="0"/>
        <w:ind w:left="964" w:right="0" w:hanging="283"/>
        <w:contextualSpacing/>
        <w:jc w:val="both"/>
        <w:rPr>
          <w:rFonts w:ascii="Arial" w:hAnsi="Arial"/>
          <w:shd w:fill="auto" w:val="clear"/>
        </w:rPr>
      </w:pPr>
      <w:r>
        <w:rPr>
          <w:rFonts w:ascii="Arial" w:hAnsi="Arial"/>
          <w:sz w:val="22"/>
          <w:shd w:fill="auto" w:val="clear"/>
        </w:rPr>
        <w:t>La utilització de forns, fogons, o altres aparells generadors de calor quan no s'estigui cuinant.</w:t>
      </w:r>
    </w:p>
    <w:p>
      <w:pPr>
        <w:pStyle w:val="ListParagraph"/>
        <w:widowControl/>
        <w:numPr>
          <w:ilvl w:val="0"/>
          <w:numId w:val="11"/>
        </w:numPr>
        <w:tabs>
          <w:tab w:val="clear" w:pos="720"/>
          <w:tab w:val="left" w:pos="950" w:leader="none"/>
        </w:tabs>
        <w:suppressAutoHyphens w:val="true"/>
        <w:bidi w:val="0"/>
        <w:spacing w:lineRule="auto" w:line="204" w:before="133" w:after="0"/>
        <w:ind w:left="964" w:right="0" w:hanging="283"/>
        <w:contextualSpacing/>
        <w:jc w:val="both"/>
        <w:rPr>
          <w:rFonts w:ascii="Arial" w:hAnsi="Arial"/>
          <w:shd w:fill="auto" w:val="clear"/>
        </w:rPr>
      </w:pPr>
      <w:r>
        <w:rPr>
          <w:rFonts w:ascii="Arial" w:hAnsi="Arial"/>
          <w:sz w:val="22"/>
          <w:shd w:fill="auto" w:val="clear"/>
        </w:rPr>
        <w:t>No atendre les emergències en el termini estipulat per fer-ho (2 h de temps de</w:t>
      </w:r>
      <w:r>
        <w:rPr>
          <w:rFonts w:ascii="Arial" w:hAnsi="Arial"/>
          <w:spacing w:val="80"/>
          <w:sz w:val="22"/>
          <w:shd w:fill="auto" w:val="clear"/>
        </w:rPr>
        <w:t xml:space="preserve"> </w:t>
      </w:r>
      <w:r>
        <w:rPr>
          <w:rFonts w:ascii="Arial" w:hAnsi="Arial"/>
          <w:sz w:val="22"/>
          <w:shd w:fill="auto" w:val="clear"/>
        </w:rPr>
        <w:t>resposta i 1 dia laborable de temps de resolució).</w:t>
      </w:r>
    </w:p>
    <w:p>
      <w:pPr>
        <w:pStyle w:val="ListParagraph"/>
        <w:numPr>
          <w:ilvl w:val="0"/>
          <w:numId w:val="11"/>
        </w:numPr>
        <w:tabs>
          <w:tab w:val="clear" w:pos="720"/>
          <w:tab w:val="left" w:pos="949" w:leader="none"/>
        </w:tabs>
        <w:spacing w:lineRule="auto" w:line="240" w:before="116" w:after="0"/>
        <w:ind w:left="949" w:right="0" w:hanging="283"/>
        <w:contextualSpacing/>
        <w:jc w:val="both"/>
        <w:rPr>
          <w:rFonts w:ascii="Arial" w:hAnsi="Arial"/>
          <w:shd w:fill="auto" w:val="clear"/>
        </w:rPr>
      </w:pPr>
      <w:r>
        <w:rPr>
          <w:rFonts w:ascii="Arial" w:hAnsi="Arial"/>
          <w:sz w:val="22"/>
          <w:shd w:fill="auto" w:val="clear"/>
        </w:rPr>
        <w:t>No</w:t>
      </w:r>
      <w:r>
        <w:rPr>
          <w:rFonts w:ascii="Arial" w:hAnsi="Arial"/>
          <w:spacing w:val="-6"/>
          <w:sz w:val="22"/>
          <w:shd w:fill="auto" w:val="clear"/>
        </w:rPr>
        <w:t xml:space="preserve"> </w:t>
      </w:r>
      <w:r>
        <w:rPr>
          <w:rFonts w:ascii="Arial" w:hAnsi="Arial"/>
          <w:sz w:val="22"/>
          <w:shd w:fill="auto" w:val="clear"/>
        </w:rPr>
        <w:t>atendre</w:t>
      </w:r>
      <w:r>
        <w:rPr>
          <w:rFonts w:ascii="Arial" w:hAnsi="Arial"/>
          <w:spacing w:val="-3"/>
          <w:sz w:val="22"/>
          <w:shd w:fill="auto" w:val="clear"/>
        </w:rPr>
        <w:t xml:space="preserve"> </w:t>
      </w:r>
      <w:r>
        <w:rPr>
          <w:rFonts w:ascii="Arial" w:hAnsi="Arial"/>
          <w:sz w:val="22"/>
          <w:shd w:fill="auto" w:val="clear"/>
        </w:rPr>
        <w:t>el</w:t>
      </w:r>
      <w:r>
        <w:rPr>
          <w:rFonts w:ascii="Arial" w:hAnsi="Arial"/>
          <w:spacing w:val="-5"/>
          <w:sz w:val="22"/>
          <w:shd w:fill="auto" w:val="clear"/>
        </w:rPr>
        <w:t xml:space="preserve"> </w:t>
      </w:r>
      <w:r>
        <w:rPr>
          <w:rFonts w:ascii="Arial" w:hAnsi="Arial"/>
          <w:sz w:val="22"/>
          <w:shd w:fill="auto" w:val="clear"/>
        </w:rPr>
        <w:t>manteniment</w:t>
      </w:r>
      <w:r>
        <w:rPr>
          <w:rFonts w:ascii="Arial" w:hAnsi="Arial"/>
          <w:spacing w:val="-3"/>
          <w:sz w:val="22"/>
          <w:shd w:fill="auto" w:val="clear"/>
        </w:rPr>
        <w:t xml:space="preserve"> </w:t>
      </w:r>
      <w:r>
        <w:rPr>
          <w:rFonts w:ascii="Arial" w:hAnsi="Arial"/>
          <w:sz w:val="22"/>
          <w:shd w:fill="auto" w:val="clear"/>
        </w:rPr>
        <w:t>periòdic</w:t>
      </w:r>
      <w:r>
        <w:rPr>
          <w:rFonts w:ascii="Arial" w:hAnsi="Arial"/>
          <w:spacing w:val="-1"/>
          <w:sz w:val="22"/>
          <w:shd w:fill="auto" w:val="clear"/>
        </w:rPr>
        <w:t xml:space="preserve"> </w:t>
      </w:r>
      <w:r>
        <w:rPr>
          <w:rFonts w:ascii="Arial" w:hAnsi="Arial"/>
          <w:sz w:val="22"/>
          <w:shd w:fill="auto" w:val="clear"/>
        </w:rPr>
        <w:t>dels</w:t>
      </w:r>
      <w:r>
        <w:rPr>
          <w:rFonts w:ascii="Arial" w:hAnsi="Arial"/>
          <w:spacing w:val="-4"/>
          <w:sz w:val="22"/>
          <w:shd w:fill="auto" w:val="clear"/>
        </w:rPr>
        <w:t xml:space="preserve"> </w:t>
      </w:r>
      <w:r>
        <w:rPr>
          <w:rFonts w:ascii="Arial" w:hAnsi="Arial"/>
          <w:sz w:val="22"/>
          <w:shd w:fill="auto" w:val="clear"/>
        </w:rPr>
        <w:t>aparells</w:t>
      </w:r>
      <w:r>
        <w:rPr>
          <w:rFonts w:ascii="Arial" w:hAnsi="Arial"/>
          <w:spacing w:val="-1"/>
          <w:sz w:val="22"/>
          <w:shd w:fill="auto" w:val="clear"/>
        </w:rPr>
        <w:t xml:space="preserve"> </w:t>
      </w:r>
      <w:r>
        <w:rPr>
          <w:rFonts w:ascii="Arial" w:hAnsi="Arial"/>
          <w:sz w:val="22"/>
          <w:shd w:fill="auto" w:val="clear"/>
        </w:rPr>
        <w:t>de</w:t>
      </w:r>
      <w:r>
        <w:rPr>
          <w:rFonts w:ascii="Arial" w:hAnsi="Arial"/>
          <w:spacing w:val="-4"/>
          <w:sz w:val="22"/>
          <w:shd w:fill="auto" w:val="clear"/>
        </w:rPr>
        <w:t xml:space="preserve"> </w:t>
      </w:r>
      <w:r>
        <w:rPr>
          <w:rFonts w:ascii="Arial" w:hAnsi="Arial"/>
          <w:sz w:val="22"/>
          <w:shd w:fill="auto" w:val="clear"/>
        </w:rPr>
        <w:t>gas</w:t>
      </w:r>
      <w:r>
        <w:rPr>
          <w:rFonts w:ascii="Arial" w:hAnsi="Arial"/>
          <w:spacing w:val="-3"/>
          <w:sz w:val="22"/>
          <w:shd w:fill="auto" w:val="clear"/>
        </w:rPr>
        <w:t xml:space="preserve"> </w:t>
      </w:r>
      <w:r>
        <w:rPr>
          <w:rFonts w:ascii="Arial" w:hAnsi="Arial"/>
          <w:sz w:val="22"/>
          <w:shd w:fill="auto" w:val="clear"/>
        </w:rPr>
        <w:t>amb</w:t>
      </w:r>
      <w:r>
        <w:rPr>
          <w:rFonts w:ascii="Arial" w:hAnsi="Arial"/>
          <w:spacing w:val="-1"/>
          <w:sz w:val="22"/>
          <w:shd w:fill="auto" w:val="clear"/>
        </w:rPr>
        <w:t xml:space="preserve"> </w:t>
      </w:r>
      <w:r>
        <w:rPr>
          <w:rFonts w:ascii="Arial" w:hAnsi="Arial"/>
          <w:spacing w:val="-2"/>
          <w:sz w:val="22"/>
          <w:shd w:fill="auto" w:val="clear"/>
        </w:rPr>
        <w:t>puntualitat:</w:t>
      </w:r>
    </w:p>
    <w:p>
      <w:pPr>
        <w:pStyle w:val="ListParagraph"/>
        <w:widowControl/>
        <w:numPr>
          <w:ilvl w:val="1"/>
          <w:numId w:val="11"/>
        </w:numPr>
        <w:tabs>
          <w:tab w:val="clear" w:pos="720"/>
          <w:tab w:val="left" w:pos="1658" w:leader="none"/>
        </w:tabs>
        <w:suppressAutoHyphens w:val="true"/>
        <w:bidi w:val="0"/>
        <w:spacing w:lineRule="auto" w:line="204" w:before="113" w:after="0"/>
        <w:ind w:left="1644" w:right="0" w:hanging="283"/>
        <w:contextualSpacing/>
        <w:jc w:val="both"/>
        <w:rPr>
          <w:shd w:fill="auto" w:val="clear"/>
        </w:rPr>
      </w:pPr>
      <w:r>
        <w:rPr>
          <w:rFonts w:ascii="Arial" w:hAnsi="Arial"/>
          <w:sz w:val="22"/>
          <w:shd w:fill="auto" w:val="clear"/>
        </w:rPr>
        <w:t>Revisions periòdiques trimestrals: en el termini de 10 dies hàbils des</w:t>
      </w:r>
      <w:r>
        <w:rPr>
          <w:rFonts w:ascii="Arial" w:hAnsi="Arial"/>
          <w:spacing w:val="-4"/>
          <w:sz w:val="22"/>
          <w:shd w:fill="auto" w:val="clear"/>
        </w:rPr>
        <w:t xml:space="preserve"> </w:t>
      </w:r>
      <w:r>
        <w:rPr>
          <w:rFonts w:ascii="Arial" w:hAnsi="Arial"/>
          <w:sz w:val="22"/>
          <w:shd w:fill="auto" w:val="clear"/>
        </w:rPr>
        <w:t>de</w:t>
      </w:r>
      <w:r>
        <w:rPr>
          <w:rFonts w:ascii="Arial" w:hAnsi="Arial"/>
          <w:spacing w:val="-4"/>
          <w:sz w:val="22"/>
          <w:shd w:fill="auto" w:val="clear"/>
        </w:rPr>
        <w:t xml:space="preserve"> </w:t>
      </w:r>
      <w:r>
        <w:rPr>
          <w:rFonts w:ascii="Arial" w:hAnsi="Arial"/>
          <w:sz w:val="22"/>
          <w:shd w:fill="auto" w:val="clear"/>
        </w:rPr>
        <w:t>la generació de l'ordre de treball al programa de manteniment.</w:t>
      </w:r>
    </w:p>
    <w:p>
      <w:pPr>
        <w:pStyle w:val="ListParagraph"/>
        <w:widowControl/>
        <w:numPr>
          <w:ilvl w:val="1"/>
          <w:numId w:val="11"/>
        </w:numPr>
        <w:tabs>
          <w:tab w:val="clear" w:pos="720"/>
          <w:tab w:val="left" w:pos="1658" w:leader="none"/>
        </w:tabs>
        <w:suppressAutoHyphens w:val="true"/>
        <w:bidi w:val="0"/>
        <w:spacing w:lineRule="auto" w:line="216" w:before="125" w:after="0"/>
        <w:ind w:left="1644" w:right="0" w:hanging="283"/>
        <w:contextualSpacing/>
        <w:jc w:val="both"/>
        <w:rPr>
          <w:rFonts w:ascii="Arial" w:hAnsi="Arial"/>
          <w:shd w:fill="auto" w:val="clear"/>
        </w:rPr>
      </w:pPr>
      <w:r>
        <w:rPr>
          <w:rFonts w:ascii="Arial" w:hAnsi="Arial"/>
          <w:sz w:val="22"/>
          <w:shd w:fill="auto" w:val="clear"/>
        </w:rPr>
        <w:t>Revisions</w:t>
      </w:r>
      <w:r>
        <w:rPr>
          <w:rFonts w:ascii="Arial" w:hAnsi="Arial"/>
          <w:spacing w:val="27"/>
          <w:sz w:val="22"/>
          <w:shd w:fill="auto" w:val="clear"/>
        </w:rPr>
        <w:t xml:space="preserve"> </w:t>
      </w:r>
      <w:r>
        <w:rPr>
          <w:rFonts w:ascii="Arial" w:hAnsi="Arial"/>
          <w:sz w:val="22"/>
          <w:shd w:fill="auto" w:val="clear"/>
        </w:rPr>
        <w:t>periòdiques</w:t>
      </w:r>
      <w:r>
        <w:rPr>
          <w:rFonts w:ascii="Arial" w:hAnsi="Arial"/>
          <w:spacing w:val="27"/>
          <w:sz w:val="22"/>
          <w:shd w:fill="auto" w:val="clear"/>
        </w:rPr>
        <w:t xml:space="preserve"> </w:t>
      </w:r>
      <w:r>
        <w:rPr>
          <w:rFonts w:ascii="Arial" w:hAnsi="Arial"/>
          <w:sz w:val="22"/>
          <w:shd w:fill="auto" w:val="clear"/>
        </w:rPr>
        <w:t>anuals: en el termini</w:t>
      </w:r>
      <w:r>
        <w:rPr>
          <w:rFonts w:ascii="Arial" w:hAnsi="Arial"/>
          <w:spacing w:val="27"/>
          <w:sz w:val="22"/>
          <w:shd w:fill="auto" w:val="clear"/>
        </w:rPr>
        <w:t xml:space="preserve"> </w:t>
      </w:r>
      <w:r>
        <w:rPr>
          <w:rFonts w:ascii="Arial" w:hAnsi="Arial"/>
          <w:sz w:val="22"/>
          <w:shd w:fill="auto" w:val="clear"/>
        </w:rPr>
        <w:t>d'un mes</w:t>
      </w:r>
      <w:r>
        <w:rPr>
          <w:rFonts w:ascii="Arial" w:hAnsi="Arial"/>
          <w:spacing w:val="-3"/>
          <w:sz w:val="22"/>
          <w:shd w:fill="auto" w:val="clear"/>
        </w:rPr>
        <w:t xml:space="preserve"> </w:t>
      </w:r>
      <w:r>
        <w:rPr>
          <w:rFonts w:ascii="Arial" w:hAnsi="Arial"/>
          <w:sz w:val="22"/>
          <w:shd w:fill="auto" w:val="clear"/>
        </w:rPr>
        <w:t>des de</w:t>
      </w:r>
      <w:r>
        <w:rPr>
          <w:rFonts w:ascii="Arial" w:hAnsi="Arial"/>
          <w:spacing w:val="27"/>
          <w:sz w:val="22"/>
          <w:shd w:fill="auto" w:val="clear"/>
        </w:rPr>
        <w:t xml:space="preserve"> </w:t>
      </w:r>
      <w:r>
        <w:rPr>
          <w:rFonts w:ascii="Arial" w:hAnsi="Arial"/>
          <w:sz w:val="22"/>
          <w:shd w:fill="auto" w:val="clear"/>
        </w:rPr>
        <w:t>la</w:t>
      </w:r>
      <w:r>
        <w:rPr>
          <w:rFonts w:ascii="Arial" w:hAnsi="Arial"/>
          <w:spacing w:val="-4"/>
          <w:sz w:val="22"/>
          <w:shd w:fill="auto" w:val="clear"/>
        </w:rPr>
        <w:t xml:space="preserve"> </w:t>
      </w:r>
      <w:r>
        <w:rPr>
          <w:rFonts w:ascii="Arial" w:hAnsi="Arial"/>
          <w:sz w:val="22"/>
          <w:shd w:fill="auto" w:val="clear"/>
        </w:rPr>
        <w:t>generació de l'ordre de treball al programa de manteniment.</w:t>
      </w:r>
    </w:p>
    <w:p>
      <w:pPr>
        <w:pStyle w:val="ListParagraph"/>
        <w:numPr>
          <w:ilvl w:val="0"/>
          <w:numId w:val="11"/>
        </w:numPr>
        <w:tabs>
          <w:tab w:val="clear" w:pos="720"/>
          <w:tab w:val="left" w:pos="949" w:leader="none"/>
        </w:tabs>
        <w:spacing w:lineRule="auto" w:line="240" w:before="113" w:after="0"/>
        <w:ind w:left="949" w:right="0" w:hanging="283"/>
        <w:contextualSpacing/>
        <w:jc w:val="both"/>
        <w:rPr>
          <w:rFonts w:ascii="Arial" w:hAnsi="Arial"/>
          <w:shd w:fill="auto" w:val="clear"/>
        </w:rPr>
      </w:pPr>
      <w:r>
        <w:rPr>
          <w:rFonts w:ascii="Arial" w:hAnsi="Arial"/>
          <w:sz w:val="22"/>
          <w:shd w:fill="auto" w:val="clear"/>
        </w:rPr>
        <w:t>No</w:t>
      </w:r>
      <w:r>
        <w:rPr>
          <w:rFonts w:ascii="Arial" w:hAnsi="Arial"/>
          <w:spacing w:val="-5"/>
          <w:sz w:val="22"/>
          <w:shd w:fill="auto" w:val="clear"/>
        </w:rPr>
        <w:t xml:space="preserve"> </w:t>
      </w:r>
      <w:r>
        <w:rPr>
          <w:rFonts w:ascii="Arial" w:hAnsi="Arial"/>
          <w:sz w:val="22"/>
          <w:shd w:fill="auto" w:val="clear"/>
        </w:rPr>
        <w:t>reciclar</w:t>
      </w:r>
      <w:r>
        <w:rPr>
          <w:rFonts w:ascii="Arial" w:hAnsi="Arial"/>
          <w:spacing w:val="-3"/>
          <w:sz w:val="22"/>
          <w:shd w:fill="auto" w:val="clear"/>
        </w:rPr>
        <w:t xml:space="preserve"> </w:t>
      </w:r>
      <w:r>
        <w:rPr>
          <w:rFonts w:ascii="Arial" w:hAnsi="Arial"/>
          <w:sz w:val="22"/>
          <w:shd w:fill="auto" w:val="clear"/>
        </w:rPr>
        <w:t>correctament</w:t>
      </w:r>
      <w:r>
        <w:rPr>
          <w:rFonts w:ascii="Arial" w:hAnsi="Arial"/>
          <w:spacing w:val="-6"/>
          <w:sz w:val="22"/>
          <w:shd w:fill="auto" w:val="clear"/>
        </w:rPr>
        <w:t xml:space="preserve"> </w:t>
      </w:r>
      <w:r>
        <w:rPr>
          <w:rFonts w:ascii="Arial" w:hAnsi="Arial"/>
          <w:sz w:val="22"/>
          <w:shd w:fill="auto" w:val="clear"/>
        </w:rPr>
        <w:t>els</w:t>
      </w:r>
      <w:r>
        <w:rPr>
          <w:rFonts w:ascii="Arial" w:hAnsi="Arial"/>
          <w:spacing w:val="-1"/>
          <w:sz w:val="22"/>
          <w:shd w:fill="auto" w:val="clear"/>
        </w:rPr>
        <w:t xml:space="preserve"> </w:t>
      </w:r>
      <w:r>
        <w:rPr>
          <w:rFonts w:ascii="Arial" w:hAnsi="Arial"/>
          <w:spacing w:val="-2"/>
          <w:sz w:val="22"/>
          <w:shd w:fill="auto" w:val="clear"/>
        </w:rPr>
        <w:t>residus.</w:t>
      </w:r>
    </w:p>
    <w:p>
      <w:pPr>
        <w:pStyle w:val="ListParagraph"/>
        <w:widowControl/>
        <w:numPr>
          <w:ilvl w:val="0"/>
          <w:numId w:val="11"/>
        </w:numPr>
        <w:tabs>
          <w:tab w:val="clear" w:pos="720"/>
          <w:tab w:val="left" w:pos="950" w:leader="none"/>
        </w:tabs>
        <w:suppressAutoHyphens w:val="true"/>
        <w:bidi w:val="0"/>
        <w:spacing w:lineRule="auto" w:line="204" w:before="113" w:after="0"/>
        <w:ind w:left="964" w:right="0" w:hanging="283"/>
        <w:contextualSpacing/>
        <w:jc w:val="both"/>
        <w:rPr>
          <w:rFonts w:ascii="Arial" w:hAnsi="Arial"/>
          <w:shd w:fill="auto" w:val="clear"/>
        </w:rPr>
      </w:pPr>
      <w:r>
        <w:rPr>
          <w:rFonts w:ascii="Arial" w:hAnsi="Arial"/>
          <w:sz w:val="22"/>
          <w:shd w:fill="auto" w:val="clear"/>
        </w:rPr>
        <w:t>Tancar</w:t>
      </w:r>
      <w:r>
        <w:rPr>
          <w:rFonts w:ascii="Arial" w:hAnsi="Arial"/>
          <w:spacing w:val="40"/>
          <w:sz w:val="22"/>
          <w:shd w:fill="auto" w:val="clear"/>
        </w:rPr>
        <w:t xml:space="preserve"> </w:t>
      </w:r>
      <w:r>
        <w:rPr>
          <w:rFonts w:ascii="Arial" w:hAnsi="Arial"/>
          <w:sz w:val="22"/>
          <w:shd w:fill="auto" w:val="clear"/>
        </w:rPr>
        <w:t>les</w:t>
      </w:r>
      <w:r>
        <w:rPr>
          <w:rFonts w:ascii="Arial" w:hAnsi="Arial"/>
          <w:spacing w:val="40"/>
          <w:sz w:val="22"/>
          <w:shd w:fill="auto" w:val="clear"/>
        </w:rPr>
        <w:t xml:space="preserve"> </w:t>
      </w:r>
      <w:r>
        <w:rPr>
          <w:rFonts w:ascii="Arial" w:hAnsi="Arial"/>
          <w:sz w:val="22"/>
          <w:shd w:fill="auto" w:val="clear"/>
        </w:rPr>
        <w:t>ordres</w:t>
      </w:r>
      <w:r>
        <w:rPr>
          <w:rFonts w:ascii="Arial" w:hAnsi="Arial"/>
          <w:spacing w:val="40"/>
          <w:sz w:val="22"/>
          <w:shd w:fill="auto" w:val="clear"/>
        </w:rPr>
        <w:t xml:space="preserve"> </w:t>
      </w:r>
      <w:r>
        <w:rPr>
          <w:rFonts w:ascii="Arial" w:hAnsi="Arial"/>
          <w:sz w:val="22"/>
          <w:shd w:fill="auto" w:val="clear"/>
        </w:rPr>
        <w:t>de</w:t>
      </w:r>
      <w:r>
        <w:rPr>
          <w:rFonts w:ascii="Arial" w:hAnsi="Arial"/>
          <w:spacing w:val="40"/>
          <w:sz w:val="22"/>
          <w:shd w:fill="auto" w:val="clear"/>
        </w:rPr>
        <w:t xml:space="preserve"> </w:t>
      </w:r>
      <w:r>
        <w:rPr>
          <w:rFonts w:ascii="Arial" w:hAnsi="Arial"/>
          <w:sz w:val="22"/>
          <w:shd w:fill="auto" w:val="clear"/>
        </w:rPr>
        <w:t>treball</w:t>
      </w:r>
      <w:r>
        <w:rPr>
          <w:rFonts w:ascii="Arial" w:hAnsi="Arial"/>
          <w:spacing w:val="40"/>
          <w:sz w:val="22"/>
          <w:shd w:fill="auto" w:val="clear"/>
        </w:rPr>
        <w:t xml:space="preserve"> </w:t>
      </w:r>
      <w:r>
        <w:rPr>
          <w:rFonts w:ascii="Arial" w:hAnsi="Arial"/>
          <w:sz w:val="22"/>
          <w:shd w:fill="auto" w:val="clear"/>
        </w:rPr>
        <w:t>del</w:t>
      </w:r>
      <w:r>
        <w:rPr>
          <w:rFonts w:ascii="Arial" w:hAnsi="Arial"/>
          <w:spacing w:val="40"/>
          <w:sz w:val="22"/>
          <w:shd w:fill="auto" w:val="clear"/>
        </w:rPr>
        <w:t xml:space="preserve"> </w:t>
      </w:r>
      <w:r>
        <w:rPr>
          <w:rFonts w:ascii="Arial" w:hAnsi="Arial"/>
          <w:sz w:val="22"/>
          <w:shd w:fill="auto" w:val="clear"/>
        </w:rPr>
        <w:t>programa</w:t>
      </w:r>
      <w:r>
        <w:rPr>
          <w:rFonts w:ascii="Arial" w:hAnsi="Arial"/>
          <w:spacing w:val="40"/>
          <w:sz w:val="22"/>
          <w:shd w:fill="auto" w:val="clear"/>
        </w:rPr>
        <w:t xml:space="preserve"> </w:t>
      </w:r>
      <w:r>
        <w:rPr>
          <w:rFonts w:ascii="Arial" w:hAnsi="Arial"/>
          <w:sz w:val="22"/>
          <w:shd w:fill="auto" w:val="clear"/>
        </w:rPr>
        <w:t>de</w:t>
      </w:r>
      <w:r>
        <w:rPr>
          <w:rFonts w:ascii="Arial" w:hAnsi="Arial"/>
          <w:spacing w:val="40"/>
          <w:sz w:val="22"/>
          <w:shd w:fill="auto" w:val="clear"/>
        </w:rPr>
        <w:t xml:space="preserve"> </w:t>
      </w:r>
      <w:r>
        <w:rPr>
          <w:rFonts w:ascii="Arial" w:hAnsi="Arial"/>
          <w:sz w:val="22"/>
          <w:shd w:fill="auto" w:val="clear"/>
        </w:rPr>
        <w:t>manteniment,</w:t>
      </w:r>
      <w:r>
        <w:rPr>
          <w:rFonts w:ascii="Arial" w:hAnsi="Arial"/>
          <w:spacing w:val="-4"/>
          <w:sz w:val="22"/>
          <w:shd w:fill="auto" w:val="clear"/>
        </w:rPr>
        <w:t xml:space="preserve"> </w:t>
      </w:r>
      <w:r>
        <w:rPr>
          <w:rFonts w:ascii="Arial" w:hAnsi="Arial"/>
          <w:sz w:val="22"/>
          <w:shd w:fill="auto" w:val="clear"/>
        </w:rPr>
        <w:t xml:space="preserve">Rosmiman, </w:t>
      </w:r>
      <w:r>
        <w:rPr>
          <w:rFonts w:ascii="Arial" w:hAnsi="Arial"/>
          <w:spacing w:val="40"/>
          <w:sz w:val="22"/>
          <w:shd w:fill="auto" w:val="clear"/>
        </w:rPr>
        <w:t xml:space="preserve"> </w:t>
      </w:r>
      <w:r>
        <w:rPr>
          <w:rFonts w:ascii="Arial" w:hAnsi="Arial"/>
          <w:sz w:val="22"/>
          <w:shd w:fill="auto" w:val="clear"/>
        </w:rPr>
        <w:t>sense haver resolt les incidències o haver realitzat el manteniment que pertoqui.</w:t>
      </w:r>
    </w:p>
    <w:p>
      <w:pPr>
        <w:pStyle w:val="Normal"/>
        <w:tabs>
          <w:tab w:val="clear" w:pos="720"/>
          <w:tab w:val="left" w:pos="426" w:leader="none"/>
        </w:tabs>
        <w:jc w:val="both"/>
        <w:rPr>
          <w:sz w:val="22"/>
        </w:rPr>
      </w:pPr>
      <w:r>
        <w:rPr>
          <w:sz w:val="22"/>
        </w:rPr>
      </w:r>
    </w:p>
    <w:p>
      <w:pPr>
        <w:pStyle w:val="Normal"/>
        <w:numPr>
          <w:ilvl w:val="0"/>
          <w:numId w:val="0"/>
        </w:numPr>
        <w:tabs>
          <w:tab w:val="clear" w:pos="720"/>
          <w:tab w:val="left" w:pos="426" w:leader="none"/>
        </w:tabs>
        <w:ind w:left="0" w:hanging="0"/>
        <w:jc w:val="both"/>
        <w:rPr>
          <w:sz w:val="22"/>
        </w:rPr>
      </w:pPr>
      <w:r>
        <w:rPr>
          <w:sz w:val="22"/>
        </w:rPr>
        <w:t xml:space="preserve">Incompliments de caràcter greu: </w:t>
      </w:r>
    </w:p>
    <w:p>
      <w:pPr>
        <w:pStyle w:val="Normal"/>
        <w:tabs>
          <w:tab w:val="clear" w:pos="720"/>
          <w:tab w:val="left" w:pos="426" w:leader="none"/>
        </w:tabs>
        <w:jc w:val="both"/>
        <w:rPr>
          <w:sz w:val="22"/>
        </w:rPr>
      </w:pPr>
      <w:r>
        <w:rPr>
          <w:sz w:val="22"/>
        </w:rPr>
      </w:r>
    </w:p>
    <w:p>
      <w:pPr>
        <w:pStyle w:val="ListParagraph"/>
        <w:widowControl/>
        <w:numPr>
          <w:ilvl w:val="0"/>
          <w:numId w:val="11"/>
        </w:numPr>
        <w:tabs>
          <w:tab w:val="clear" w:pos="720"/>
          <w:tab w:val="left" w:pos="950" w:leader="none"/>
        </w:tabs>
        <w:suppressAutoHyphens w:val="true"/>
        <w:bidi w:val="0"/>
        <w:spacing w:lineRule="auto" w:line="204" w:before="113" w:after="113"/>
        <w:ind w:left="964" w:right="0" w:hanging="283"/>
        <w:contextualSpacing/>
        <w:jc w:val="left"/>
        <w:rPr>
          <w:rFonts w:ascii="Arial" w:hAnsi="Arial" w:eastAsia="SimSun;宋体" w:cs="Calibri"/>
          <w:color w:val="00000A"/>
          <w:kern w:val="0"/>
          <w:sz w:val="22"/>
          <w:szCs w:val="22"/>
          <w:shd w:fill="auto" w:val="clear"/>
          <w:lang w:val="ca-ES" w:eastAsia="zh-CN" w:bidi="ar-SA"/>
        </w:rPr>
      </w:pPr>
      <w:r>
        <w:rPr>
          <w:rFonts w:eastAsia="SimSun;宋体" w:cs="Calibri" w:ascii="Arial" w:hAnsi="Arial"/>
          <w:color w:val="00000A"/>
          <w:kern w:val="0"/>
          <w:sz w:val="22"/>
          <w:szCs w:val="22"/>
          <w:shd w:fill="auto" w:val="clear"/>
          <w:lang w:val="ca-ES" w:eastAsia="zh-CN" w:bidi="ar-SA"/>
        </w:rPr>
        <w:t>No resoldre les incidències en el termini de resolució fixat per fer-ho (excepte en el cas d'emergències, en el que l'incompliment serà molt greu).</w:t>
      </w:r>
    </w:p>
    <w:p>
      <w:pPr>
        <w:pStyle w:val="ListParagraph"/>
        <w:widowControl/>
        <w:numPr>
          <w:ilvl w:val="0"/>
          <w:numId w:val="11"/>
        </w:numPr>
        <w:tabs>
          <w:tab w:val="clear" w:pos="720"/>
          <w:tab w:val="left" w:pos="950" w:leader="none"/>
        </w:tabs>
        <w:suppressAutoHyphens w:val="true"/>
        <w:bidi w:val="0"/>
        <w:spacing w:lineRule="auto" w:line="228" w:before="113" w:after="113"/>
        <w:ind w:left="964" w:right="0" w:hanging="283"/>
        <w:contextualSpacing/>
        <w:jc w:val="both"/>
        <w:rPr>
          <w:rFonts w:ascii="Arial" w:hAnsi="Arial" w:eastAsia="SimSun;宋体" w:cs="Calibri"/>
          <w:color w:val="00000A"/>
          <w:kern w:val="0"/>
          <w:sz w:val="22"/>
          <w:szCs w:val="22"/>
          <w:shd w:fill="auto" w:val="clear"/>
          <w:lang w:val="ca-ES" w:eastAsia="zh-CN" w:bidi="ar-SA"/>
        </w:rPr>
      </w:pPr>
      <w:r>
        <w:rPr>
          <w:rFonts w:eastAsia="SimSun;宋体" w:cs="Calibri" w:ascii="Arial" w:hAnsi="Arial"/>
          <w:color w:val="00000A"/>
          <w:kern w:val="0"/>
          <w:sz w:val="22"/>
          <w:szCs w:val="22"/>
          <w:shd w:fill="auto" w:val="clear"/>
          <w:lang w:val="ca-ES" w:eastAsia="zh-CN" w:bidi="ar-SA"/>
        </w:rPr>
        <w:t>No atendre el manteniment periòdic dels aparells de cuina i instal·lacions en un termini superior als 4 mesos des de la generació de la ordre de treball al</w:t>
      </w:r>
      <w:r>
        <w:rPr>
          <w:rFonts w:eastAsia="SimSun;宋体" w:cs="Calibri" w:ascii="Arial" w:hAnsi="Arial"/>
          <w:color w:val="00000A"/>
          <w:spacing w:val="28"/>
          <w:kern w:val="0"/>
          <w:sz w:val="22"/>
          <w:szCs w:val="22"/>
          <w:shd w:fill="auto" w:val="clear"/>
          <w:lang w:val="ca-ES" w:eastAsia="zh-CN" w:bidi="ar-SA"/>
        </w:rPr>
        <w:t xml:space="preserve"> </w:t>
      </w:r>
      <w:r>
        <w:rPr>
          <w:rFonts w:eastAsia="SimSun;宋体" w:cs="Calibri" w:ascii="Arial" w:hAnsi="Arial"/>
          <w:color w:val="00000A"/>
          <w:kern w:val="0"/>
          <w:sz w:val="22"/>
          <w:szCs w:val="22"/>
          <w:shd w:fill="auto" w:val="clear"/>
          <w:lang w:val="ca-ES" w:eastAsia="zh-CN" w:bidi="ar-SA"/>
        </w:rPr>
        <w:t>programa de manteniment (excepte en el cas d'aparells de gas, en què constituirà incompliment molt greu).</w:t>
      </w:r>
    </w:p>
    <w:p>
      <w:pPr>
        <w:pStyle w:val="ListParagraph"/>
        <w:widowControl/>
        <w:numPr>
          <w:ilvl w:val="0"/>
          <w:numId w:val="11"/>
        </w:numPr>
        <w:tabs>
          <w:tab w:val="clear" w:pos="720"/>
          <w:tab w:val="left" w:pos="950" w:leader="none"/>
        </w:tabs>
        <w:suppressAutoHyphens w:val="true"/>
        <w:bidi w:val="0"/>
        <w:spacing w:lineRule="auto" w:line="216" w:before="113" w:after="113"/>
        <w:ind w:left="964" w:right="0" w:hanging="283"/>
        <w:contextualSpacing/>
        <w:jc w:val="both"/>
        <w:rPr>
          <w:rFonts w:ascii="Arial" w:hAnsi="Arial" w:eastAsia="SimSun;宋体" w:cs="Calibri"/>
          <w:color w:val="00000A"/>
          <w:kern w:val="0"/>
          <w:sz w:val="22"/>
          <w:szCs w:val="22"/>
          <w:shd w:fill="auto" w:val="clear"/>
          <w:lang w:val="ca-ES" w:eastAsia="zh-CN" w:bidi="ar-SA"/>
        </w:rPr>
      </w:pPr>
      <w:r>
        <w:rPr>
          <w:rFonts w:eastAsia="SimSun;宋体" w:cs="Calibri" w:ascii="Arial" w:hAnsi="Arial"/>
          <w:color w:val="00000A"/>
          <w:kern w:val="0"/>
          <w:sz w:val="22"/>
          <w:szCs w:val="22"/>
          <w:shd w:fill="auto" w:val="clear"/>
          <w:lang w:val="ca-ES" w:eastAsia="zh-CN" w:bidi="ar-SA"/>
        </w:rPr>
        <w:t>No atendre les sol·licituds de neteja del decantador de greixos en el termini</w:t>
      </w:r>
      <w:r>
        <w:rPr>
          <w:rFonts w:eastAsia="SimSun;宋体" w:cs="Calibri" w:ascii="Arial" w:hAnsi="Arial"/>
          <w:color w:val="00000A"/>
          <w:spacing w:val="40"/>
          <w:kern w:val="0"/>
          <w:sz w:val="22"/>
          <w:szCs w:val="22"/>
          <w:shd w:fill="auto" w:val="clear"/>
          <w:lang w:val="ca-ES" w:eastAsia="zh-CN" w:bidi="ar-SA"/>
        </w:rPr>
        <w:t xml:space="preserve"> </w:t>
      </w:r>
      <w:r>
        <w:rPr>
          <w:rFonts w:eastAsia="SimSun;宋体" w:cs="Calibri" w:ascii="Arial" w:hAnsi="Arial"/>
          <w:color w:val="00000A"/>
          <w:kern w:val="0"/>
          <w:sz w:val="22"/>
          <w:szCs w:val="22"/>
          <w:shd w:fill="auto" w:val="clear"/>
          <w:lang w:val="ca-ES" w:eastAsia="zh-CN" w:bidi="ar-SA"/>
        </w:rPr>
        <w:t>de 2 dies hàbils.</w:t>
      </w:r>
    </w:p>
    <w:p>
      <w:pPr>
        <w:pStyle w:val="Normal"/>
        <w:tabs>
          <w:tab w:val="clear" w:pos="720"/>
          <w:tab w:val="left" w:pos="426" w:leader="none"/>
        </w:tabs>
        <w:jc w:val="both"/>
        <w:rPr>
          <w:sz w:val="22"/>
        </w:rPr>
      </w:pPr>
      <w:r>
        <w:rPr>
          <w:sz w:val="22"/>
        </w:rPr>
      </w:r>
    </w:p>
    <w:p>
      <w:pPr>
        <w:pStyle w:val="Normal"/>
        <w:numPr>
          <w:ilvl w:val="0"/>
          <w:numId w:val="0"/>
        </w:numPr>
        <w:tabs>
          <w:tab w:val="clear" w:pos="720"/>
          <w:tab w:val="left" w:pos="426" w:leader="none"/>
        </w:tabs>
        <w:ind w:left="0" w:hanging="0"/>
        <w:jc w:val="both"/>
        <w:rPr>
          <w:sz w:val="22"/>
        </w:rPr>
      </w:pPr>
      <w:r>
        <w:rPr>
          <w:sz w:val="22"/>
        </w:rPr>
        <w:t xml:space="preserve">Incompliments de caràcter lleu:  </w:t>
      </w:r>
    </w:p>
    <w:p>
      <w:pPr>
        <w:pStyle w:val="Normal"/>
        <w:tabs>
          <w:tab w:val="clear" w:pos="720"/>
          <w:tab w:val="left" w:pos="426" w:leader="none"/>
        </w:tabs>
        <w:jc w:val="both"/>
        <w:rPr>
          <w:sz w:val="22"/>
        </w:rPr>
      </w:pPr>
      <w:r>
        <w:rPr>
          <w:sz w:val="22"/>
        </w:rPr>
      </w:r>
    </w:p>
    <w:p>
      <w:pPr>
        <w:pStyle w:val="ListParagraph"/>
        <w:widowControl/>
        <w:numPr>
          <w:ilvl w:val="0"/>
          <w:numId w:val="11"/>
        </w:numPr>
        <w:tabs>
          <w:tab w:val="clear" w:pos="720"/>
          <w:tab w:val="left" w:pos="950" w:leader="none"/>
        </w:tabs>
        <w:suppressAutoHyphens w:val="true"/>
        <w:bidi w:val="0"/>
        <w:spacing w:lineRule="auto" w:line="228" w:before="114" w:after="0"/>
        <w:ind w:left="964" w:right="0" w:hanging="283"/>
        <w:contextualSpacing/>
        <w:jc w:val="both"/>
        <w:rPr>
          <w:rFonts w:ascii="Arial" w:hAnsi="Arial" w:eastAsia="SimSun;宋体" w:cs="Calibri"/>
          <w:color w:val="00000A"/>
          <w:kern w:val="0"/>
          <w:sz w:val="22"/>
          <w:szCs w:val="22"/>
          <w:shd w:fill="auto" w:val="clear"/>
          <w:lang w:val="ca-ES" w:eastAsia="zh-CN" w:bidi="ar-SA"/>
        </w:rPr>
      </w:pPr>
      <w:r>
        <w:rPr>
          <w:rFonts w:eastAsia="SimSun;宋体" w:cs="Calibri" w:ascii="Arial" w:hAnsi="Arial"/>
          <w:color w:val="00000A"/>
          <w:kern w:val="0"/>
          <w:sz w:val="22"/>
          <w:szCs w:val="22"/>
          <w:shd w:fill="auto" w:val="clear"/>
          <w:lang w:val="ca-ES" w:eastAsia="zh-CN" w:bidi="ar-SA"/>
        </w:rPr>
        <w:t>No atendre el manteniment periòdic dels aparells de cuina i instal·lacions en un  termini superior als 2 mesos i inferior a 4 mesos des de la generació de l’ordre de treball al programa de manteniment, Rosmiman, (excepte en el cas d'aparells de gas, en què constituirà incompliment molt greu).</w:t>
      </w:r>
    </w:p>
    <w:p>
      <w:pPr>
        <w:pStyle w:val="ListParagraph"/>
        <w:widowControl/>
        <w:numPr>
          <w:ilvl w:val="0"/>
          <w:numId w:val="11"/>
        </w:numPr>
        <w:tabs>
          <w:tab w:val="clear" w:pos="720"/>
          <w:tab w:val="left" w:pos="950" w:leader="none"/>
        </w:tabs>
        <w:suppressAutoHyphens w:val="true"/>
        <w:bidi w:val="0"/>
        <w:spacing w:lineRule="auto" w:line="216" w:before="115" w:after="0"/>
        <w:ind w:left="964" w:right="0" w:hanging="283"/>
        <w:contextualSpacing/>
        <w:jc w:val="both"/>
        <w:rPr>
          <w:rFonts w:ascii="Arial" w:hAnsi="Arial" w:eastAsia="SimSun;宋体" w:cs="Calibri"/>
          <w:color w:val="00000A"/>
          <w:kern w:val="0"/>
          <w:sz w:val="22"/>
          <w:szCs w:val="22"/>
          <w:shd w:fill="auto" w:val="clear"/>
          <w:lang w:val="ca-ES" w:eastAsia="zh-CN" w:bidi="ar-SA"/>
        </w:rPr>
      </w:pPr>
      <w:r>
        <w:rPr>
          <w:rFonts w:eastAsia="SimSun;宋体" w:cs="Calibri" w:ascii="Arial" w:hAnsi="Arial"/>
          <w:color w:val="00000A"/>
          <w:kern w:val="0"/>
          <w:sz w:val="22"/>
          <w:szCs w:val="22"/>
          <w:shd w:fill="auto" w:val="clear"/>
          <w:lang w:val="ca-ES" w:eastAsia="zh-CN" w:bidi="ar-SA"/>
        </w:rPr>
        <w:t>No mantenir les ordres de treball del programa de manteniment, Rosmiman, correctament actualitzades (en el cas de tancaments d'ordres de treball sense realitzar les feines associades a aquestes es considerarà infracció molt greu).</w:t>
      </w:r>
    </w:p>
    <w:p>
      <w:pPr>
        <w:pStyle w:val="Normal"/>
        <w:jc w:val="both"/>
        <w:rPr>
          <w:rFonts w:ascii="Arial" w:hAnsi="Arial" w:eastAsia="SimSun;宋体" w:cs="Calibri"/>
          <w:color w:val="00000A"/>
          <w:kern w:val="0"/>
          <w:sz w:val="22"/>
          <w:szCs w:val="22"/>
          <w:shd w:fill="auto" w:val="clear"/>
          <w:lang w:val="ca-ES" w:eastAsia="zh-CN" w:bidi="ar-SA"/>
        </w:rPr>
      </w:pPr>
      <w:r>
        <w:rPr>
          <w:rFonts w:eastAsia="SimSun;宋体" w:cs="Calibri"/>
          <w:color w:val="00000A"/>
          <w:kern w:val="0"/>
          <w:sz w:val="22"/>
          <w:szCs w:val="22"/>
          <w:shd w:fill="auto" w:val="clear"/>
          <w:lang w:val="ca-ES" w:eastAsia="zh-CN" w:bidi="ar-SA"/>
        </w:rPr>
      </w:r>
    </w:p>
    <w:p>
      <w:pPr>
        <w:pStyle w:val="Normal"/>
        <w:jc w:val="both"/>
        <w:rPr>
          <w:sz w:val="22"/>
        </w:rPr>
      </w:pPr>
      <w:r>
        <w:rPr>
          <w:sz w:val="22"/>
          <w:shd w:fill="auto" w:val="clear"/>
        </w:rPr>
        <w:t xml:space="preserve">Un incompliment de caràcter lleu suposarà una penalitat del 3 % del preu del contracte, exclòs l’IVA Un incompliment de caràcter greu suposarà una penalitat del 6 % del preu del contracte, exclòs l’IVA. Davant d’un incompliment de caràcter molt greu, l’Ajuntament pot optar, ateses les circumstàncies del cas, per la resolució del contracte o per la imposició d’una penalitat del 10 % del preu del contracte, exclòs </w:t>
      </w:r>
      <w:r>
        <w:rPr>
          <w:sz w:val="22"/>
          <w:shd w:fill="auto" w:val="clear"/>
          <w:lang w:val="af-ZA"/>
        </w:rPr>
        <w:t>l’IVA</w:t>
      </w:r>
      <w:r>
        <w:rPr>
          <w:sz w:val="22"/>
          <w:shd w:fill="auto" w:val="clear"/>
        </w:rPr>
        <w:t>.</w:t>
      </w:r>
    </w:p>
    <w:p>
      <w:pPr>
        <w:pStyle w:val="Normal"/>
        <w:jc w:val="both"/>
        <w:rPr>
          <w:sz w:val="22"/>
          <w:shd w:fill="auto" w:val="clear"/>
        </w:rPr>
      </w:pPr>
      <w:r>
        <w:rPr>
          <w:sz w:val="22"/>
          <w:shd w:fill="auto" w:val="clear"/>
        </w:rPr>
      </w:r>
    </w:p>
    <w:p>
      <w:pPr>
        <w:pStyle w:val="Normal"/>
        <w:jc w:val="both"/>
        <w:rPr>
          <w:sz w:val="22"/>
        </w:rPr>
      </w:pPr>
      <w:r>
        <w:rPr>
          <w:sz w:val="22"/>
        </w:rPr>
        <w:t>El total d’aquestes penalitats no podrà superar el 50 per cent del preu del contracte.</w:t>
      </w:r>
    </w:p>
    <w:p>
      <w:pPr>
        <w:pStyle w:val="Normal"/>
        <w:jc w:val="both"/>
        <w:rPr>
          <w:sz w:val="22"/>
        </w:rPr>
      </w:pPr>
      <w:r>
        <w:rPr>
          <w:sz w:val="22"/>
        </w:rPr>
      </w:r>
    </w:p>
    <w:p>
      <w:pPr>
        <w:pStyle w:val="Normal"/>
        <w:jc w:val="both"/>
        <w:rPr/>
      </w:pPr>
      <w:r>
        <w:rPr>
          <w:sz w:val="22"/>
          <w:szCs w:val="22"/>
        </w:rPr>
        <w:t xml:space="preserve">Les penalitats s’han d’imposar per acord de l’òrgan de contractació, adoptat a proposta del responsable del contracte, que és immediatament executiu, i s’han de fer efectives mitjançant deducció de les quantitats que, en concepte de pagament total o parcial, s’hagin d’abonar a l’empresa contractista o sobre la garantia que, si s’escau, s’hagi constituït, quan no es puguin deduir dels pagaments esmentats. </w:t>
      </w:r>
      <w:r>
        <w:rPr>
          <w:color w:val="000000"/>
          <w:sz w:val="22"/>
          <w:szCs w:val="22"/>
        </w:rPr>
        <w:t xml:space="preserve">S’ha de donar audiència al contractista. </w:t>
      </w:r>
    </w:p>
    <w:p>
      <w:pPr>
        <w:pStyle w:val="Normal"/>
        <w:jc w:val="both"/>
        <w:rPr>
          <w:color w:val="000000"/>
          <w:sz w:val="22"/>
          <w:szCs w:val="22"/>
        </w:rPr>
      </w:pPr>
      <w:r>
        <w:rPr>
          <w:color w:val="000000"/>
          <w:sz w:val="22"/>
          <w:szCs w:val="22"/>
        </w:rPr>
      </w:r>
    </w:p>
    <w:p>
      <w:pPr>
        <w:pStyle w:val="Normal"/>
        <w:jc w:val="both"/>
        <w:rPr/>
      </w:pPr>
      <w:r>
        <w:rPr>
          <w:sz w:val="22"/>
          <w:szCs w:val="22"/>
        </w:rPr>
        <w:t>En el cas que la gravetat dels fets ho requereixi, l’òrgan de contractació els posarà en coneixement de l’Oficina Antifrau de Catalunya o dels òrgans de control i fiscalització que siguin competents per raó de la matèria</w:t>
      </w:r>
      <w:r>
        <w:rPr>
          <w:rFonts w:cs="ArialMT;MS Mincho" w:ascii="ArialMT;MS Mincho" w:hAnsi="ArialMT;MS Mincho"/>
          <w:color w:val="4B4B4B"/>
          <w:sz w:val="22"/>
          <w:szCs w:val="22"/>
          <w:lang w:val="es-ES" w:eastAsia="es-ES"/>
        </w:rPr>
        <w:t>.</w:t>
      </w:r>
    </w:p>
    <w:p>
      <w:pPr>
        <w:pStyle w:val="Normal"/>
        <w:jc w:val="both"/>
        <w:rPr>
          <w:rFonts w:eastAsia="Times New Roman"/>
          <w:color w:val="000000"/>
          <w:sz w:val="22"/>
          <w:szCs w:val="22"/>
        </w:rPr>
      </w:pPr>
      <w:r>
        <w:rPr>
          <w:rFonts w:eastAsia="Times New Roman"/>
          <w:color w:val="000000"/>
          <w:sz w:val="22"/>
          <w:szCs w:val="22"/>
        </w:rPr>
        <w:t xml:space="preserve"> </w:t>
      </w:r>
    </w:p>
    <w:p>
      <w:pPr>
        <w:pStyle w:val="Normal"/>
        <w:jc w:val="both"/>
        <w:rPr>
          <w:color w:val="000000"/>
          <w:sz w:val="22"/>
          <w:szCs w:val="22"/>
        </w:rPr>
      </w:pPr>
      <w:r>
        <w:rPr>
          <w:color w:val="000000"/>
          <w:sz w:val="22"/>
          <w:szCs w:val="22"/>
        </w:rPr>
      </w:r>
    </w:p>
    <w:p>
      <w:pPr>
        <w:pStyle w:val="Normal"/>
        <w:suppressAutoHyphens w:val="false"/>
        <w:rPr>
          <w:b/>
          <w:b/>
          <w:sz w:val="22"/>
          <w:szCs w:val="22"/>
        </w:rPr>
      </w:pPr>
      <w:r>
        <w:rPr>
          <w:b/>
          <w:color w:val="000000"/>
          <w:sz w:val="22"/>
          <w:szCs w:val="22"/>
        </w:rPr>
        <w:t xml:space="preserve">QUARANTA-TRESENA.- </w:t>
      </w:r>
      <w:r>
        <w:rPr>
          <w:b/>
          <w:sz w:val="22"/>
          <w:szCs w:val="22"/>
        </w:rPr>
        <w:t>Responsabilitat de l’empresa contractista</w:t>
      </w:r>
    </w:p>
    <w:p>
      <w:pPr>
        <w:pStyle w:val="Normal"/>
        <w:suppressAutoHyphens w:val="false"/>
        <w:rPr>
          <w:rFonts w:ascii="Arial-BoldMT;Arial" w:hAnsi="Arial-BoldMT;Arial" w:cs="Arial-BoldMT;Arial"/>
          <w:b/>
          <w:b/>
          <w:bCs/>
          <w:color w:val="000000"/>
          <w:sz w:val="22"/>
          <w:szCs w:val="22"/>
          <w:lang w:eastAsia="es-ES"/>
        </w:rPr>
      </w:pPr>
      <w:r>
        <w:rPr>
          <w:rFonts w:cs="Arial-BoldMT;Arial" w:ascii="Arial-BoldMT;Arial" w:hAnsi="Arial-BoldMT;Arial"/>
          <w:b/>
          <w:bCs/>
          <w:color w:val="000000"/>
          <w:sz w:val="22"/>
          <w:szCs w:val="22"/>
          <w:lang w:eastAsia="es-ES"/>
        </w:rPr>
      </w:r>
    </w:p>
    <w:p>
      <w:pPr>
        <w:pStyle w:val="Normal"/>
        <w:jc w:val="both"/>
        <w:rPr>
          <w:sz w:val="22"/>
          <w:szCs w:val="22"/>
        </w:rPr>
      </w:pPr>
      <w:r>
        <w:rPr>
          <w:sz w:val="22"/>
          <w:szCs w:val="22"/>
        </w:rPr>
        <w:t>L’empresa contractista és responsable de la qualitat tècnica dels treballs que dugui a terme i de les prestacions i serveis realitzats, així com també de les conseqüències que es dedueixin per a l’Administració o per a terceres persones de les omissions, errors, mètodes inadequats o conclusions incorrectes en l’execució del contracte.</w:t>
      </w:r>
    </w:p>
    <w:p>
      <w:pPr>
        <w:pStyle w:val="Normal"/>
        <w:jc w:val="both"/>
        <w:rPr>
          <w:sz w:val="22"/>
          <w:szCs w:val="22"/>
        </w:rPr>
      </w:pPr>
      <w:r>
        <w:rPr>
          <w:sz w:val="22"/>
          <w:szCs w:val="22"/>
        </w:rPr>
      </w:r>
    </w:p>
    <w:p>
      <w:pPr>
        <w:pStyle w:val="Normal"/>
        <w:jc w:val="both"/>
        <w:rPr>
          <w:sz w:val="22"/>
          <w:szCs w:val="22"/>
        </w:rPr>
      </w:pPr>
      <w:r>
        <w:rPr>
          <w:sz w:val="22"/>
          <w:szCs w:val="22"/>
        </w:rPr>
        <w:t>L’empresa contractista executa el contracte al seu risc i ventura i està obligada a indemnitzar els danys i perjudicis que es causin a terceres persones com a conseqüència de les operacions que requereixi l’execució del contracte, excepte en el cas que els danys siguin ocasionats com a conseqüència immediata i directa d’una ordre de l’Administració.</w:t>
      </w:r>
    </w:p>
    <w:p>
      <w:pPr>
        <w:pStyle w:val="Normal"/>
        <w:jc w:val="both"/>
        <w:rPr>
          <w:sz w:val="22"/>
          <w:szCs w:val="22"/>
        </w:rPr>
      </w:pPr>
      <w:r>
        <w:rPr>
          <w:sz w:val="22"/>
          <w:szCs w:val="22"/>
        </w:rPr>
      </w:r>
    </w:p>
    <w:p>
      <w:pPr>
        <w:pStyle w:val="Normal"/>
        <w:jc w:val="both"/>
        <w:rPr>
          <w:sz w:val="22"/>
          <w:szCs w:val="22"/>
        </w:rPr>
      </w:pPr>
      <w:r>
        <w:rPr>
          <w:sz w:val="22"/>
          <w:szCs w:val="22"/>
        </w:rPr>
      </w:r>
    </w:p>
    <w:p>
      <w:pPr>
        <w:pStyle w:val="Encapalament7"/>
        <w:rPr>
          <w:szCs w:val="22"/>
        </w:rPr>
      </w:pPr>
      <w:r>
        <w:rPr>
          <w:szCs w:val="22"/>
        </w:rPr>
        <w:t>QUARANTA-QUATRENA.- Recepció del contracte</w:t>
      </w:r>
    </w:p>
    <w:p>
      <w:pPr>
        <w:pStyle w:val="Normal"/>
        <w:jc w:val="both"/>
        <w:rPr>
          <w:b/>
          <w:b/>
          <w:sz w:val="22"/>
          <w:szCs w:val="22"/>
        </w:rPr>
      </w:pPr>
      <w:r>
        <w:rPr>
          <w:b/>
          <w:sz w:val="22"/>
          <w:szCs w:val="22"/>
        </w:rPr>
      </w:r>
    </w:p>
    <w:p>
      <w:pPr>
        <w:pStyle w:val="Normal"/>
        <w:jc w:val="both"/>
        <w:rPr>
          <w:sz w:val="22"/>
          <w:szCs w:val="22"/>
        </w:rPr>
      </w:pPr>
      <w:r>
        <w:rPr>
          <w:sz w:val="22"/>
          <w:szCs w:val="22"/>
        </w:rPr>
        <w:t>El contracte s’entendrà complert quan aquest s’hagi realitzat a satisfacció de l’òrgan de contractació en la totalitat del seu objecte.</w:t>
      </w:r>
    </w:p>
    <w:p>
      <w:pPr>
        <w:pStyle w:val="Normal"/>
        <w:jc w:val="both"/>
        <w:rPr>
          <w:sz w:val="22"/>
          <w:szCs w:val="22"/>
        </w:rPr>
      </w:pPr>
      <w:r>
        <w:rPr>
          <w:sz w:val="22"/>
          <w:szCs w:val="22"/>
        </w:rPr>
      </w:r>
    </w:p>
    <w:p>
      <w:pPr>
        <w:pStyle w:val="Normal"/>
        <w:jc w:val="both"/>
        <w:rPr>
          <w:sz w:val="22"/>
          <w:szCs w:val="22"/>
        </w:rPr>
      </w:pPr>
      <w:r>
        <w:rPr>
          <w:sz w:val="22"/>
          <w:szCs w:val="22"/>
        </w:rPr>
        <w:t>L’Administració determinarà si la prestació realitzada per l’empresa contractista s’ajusta a les prescripcions establertes per a la seva execució i compliment i, si s’escau, requerirà la realització de les prestacions contractades i l’esmena dels defectes observats amb ocasió de la seva recepció.</w:t>
      </w:r>
    </w:p>
    <w:p>
      <w:pPr>
        <w:pStyle w:val="Normal"/>
        <w:jc w:val="both"/>
        <w:rPr>
          <w:sz w:val="22"/>
          <w:szCs w:val="22"/>
        </w:rPr>
      </w:pPr>
      <w:r>
        <w:rPr>
          <w:sz w:val="22"/>
          <w:szCs w:val="22"/>
        </w:rPr>
      </w:r>
    </w:p>
    <w:p>
      <w:pPr>
        <w:pStyle w:val="Normal"/>
        <w:jc w:val="both"/>
        <w:rPr>
          <w:sz w:val="22"/>
          <w:szCs w:val="22"/>
        </w:rPr>
      </w:pPr>
      <w:r>
        <w:rPr>
          <w:sz w:val="22"/>
          <w:szCs w:val="22"/>
        </w:rPr>
      </w:r>
    </w:p>
    <w:p>
      <w:pPr>
        <w:pStyle w:val="Encapalament7"/>
        <w:rPr/>
      </w:pPr>
      <w:r>
        <w:rPr>
          <w:color w:val="000000"/>
          <w:szCs w:val="22"/>
        </w:rPr>
        <w:t>QUARANTA-CINQUENA.- Successió i Cessió del contracte</w:t>
      </w:r>
    </w:p>
    <w:p>
      <w:pPr>
        <w:pStyle w:val="Normal"/>
        <w:rPr>
          <w:color w:val="000000"/>
          <w:szCs w:val="22"/>
        </w:rPr>
      </w:pPr>
      <w:r>
        <w:rPr>
          <w:color w:val="000000"/>
          <w:szCs w:val="22"/>
        </w:rPr>
      </w:r>
    </w:p>
    <w:p>
      <w:pPr>
        <w:pStyle w:val="Normal"/>
        <w:jc w:val="both"/>
        <w:rPr/>
      </w:pPr>
      <w:r>
        <w:rPr>
          <w:b/>
          <w:color w:val="000000"/>
          <w:sz w:val="22"/>
          <w:szCs w:val="22"/>
          <w:u w:val="single"/>
        </w:rPr>
        <w:t>A) Successió en la persona del contractista</w:t>
      </w:r>
      <w:r>
        <w:rPr>
          <w:color w:val="000000"/>
          <w:sz w:val="22"/>
          <w:szCs w:val="22"/>
        </w:rPr>
        <w:t>:</w:t>
      </w:r>
    </w:p>
    <w:p>
      <w:pPr>
        <w:pStyle w:val="Normal"/>
        <w:jc w:val="both"/>
        <w:rPr>
          <w:color w:val="000000"/>
          <w:sz w:val="22"/>
          <w:szCs w:val="22"/>
        </w:rPr>
      </w:pPr>
      <w:r>
        <w:rPr>
          <w:color w:val="000000"/>
          <w:sz w:val="22"/>
          <w:szCs w:val="22"/>
        </w:rPr>
      </w:r>
    </w:p>
    <w:p>
      <w:pPr>
        <w:pStyle w:val="Normal"/>
        <w:jc w:val="both"/>
        <w:rPr>
          <w:color w:val="000000"/>
          <w:sz w:val="22"/>
          <w:szCs w:val="22"/>
        </w:rPr>
      </w:pPr>
      <w:r>
        <w:rPr>
          <w:color w:val="000000"/>
          <w:sz w:val="22"/>
          <w:szCs w:val="22"/>
        </w:rPr>
        <w:t>En el supòsit de fusió d’empreses en què participi la societat contractista, el contracte continuarà vigent amb l’entitat absorbent o amb la resultant de la fusió, que quedarà subrogada en tots els drets i obligacions que en dimanen.</w:t>
      </w:r>
    </w:p>
    <w:p>
      <w:pPr>
        <w:pStyle w:val="Normal"/>
        <w:jc w:val="both"/>
        <w:rPr>
          <w:color w:val="000000"/>
          <w:sz w:val="22"/>
          <w:szCs w:val="22"/>
        </w:rPr>
      </w:pPr>
      <w:r>
        <w:rPr>
          <w:color w:val="000000"/>
          <w:sz w:val="22"/>
          <w:szCs w:val="22"/>
        </w:rPr>
      </w:r>
    </w:p>
    <w:p>
      <w:pPr>
        <w:pStyle w:val="Normal"/>
        <w:jc w:val="both"/>
        <w:rPr>
          <w:color w:val="000000"/>
          <w:sz w:val="22"/>
          <w:szCs w:val="22"/>
        </w:rPr>
      </w:pPr>
      <w:r>
        <w:rPr>
          <w:color w:val="000000"/>
          <w:sz w:val="22"/>
          <w:szCs w:val="22"/>
        </w:rPr>
        <w:t>En supòsits d’escissió, aportació o transmissió d’empreses o branques d’activitat, el contracte continuarà amb l’entitat a la qual s’atribueixi el contracte, que quedarà subrogada en els drets i les obligacions que en dimanen, sempre que reuneixi les condicions de capacitat, absència de prohibició de contractar i la solvència exigida en acordar-se l’adjudicació del contracte o que les societats beneficiàries d’aquestes operacions i, en cas de subsistir, la societat de la qual provinguin el patrimoni, empreses o branques segregades, es responsabilitzin solidàriament de l’execució del contracte.</w:t>
      </w:r>
    </w:p>
    <w:p>
      <w:pPr>
        <w:pStyle w:val="Normal"/>
        <w:jc w:val="both"/>
        <w:rPr>
          <w:color w:val="000000"/>
          <w:sz w:val="22"/>
          <w:szCs w:val="22"/>
        </w:rPr>
      </w:pPr>
      <w:r>
        <w:rPr>
          <w:color w:val="000000"/>
          <w:sz w:val="22"/>
          <w:szCs w:val="22"/>
        </w:rPr>
      </w:r>
    </w:p>
    <w:p>
      <w:pPr>
        <w:pStyle w:val="Normal"/>
        <w:jc w:val="both"/>
        <w:rPr>
          <w:color w:val="000000"/>
          <w:sz w:val="22"/>
          <w:szCs w:val="22"/>
        </w:rPr>
      </w:pPr>
      <w:r>
        <w:rPr>
          <w:color w:val="000000"/>
          <w:sz w:val="22"/>
          <w:szCs w:val="22"/>
        </w:rPr>
        <w:t>L’empresa contractista ha de comunicar a l’òrgan de contractació la circumstància que</w:t>
      </w:r>
    </w:p>
    <w:p>
      <w:pPr>
        <w:pStyle w:val="Normal"/>
        <w:jc w:val="both"/>
        <w:rPr>
          <w:color w:val="000000"/>
          <w:sz w:val="22"/>
          <w:szCs w:val="22"/>
        </w:rPr>
      </w:pPr>
      <w:r>
        <w:rPr>
          <w:color w:val="000000"/>
          <w:sz w:val="22"/>
          <w:szCs w:val="22"/>
        </w:rPr>
        <w:t>s’hagi produït.</w:t>
      </w:r>
    </w:p>
    <w:p>
      <w:pPr>
        <w:pStyle w:val="Normal"/>
        <w:jc w:val="both"/>
        <w:rPr>
          <w:color w:val="000000"/>
          <w:sz w:val="22"/>
          <w:szCs w:val="22"/>
        </w:rPr>
      </w:pPr>
      <w:r>
        <w:rPr>
          <w:color w:val="000000"/>
          <w:sz w:val="22"/>
          <w:szCs w:val="22"/>
        </w:rPr>
      </w:r>
    </w:p>
    <w:p>
      <w:pPr>
        <w:pStyle w:val="Normal"/>
        <w:jc w:val="both"/>
        <w:rPr>
          <w:color w:val="000000"/>
          <w:sz w:val="22"/>
          <w:szCs w:val="22"/>
        </w:rPr>
      </w:pPr>
      <w:r>
        <w:rPr>
          <w:color w:val="000000"/>
          <w:sz w:val="22"/>
          <w:szCs w:val="22"/>
        </w:rPr>
        <w:t>En cas que l’empresa contractista sigui una UTE, quan tinguin lloc respecte d’alguna o algunes empreses integrants de la unió temporal operacions de fusió, escissió o transmissió de branca d’activitat, continuarà l’execució del contracte amb la unió temporal adjudicatària. En cas que la societat absorbent, la resultant de la fusió, la beneficiària de l’escissió o l’adquirent de la branca d’activitat, no siguin empreses integrants de la unió temporal, serà necessari que tinguin plena capacitat d’obrar, no estiguin incurses en prohibició de contractar i que es mantingui la solvència, la capacitat o classificació exigida.</w:t>
      </w:r>
    </w:p>
    <w:p>
      <w:pPr>
        <w:pStyle w:val="Normal"/>
        <w:jc w:val="both"/>
        <w:rPr>
          <w:color w:val="000000"/>
          <w:sz w:val="22"/>
          <w:szCs w:val="22"/>
        </w:rPr>
      </w:pPr>
      <w:r>
        <w:rPr>
          <w:color w:val="000000"/>
          <w:sz w:val="22"/>
          <w:szCs w:val="22"/>
        </w:rPr>
      </w:r>
    </w:p>
    <w:p>
      <w:pPr>
        <w:pStyle w:val="Normal"/>
        <w:jc w:val="both"/>
        <w:rPr>
          <w:color w:val="000000"/>
          <w:sz w:val="22"/>
          <w:szCs w:val="22"/>
        </w:rPr>
      </w:pPr>
      <w:r>
        <w:rPr>
          <w:color w:val="000000"/>
          <w:sz w:val="22"/>
          <w:szCs w:val="22"/>
        </w:rPr>
        <w:t>Si el contracte s’atribueix a una entitat diferent, la garantia definitiva es pot renovar o reemplaçar, a criteri de l’entitat atorgant, per una nova garantia que subscrigui la nova entitat, atenent al risc que suposi aquesta última entitat. En tot cas, l’antiga garantia definitiva conserva la seva vigència fins que estigui constituïda la nova garantia.</w:t>
      </w:r>
    </w:p>
    <w:p>
      <w:pPr>
        <w:pStyle w:val="Normal"/>
        <w:jc w:val="both"/>
        <w:rPr>
          <w:color w:val="000000"/>
          <w:sz w:val="22"/>
          <w:szCs w:val="22"/>
        </w:rPr>
      </w:pPr>
      <w:r>
        <w:rPr>
          <w:color w:val="000000"/>
          <w:sz w:val="22"/>
          <w:szCs w:val="22"/>
        </w:rPr>
      </w:r>
    </w:p>
    <w:p>
      <w:pPr>
        <w:pStyle w:val="Normal"/>
        <w:jc w:val="both"/>
        <w:rPr>
          <w:color w:val="000000"/>
          <w:sz w:val="22"/>
          <w:szCs w:val="22"/>
        </w:rPr>
      </w:pPr>
      <w:r>
        <w:rPr>
          <w:color w:val="000000"/>
          <w:sz w:val="22"/>
          <w:szCs w:val="22"/>
        </w:rPr>
        <w:t>Si la subrogació no es pot produir perquè l’entitat a la qual s’hauria d’atribuir el contracte no reuneix les condicions de solvència necessàries, el contracte es resoldrà, considerant-se a tots els efectes com un supòsit de resolució per culpa de l’empresa contractista.</w:t>
      </w:r>
    </w:p>
    <w:p>
      <w:pPr>
        <w:pStyle w:val="Normal"/>
        <w:jc w:val="both"/>
        <w:rPr>
          <w:color w:val="000000"/>
          <w:sz w:val="22"/>
          <w:szCs w:val="22"/>
        </w:rPr>
      </w:pPr>
      <w:r>
        <w:rPr>
          <w:color w:val="000000"/>
          <w:sz w:val="22"/>
          <w:szCs w:val="22"/>
        </w:rPr>
      </w:r>
    </w:p>
    <w:p>
      <w:pPr>
        <w:pStyle w:val="Normal"/>
        <w:jc w:val="both"/>
        <w:rPr>
          <w:color w:val="000000"/>
          <w:sz w:val="22"/>
          <w:szCs w:val="22"/>
        </w:rPr>
      </w:pPr>
      <w:r>
        <w:rPr>
          <w:color w:val="000000"/>
          <w:sz w:val="22"/>
          <w:szCs w:val="22"/>
        </w:rPr>
      </w:r>
    </w:p>
    <w:p>
      <w:pPr>
        <w:pStyle w:val="Normal"/>
        <w:jc w:val="both"/>
        <w:rPr>
          <w:b/>
          <w:b/>
          <w:color w:val="000000"/>
          <w:sz w:val="22"/>
          <w:szCs w:val="22"/>
          <w:u w:val="single"/>
        </w:rPr>
      </w:pPr>
      <w:r>
        <w:rPr>
          <w:b/>
          <w:color w:val="000000"/>
          <w:sz w:val="22"/>
          <w:szCs w:val="22"/>
          <w:u w:val="single"/>
        </w:rPr>
        <w:t>B) Cessió del contracte:</w:t>
      </w:r>
    </w:p>
    <w:p>
      <w:pPr>
        <w:pStyle w:val="Normal"/>
        <w:jc w:val="both"/>
        <w:rPr>
          <w:b/>
          <w:b/>
          <w:color w:val="000000"/>
          <w:sz w:val="22"/>
          <w:szCs w:val="22"/>
          <w:u w:val="single"/>
        </w:rPr>
      </w:pPr>
      <w:r>
        <w:rPr>
          <w:b/>
          <w:color w:val="000000"/>
          <w:sz w:val="22"/>
          <w:szCs w:val="22"/>
          <w:u w:val="single"/>
        </w:rPr>
      </w:r>
    </w:p>
    <w:p>
      <w:pPr>
        <w:pStyle w:val="Normal"/>
        <w:jc w:val="both"/>
        <w:rPr>
          <w:color w:val="000000"/>
          <w:sz w:val="22"/>
          <w:szCs w:val="22"/>
        </w:rPr>
      </w:pPr>
      <w:r>
        <w:rPr>
          <w:color w:val="000000"/>
          <w:sz w:val="22"/>
          <w:szCs w:val="22"/>
        </w:rPr>
        <w:t xml:space="preserve">Suposa la modificació subjectiva del contracte. </w:t>
      </w:r>
    </w:p>
    <w:p>
      <w:pPr>
        <w:pStyle w:val="Normal"/>
        <w:jc w:val="both"/>
        <w:rPr>
          <w:color w:val="000000"/>
          <w:sz w:val="22"/>
          <w:szCs w:val="22"/>
        </w:rPr>
      </w:pPr>
      <w:r>
        <w:rPr>
          <w:color w:val="000000"/>
          <w:sz w:val="22"/>
          <w:szCs w:val="22"/>
        </w:rPr>
      </w:r>
    </w:p>
    <w:p>
      <w:pPr>
        <w:pStyle w:val="Normal"/>
        <w:jc w:val="both"/>
        <w:rPr>
          <w:color w:val="000000"/>
          <w:sz w:val="22"/>
          <w:szCs w:val="22"/>
        </w:rPr>
      </w:pPr>
      <w:r>
        <w:rPr>
          <w:color w:val="000000"/>
          <w:sz w:val="22"/>
          <w:szCs w:val="22"/>
        </w:rPr>
        <w:t>Es possible la cessió dels drets i les obligacions que dimanen d’aquest contracte per part del contractista a un tercer ja que les qualitats tècniques o personals del cedent no han estat raó determinant de l’adjudicació del contracte, i de la cessió no en resulta una restricció efectiva de la competència en el mercat, quan es compleixen els següents requisits:</w:t>
      </w:r>
    </w:p>
    <w:p>
      <w:pPr>
        <w:pStyle w:val="Normal"/>
        <w:jc w:val="both"/>
        <w:rPr>
          <w:color w:val="000000"/>
          <w:sz w:val="22"/>
          <w:szCs w:val="22"/>
        </w:rPr>
      </w:pPr>
      <w:r>
        <w:rPr>
          <w:color w:val="000000"/>
          <w:sz w:val="22"/>
          <w:szCs w:val="22"/>
        </w:rPr>
      </w:r>
    </w:p>
    <w:p>
      <w:pPr>
        <w:pStyle w:val="Normal"/>
        <w:tabs>
          <w:tab w:val="clear" w:pos="720"/>
          <w:tab w:val="left" w:pos="7400" w:leader="none"/>
        </w:tabs>
        <w:jc w:val="both"/>
        <w:rPr>
          <w:color w:val="000000"/>
          <w:sz w:val="22"/>
          <w:szCs w:val="22"/>
        </w:rPr>
      </w:pPr>
      <w:r>
        <w:rPr>
          <w:color w:val="000000"/>
          <w:sz w:val="22"/>
          <w:szCs w:val="22"/>
        </w:rPr>
        <w:t>a)L’òrgan de contractació autoritzi, de forma prèvia i expressa, la cessió.</w:t>
        <w:tab/>
      </w:r>
    </w:p>
    <w:p>
      <w:pPr>
        <w:pStyle w:val="Normal"/>
        <w:jc w:val="both"/>
        <w:rPr>
          <w:color w:val="000000"/>
          <w:sz w:val="22"/>
          <w:szCs w:val="22"/>
        </w:rPr>
      </w:pPr>
      <w:r>
        <w:rPr>
          <w:color w:val="000000"/>
          <w:sz w:val="22"/>
          <w:szCs w:val="22"/>
        </w:rPr>
        <w:t xml:space="preserve">b)Que el cedent tingui executat almenys un 20% de l’import del contracte, tret que el contractista es trobi en concurs. </w:t>
      </w:r>
    </w:p>
    <w:p>
      <w:pPr>
        <w:pStyle w:val="Normal"/>
        <w:jc w:val="both"/>
        <w:rPr>
          <w:color w:val="000000"/>
          <w:sz w:val="22"/>
          <w:szCs w:val="22"/>
        </w:rPr>
      </w:pPr>
      <w:r>
        <w:rPr>
          <w:color w:val="000000"/>
          <w:sz w:val="22"/>
          <w:szCs w:val="22"/>
        </w:rPr>
        <w:t xml:space="preserve">c)Que el cessionari tingui capacitat per contractar amb l’Administració i la solvència que sigui exigible en funció de la fase d’execució del contracte, i estigui degudament classificat si aquest requisit ha estat exigit al cedent, i no estigui incurs en una causa de prohibició de contractar. </w:t>
      </w:r>
    </w:p>
    <w:p>
      <w:pPr>
        <w:pStyle w:val="Normal"/>
        <w:jc w:val="both"/>
        <w:rPr>
          <w:color w:val="000000"/>
          <w:sz w:val="22"/>
          <w:szCs w:val="22"/>
        </w:rPr>
      </w:pPr>
      <w:r>
        <w:rPr>
          <w:color w:val="000000"/>
          <w:sz w:val="22"/>
          <w:szCs w:val="22"/>
        </w:rPr>
        <w:t xml:space="preserve">d)Que la cessió es formalitzi, entre l’adjudicatari i el cessionari, en escriptura pública. </w:t>
      </w:r>
    </w:p>
    <w:p>
      <w:pPr>
        <w:pStyle w:val="Normal"/>
        <w:jc w:val="both"/>
        <w:rPr>
          <w:color w:val="000000"/>
          <w:sz w:val="22"/>
          <w:szCs w:val="22"/>
        </w:rPr>
      </w:pPr>
      <w:r>
        <w:rPr>
          <w:color w:val="000000"/>
          <w:sz w:val="22"/>
          <w:szCs w:val="22"/>
        </w:rPr>
      </w:r>
    </w:p>
    <w:p>
      <w:pPr>
        <w:pStyle w:val="Normal"/>
        <w:jc w:val="both"/>
        <w:rPr>
          <w:color w:val="000000"/>
          <w:sz w:val="22"/>
          <w:szCs w:val="22"/>
        </w:rPr>
      </w:pPr>
      <w:r>
        <w:rPr>
          <w:color w:val="000000"/>
          <w:sz w:val="22"/>
          <w:szCs w:val="22"/>
        </w:rPr>
        <w:t>L’empresa cessionària quedarà subrogada en tots els drets i les obligacions que correspondrien a l’empresa que cedeix el contracte.</w:t>
      </w:r>
    </w:p>
    <w:p>
      <w:pPr>
        <w:pStyle w:val="Normal"/>
        <w:jc w:val="both"/>
        <w:rPr>
          <w:color w:val="000000"/>
          <w:sz w:val="22"/>
          <w:szCs w:val="22"/>
        </w:rPr>
      </w:pPr>
      <w:r>
        <w:rPr>
          <w:color w:val="000000"/>
          <w:sz w:val="22"/>
          <w:szCs w:val="22"/>
        </w:rPr>
      </w:r>
    </w:p>
    <w:p>
      <w:pPr>
        <w:pStyle w:val="Normal"/>
        <w:jc w:val="both"/>
        <w:rPr>
          <w:sz w:val="22"/>
          <w:szCs w:val="22"/>
          <w:highlight w:val="green"/>
        </w:rPr>
      </w:pPr>
      <w:r>
        <w:rPr>
          <w:sz w:val="22"/>
          <w:szCs w:val="22"/>
          <w:highlight w:val="green"/>
        </w:rPr>
      </w:r>
    </w:p>
    <w:p>
      <w:pPr>
        <w:pStyle w:val="Encapalament7"/>
        <w:rPr>
          <w:szCs w:val="22"/>
        </w:rPr>
      </w:pPr>
      <w:r>
        <w:rPr>
          <w:szCs w:val="22"/>
        </w:rPr>
        <w:t>QUARANTA-SISENA.- Suspensió del contracte</w:t>
      </w:r>
    </w:p>
    <w:p>
      <w:pPr>
        <w:pStyle w:val="Normal"/>
        <w:suppressAutoHyphens w:val="false"/>
        <w:rPr>
          <w:rFonts w:ascii="Arial-BoldMT;Arial" w:hAnsi="Arial-BoldMT;Arial" w:cs="Arial-BoldMT;Arial"/>
          <w:b/>
          <w:b/>
          <w:bCs/>
          <w:color w:val="000000"/>
          <w:sz w:val="22"/>
          <w:szCs w:val="22"/>
          <w:lang w:val="es-ES" w:eastAsia="es-ES"/>
        </w:rPr>
      </w:pPr>
      <w:r>
        <w:rPr>
          <w:rFonts w:cs="Arial-BoldMT;Arial" w:ascii="Arial-BoldMT;Arial" w:hAnsi="Arial-BoldMT;Arial"/>
          <w:b/>
          <w:bCs/>
          <w:color w:val="000000"/>
          <w:sz w:val="22"/>
          <w:szCs w:val="22"/>
          <w:lang w:val="es-ES" w:eastAsia="es-ES"/>
        </w:rPr>
      </w:r>
    </w:p>
    <w:p>
      <w:pPr>
        <w:pStyle w:val="Normal"/>
        <w:jc w:val="both"/>
        <w:rPr>
          <w:sz w:val="22"/>
          <w:szCs w:val="22"/>
        </w:rPr>
      </w:pPr>
      <w:r>
        <w:rPr>
          <w:sz w:val="22"/>
          <w:szCs w:val="22"/>
        </w:rPr>
        <w:t>El contracte podrà ser suspès per acord de l’Administració o perquè el contractista opti per suspendre el seu compliment, en cas de demora en el pagament del preu superior a 4 mesos, comunicant-ho a l’Administració amb un mes d’antelació.</w:t>
      </w:r>
    </w:p>
    <w:p>
      <w:pPr>
        <w:pStyle w:val="Normal"/>
        <w:jc w:val="both"/>
        <w:rPr>
          <w:sz w:val="22"/>
          <w:szCs w:val="22"/>
        </w:rPr>
      </w:pPr>
      <w:r>
        <w:rPr>
          <w:sz w:val="22"/>
          <w:szCs w:val="22"/>
        </w:rPr>
      </w:r>
    </w:p>
    <w:p>
      <w:pPr>
        <w:pStyle w:val="Normal"/>
        <w:jc w:val="both"/>
        <w:rPr>
          <w:sz w:val="22"/>
          <w:szCs w:val="22"/>
        </w:rPr>
      </w:pPr>
      <w:r>
        <w:rPr>
          <w:sz w:val="22"/>
          <w:szCs w:val="22"/>
        </w:rPr>
        <w:t>En tot cas, l’Administració ha d’estendre l’acta de suspensió corresponent, d’ofici o a sol·licitud de l’empresa contractista, de conformitat amb el que disposa l’article 208.1 de la LCSP.</w:t>
      </w:r>
    </w:p>
    <w:p>
      <w:pPr>
        <w:pStyle w:val="Normal"/>
        <w:jc w:val="both"/>
        <w:rPr>
          <w:sz w:val="22"/>
          <w:szCs w:val="22"/>
        </w:rPr>
      </w:pPr>
      <w:r>
        <w:rPr>
          <w:sz w:val="22"/>
          <w:szCs w:val="22"/>
        </w:rPr>
      </w:r>
    </w:p>
    <w:p>
      <w:pPr>
        <w:pStyle w:val="Normal"/>
        <w:jc w:val="both"/>
        <w:rPr>
          <w:sz w:val="22"/>
          <w:szCs w:val="22"/>
        </w:rPr>
      </w:pPr>
      <w:r>
        <w:rPr>
          <w:sz w:val="22"/>
          <w:szCs w:val="22"/>
        </w:rPr>
        <w:t>L’acta de suspensió, d’acord amb l’article 103 del RGLCAP, l’hauran de signar una persona en representació de l’òrgan de contractació i l’empresa contractista i s’ha d’estendre en el termini màxim de dos dies hàbils, a comptar de l’endemà del dia en què s’acordi la suspensió.</w:t>
      </w:r>
    </w:p>
    <w:p>
      <w:pPr>
        <w:pStyle w:val="Normal"/>
        <w:jc w:val="both"/>
        <w:rPr>
          <w:sz w:val="22"/>
          <w:szCs w:val="22"/>
        </w:rPr>
      </w:pPr>
      <w:r>
        <w:rPr>
          <w:sz w:val="22"/>
          <w:szCs w:val="22"/>
        </w:rPr>
      </w:r>
    </w:p>
    <w:p>
      <w:pPr>
        <w:pStyle w:val="Normal"/>
        <w:jc w:val="both"/>
        <w:rPr>
          <w:sz w:val="22"/>
          <w:szCs w:val="22"/>
        </w:rPr>
      </w:pPr>
      <w:r>
        <w:rPr>
          <w:sz w:val="22"/>
          <w:szCs w:val="22"/>
        </w:rPr>
        <w:t>L’Administració ha d’abonar a l’empresa contractista els danys i perjudicis que efectivament se li causin de conformitat amb el previst en l’article 208.2 de la LCSP.</w:t>
      </w:r>
    </w:p>
    <w:p>
      <w:pPr>
        <w:pStyle w:val="Normal"/>
        <w:jc w:val="both"/>
        <w:rPr>
          <w:sz w:val="22"/>
          <w:szCs w:val="22"/>
        </w:rPr>
      </w:pPr>
      <w:r>
        <w:rPr>
          <w:sz w:val="22"/>
          <w:szCs w:val="22"/>
        </w:rPr>
      </w:r>
    </w:p>
    <w:p>
      <w:pPr>
        <w:pStyle w:val="Normal"/>
        <w:jc w:val="both"/>
        <w:rPr>
          <w:sz w:val="22"/>
          <w:szCs w:val="22"/>
        </w:rPr>
      </w:pPr>
      <w:r>
        <w:rPr>
          <w:sz w:val="22"/>
          <w:szCs w:val="22"/>
        </w:rPr>
        <w:t>L’abonament dels danys i perjudicis a l’empresa contractista només comprendrà els conceptes que s’indiquen en aquest precepte.</w:t>
      </w:r>
    </w:p>
    <w:p>
      <w:pPr>
        <w:pStyle w:val="Normal"/>
        <w:jc w:val="both"/>
        <w:rPr>
          <w:color w:val="000000"/>
          <w:sz w:val="22"/>
          <w:szCs w:val="22"/>
        </w:rPr>
      </w:pPr>
      <w:r>
        <w:rPr>
          <w:color w:val="000000"/>
          <w:sz w:val="22"/>
          <w:szCs w:val="22"/>
        </w:rPr>
      </w:r>
    </w:p>
    <w:p>
      <w:pPr>
        <w:pStyle w:val="Encapalament7"/>
        <w:rPr>
          <w:color w:val="000000"/>
          <w:szCs w:val="22"/>
        </w:rPr>
      </w:pPr>
      <w:r>
        <w:rPr>
          <w:color w:val="000000"/>
          <w:szCs w:val="22"/>
        </w:rPr>
      </w:r>
    </w:p>
    <w:p>
      <w:pPr>
        <w:pStyle w:val="Encapalament7"/>
        <w:rPr>
          <w:szCs w:val="22"/>
        </w:rPr>
      </w:pPr>
      <w:r>
        <w:rPr>
          <w:szCs w:val="22"/>
        </w:rPr>
        <w:t>QUARANTA-SETENA.- Subcontractació</w:t>
      </w:r>
    </w:p>
    <w:p>
      <w:pPr>
        <w:pStyle w:val="Normal"/>
        <w:jc w:val="both"/>
        <w:rPr>
          <w:sz w:val="22"/>
          <w:szCs w:val="22"/>
        </w:rPr>
      </w:pPr>
      <w:r>
        <w:rPr>
          <w:sz w:val="22"/>
          <w:szCs w:val="22"/>
        </w:rPr>
      </w:r>
    </w:p>
    <w:p>
      <w:pPr>
        <w:pStyle w:val="Normal"/>
        <w:jc w:val="both"/>
        <w:rPr>
          <w:sz w:val="22"/>
          <w:szCs w:val="22"/>
        </w:rPr>
      </w:pPr>
      <w:r>
        <w:rPr>
          <w:sz w:val="22"/>
          <w:szCs w:val="22"/>
        </w:rPr>
        <w:t>De conformitat amb l’article 215 i següents de la LCSP, es permet la subcontractació. Per tant, el contractista sempre pot concertar amb tercers la realització parcial de la prestació objecte del contracte.</w:t>
      </w:r>
    </w:p>
    <w:p>
      <w:pPr>
        <w:pStyle w:val="Normal"/>
        <w:jc w:val="both"/>
        <w:rPr>
          <w:sz w:val="22"/>
          <w:szCs w:val="22"/>
        </w:rPr>
      </w:pPr>
      <w:r>
        <w:rPr>
          <w:sz w:val="22"/>
          <w:szCs w:val="22"/>
        </w:rPr>
      </w:r>
    </w:p>
    <w:p>
      <w:pPr>
        <w:pStyle w:val="Default"/>
        <w:rPr>
          <w:b/>
          <w:b/>
          <w:sz w:val="22"/>
          <w:lang w:val="ca-ES"/>
        </w:rPr>
      </w:pPr>
      <w:r>
        <w:rPr>
          <w:b/>
          <w:sz w:val="22"/>
          <w:lang w:val="ca-ES"/>
        </w:rPr>
      </w:r>
    </w:p>
    <w:p>
      <w:pPr>
        <w:pStyle w:val="Default"/>
        <w:rPr/>
      </w:pPr>
      <w:r>
        <w:rPr>
          <w:b/>
          <w:sz w:val="22"/>
          <w:lang w:val="ca-ES"/>
        </w:rPr>
        <w:t xml:space="preserve">QUARANTA-VUITENA.- Personal adscrit a l'execució del servei </w:t>
      </w:r>
    </w:p>
    <w:p>
      <w:pPr>
        <w:pStyle w:val="Default"/>
        <w:rPr/>
      </w:pPr>
      <w:r>
        <w:rPr/>
      </w:r>
    </w:p>
    <w:p>
      <w:pPr>
        <w:pStyle w:val="Cosdeltext"/>
        <w:jc w:val="both"/>
        <w:rPr>
          <w:rFonts w:ascii="Arial" w:hAnsi="Arial" w:cs="Arial"/>
          <w:sz w:val="22"/>
          <w:szCs w:val="22"/>
          <w:lang w:val="ca-ES"/>
        </w:rPr>
      </w:pPr>
      <w:r>
        <w:rPr>
          <w:rFonts w:cs="Arial" w:ascii="Arial" w:hAnsi="Arial"/>
          <w:sz w:val="22"/>
          <w:szCs w:val="22"/>
          <w:lang w:val="ca-ES"/>
        </w:rPr>
        <w:t xml:space="preserve">L’empresa contractista aportarà tot el personal necessari i suficient per a la realització de l’objecte del contracte, d’acord amb les condicions tècniques establertes, i amb plena responsabilitat per oferir una execució a satisfacció de l’Ajuntament. L’empresa adjudicatària té l’obligació de subrogar els treballadors i les treballadores adscrites actualment a l’execució del contracte. </w:t>
      </w:r>
    </w:p>
    <w:p>
      <w:pPr>
        <w:pStyle w:val="Cosdeltext"/>
        <w:jc w:val="both"/>
        <w:rPr>
          <w:rFonts w:ascii="Arial" w:hAnsi="Arial" w:cs="Arial"/>
          <w:sz w:val="22"/>
          <w:szCs w:val="22"/>
          <w:lang w:val="ca-ES"/>
        </w:rPr>
      </w:pPr>
      <w:r>
        <w:rPr>
          <w:rFonts w:cs="Arial" w:ascii="Arial" w:hAnsi="Arial"/>
          <w:sz w:val="22"/>
          <w:szCs w:val="22"/>
          <w:lang w:val="ca-ES"/>
        </w:rPr>
      </w:r>
    </w:p>
    <w:p>
      <w:pPr>
        <w:pStyle w:val="Normal"/>
        <w:jc w:val="both"/>
        <w:rPr>
          <w:shd w:fill="auto" w:val="clear"/>
        </w:rPr>
      </w:pPr>
      <w:r>
        <w:rPr>
          <w:sz w:val="22"/>
          <w:shd w:fill="auto" w:val="clear"/>
        </w:rPr>
        <w:t xml:space="preserve">De conformitat amb el que preveu l’art. 130 de la LCSP, l’òrgan de contractació facilita a les empreses licitadores la informació sobre les condicions dels contractes dels treballadors i les treballadores a les quals pot afectar la subrogació, que ha proporcionat a l'òrgan de contractació l'empresa que ve prestant els serveis objecte del contracte, necessària per permetre l’avaluació dels costos laborals: llistes del personal objecte de subrogació, conveni col·lectiu aplicable, categoria, tipus de contracte, jornada, antiguitat, venciment del contracte, salari brut anual de cada treballador/treballadora i pactes en vigor aplicables als treballadors i a les treballadores a les quals afecti la subrogació. </w:t>
      </w:r>
    </w:p>
    <w:p>
      <w:pPr>
        <w:pStyle w:val="Normal"/>
        <w:jc w:val="both"/>
        <w:rPr>
          <w:sz w:val="22"/>
          <w:szCs w:val="22"/>
          <w:shd w:fill="auto" w:val="clear"/>
        </w:rPr>
      </w:pPr>
      <w:r>
        <w:rPr>
          <w:sz w:val="22"/>
          <w:szCs w:val="22"/>
          <w:shd w:fill="auto" w:val="clear"/>
        </w:rPr>
      </w:r>
    </w:p>
    <w:p>
      <w:pPr>
        <w:pStyle w:val="Normal"/>
        <w:jc w:val="both"/>
        <w:rPr>
          <w:rFonts w:eastAsia="MS Mincho;ＭＳ 明朝"/>
          <w:iCs/>
          <w:sz w:val="22"/>
          <w:szCs w:val="22"/>
          <w:lang w:eastAsia="ja-JP"/>
        </w:rPr>
      </w:pPr>
      <w:r>
        <w:rPr>
          <w:rFonts w:eastAsia="MS Mincho;ＭＳ 明朝"/>
          <w:iCs/>
          <w:sz w:val="22"/>
          <w:szCs w:val="22"/>
          <w:lang w:eastAsia="ja-JP"/>
        </w:rPr>
        <w:t xml:space="preserve">L’empresa contractista estarà obligat a proporcionar la informació abans referida a l’òrgan de contractació a requeriment d’aquest. </w:t>
      </w:r>
      <w:r>
        <w:rPr>
          <w:rFonts w:eastAsia="MS Mincho"/>
          <w:iCs/>
          <w:sz w:val="22"/>
          <w:szCs w:val="22"/>
          <w:lang w:eastAsia="ja-JP"/>
        </w:rPr>
        <w:t>Informació que es fa constar a l’annex 5.</w:t>
      </w:r>
    </w:p>
    <w:p>
      <w:pPr>
        <w:pStyle w:val="Normal"/>
        <w:jc w:val="both"/>
        <w:rPr>
          <w:rFonts w:eastAsia="MS Mincho;ＭＳ 明朝"/>
          <w:iCs/>
          <w:sz w:val="22"/>
          <w:szCs w:val="22"/>
          <w:lang w:eastAsia="ja-JP"/>
        </w:rPr>
      </w:pPr>
      <w:r>
        <w:rPr>
          <w:rFonts w:eastAsia="MS Mincho;ＭＳ 明朝"/>
          <w:iCs/>
          <w:sz w:val="22"/>
          <w:szCs w:val="22"/>
          <w:lang w:eastAsia="ja-JP"/>
        </w:rPr>
      </w:r>
    </w:p>
    <w:p>
      <w:pPr>
        <w:pStyle w:val="Normal"/>
        <w:jc w:val="both"/>
        <w:rPr>
          <w:i w:val="false"/>
          <w:i w:val="false"/>
          <w:iCs w:val="false"/>
          <w:shd w:fill="auto" w:val="clear"/>
        </w:rPr>
      </w:pPr>
      <w:r>
        <w:rPr>
          <w:rFonts w:eastAsia="MS Mincho"/>
          <w:i w:val="false"/>
          <w:iCs w:val="false"/>
          <w:sz w:val="22"/>
          <w:szCs w:val="22"/>
          <w:shd w:fill="auto" w:val="clear"/>
          <w:lang w:eastAsia="ja-JP"/>
        </w:rPr>
        <w:t xml:space="preserve">Conveni col·lectiu d’aplicació: </w:t>
      </w:r>
      <w:r>
        <w:rPr>
          <w:rFonts w:eastAsia="MS Mincho"/>
          <w:i w:val="false"/>
          <w:iCs w:val="false"/>
          <w:kern w:val="2"/>
          <w:sz w:val="22"/>
          <w:szCs w:val="22"/>
          <w:shd w:fill="auto" w:val="clear"/>
          <w:lang w:eastAsia="ja-JP"/>
        </w:rPr>
        <w:t xml:space="preserve">Conveni Col·lectiu Estatal de Restauració Col·lectiva (códi de conveni: 99100165012016) </w:t>
      </w:r>
    </w:p>
    <w:p>
      <w:pPr>
        <w:pStyle w:val="Normal"/>
        <w:jc w:val="both"/>
        <w:rPr>
          <w:rFonts w:eastAsia="MS Mincho;ＭＳ 明朝"/>
          <w:iCs/>
          <w:sz w:val="22"/>
          <w:szCs w:val="22"/>
          <w:lang w:eastAsia="ja-JP"/>
        </w:rPr>
      </w:pPr>
      <w:r>
        <w:rPr>
          <w:rFonts w:eastAsia="MS Mincho;ＭＳ 明朝"/>
          <w:iCs/>
          <w:sz w:val="22"/>
          <w:szCs w:val="22"/>
          <w:lang w:eastAsia="ja-JP"/>
        </w:rPr>
      </w:r>
    </w:p>
    <w:p>
      <w:pPr>
        <w:pStyle w:val="Normal"/>
        <w:jc w:val="both"/>
        <w:rPr>
          <w:color w:val="000000"/>
          <w:sz w:val="22"/>
          <w:szCs w:val="22"/>
        </w:rPr>
      </w:pPr>
      <w:r>
        <w:rPr>
          <w:color w:val="000000"/>
          <w:sz w:val="22"/>
          <w:szCs w:val="22"/>
        </w:rPr>
        <w:t>En cas que, una vegada produïda la subrogació, els costos laborals siguin superiors als que es desprenen de la informació facilitada per l’antiga empresa contractista a l’òrgan de contractació, l’empresa contractista té acció directa contra l’antiga contractista.</w:t>
      </w:r>
    </w:p>
    <w:p>
      <w:pPr>
        <w:pStyle w:val="Normal"/>
        <w:jc w:val="both"/>
        <w:rPr>
          <w:rFonts w:eastAsia="MS Mincho;ＭＳ 明朝"/>
          <w:iCs/>
          <w:color w:val="000000"/>
          <w:sz w:val="22"/>
          <w:szCs w:val="22"/>
          <w:lang w:eastAsia="ja-JP"/>
        </w:rPr>
      </w:pPr>
      <w:r>
        <w:rPr>
          <w:rFonts w:eastAsia="MS Mincho;ＭＳ 明朝"/>
          <w:iCs/>
          <w:color w:val="000000"/>
          <w:sz w:val="22"/>
          <w:szCs w:val="22"/>
          <w:lang w:eastAsia="ja-JP"/>
        </w:rPr>
      </w:r>
    </w:p>
    <w:p>
      <w:pPr>
        <w:pStyle w:val="Normal"/>
        <w:jc w:val="both"/>
        <w:rPr>
          <w:rFonts w:eastAsia="MS Mincho;ＭＳ 明朝"/>
          <w:iCs/>
          <w:sz w:val="22"/>
          <w:szCs w:val="22"/>
          <w:lang w:eastAsia="ja-JP"/>
        </w:rPr>
      </w:pPr>
      <w:r>
        <w:rPr>
          <w:rFonts w:eastAsia="MS Mincho;ＭＳ 明朝"/>
          <w:iCs/>
          <w:sz w:val="22"/>
          <w:szCs w:val="22"/>
          <w:lang w:eastAsia="ja-JP"/>
        </w:rPr>
        <w:t xml:space="preserve">L’empresa contractista mantindrà, durant la vigència del contracte, les condicions laborals i socials de les persones treballadores ocupades en l’execució del contracte, fixades en el moment de presentar l’oferta, segons el conveni que sigui d’aplicació. </w:t>
      </w:r>
    </w:p>
    <w:p>
      <w:pPr>
        <w:pStyle w:val="Normal"/>
        <w:jc w:val="both"/>
        <w:rPr>
          <w:rFonts w:eastAsia="MS Mincho;ＭＳ 明朝"/>
          <w:iCs/>
          <w:sz w:val="22"/>
          <w:szCs w:val="22"/>
          <w:lang w:eastAsia="ja-JP"/>
        </w:rPr>
      </w:pPr>
      <w:r>
        <w:rPr>
          <w:rFonts w:eastAsia="MS Mincho;ＭＳ 明朝"/>
          <w:iCs/>
          <w:sz w:val="22"/>
          <w:szCs w:val="22"/>
          <w:lang w:eastAsia="ja-JP"/>
        </w:rPr>
      </w:r>
    </w:p>
    <w:p>
      <w:pPr>
        <w:pStyle w:val="Normal"/>
        <w:jc w:val="both"/>
        <w:rPr/>
      </w:pPr>
      <w:r>
        <w:rPr>
          <w:rFonts w:eastAsia="MS Mincho;ＭＳ 明朝"/>
          <w:iCs/>
          <w:sz w:val="22"/>
          <w:szCs w:val="22"/>
          <w:lang w:eastAsia="ja-JP"/>
        </w:rPr>
        <w:t xml:space="preserve">Si no es respectés aquesta obligació s’imposarà una penalitat </w:t>
      </w:r>
      <w:r>
        <w:rPr>
          <w:rFonts w:eastAsia="MS Mincho;ＭＳ 明朝"/>
          <w:iCs/>
          <w:sz w:val="22"/>
          <w:szCs w:val="22"/>
          <w:lang w:val="af-ZA" w:eastAsia="ja-JP"/>
        </w:rPr>
        <w:t>l’import</w:t>
      </w:r>
      <w:r>
        <w:rPr>
          <w:rFonts w:eastAsia="MS Mincho;ＭＳ 明朝"/>
          <w:iCs/>
          <w:sz w:val="22"/>
          <w:szCs w:val="22"/>
          <w:lang w:eastAsia="ja-JP"/>
        </w:rPr>
        <w:t xml:space="preserve"> de la qual es calcularà aplicant al pressupost del contracte el percentatge en què hagi minorat el salari/hora conveni del treballador/treballadora adscrita al contracte la reducció del qual s’hagi operat en major mesura fins al límit del 10 </w:t>
      </w:r>
      <w:r>
        <w:rPr>
          <w:rFonts w:eastAsia="MS Mincho;ＭＳ 明朝"/>
          <w:iCs/>
          <w:spacing w:val="-20"/>
          <w:w w:val="33"/>
          <w:position w:val="-1"/>
          <w:sz w:val="22"/>
          <w:szCs w:val="22"/>
          <w:lang w:eastAsia="ja-JP"/>
        </w:rPr>
        <w:t xml:space="preserve"> </w:t>
      </w:r>
      <w:r>
        <w:rPr>
          <w:rFonts w:eastAsia="MS Mincho;ＭＳ 明朝"/>
          <w:iCs/>
          <w:sz w:val="22"/>
          <w:szCs w:val="22"/>
          <w:lang w:eastAsia="ja-JP"/>
        </w:rPr>
        <w:t>%. De superar la reducció salari/hora el 10 %, o en el cas de que l’empresa contractista no facilités la informació requerida per acreditar el compliment de l’obligació establerta en aquesta clàusula, es considerarà incomplerta una obligació essencial del contracte incorrent l’empresa contractista en causa de resolució.</w:t>
      </w:r>
    </w:p>
    <w:p>
      <w:pPr>
        <w:pStyle w:val="Normal"/>
        <w:jc w:val="both"/>
        <w:rPr>
          <w:rFonts w:eastAsia="MS Mincho;ＭＳ 明朝"/>
          <w:iCs/>
          <w:sz w:val="24"/>
          <w:szCs w:val="24"/>
          <w:lang w:val="es-ES" w:eastAsia="ja-JP"/>
        </w:rPr>
      </w:pPr>
      <w:r>
        <w:rPr>
          <w:rFonts w:eastAsia="MS Mincho;ＭＳ 明朝"/>
          <w:iCs/>
          <w:sz w:val="24"/>
          <w:szCs w:val="24"/>
          <w:lang w:val="es-ES" w:eastAsia="ja-JP"/>
        </w:rPr>
      </w:r>
    </w:p>
    <w:p>
      <w:pPr>
        <w:pStyle w:val="Sagnatdelcosdeltext"/>
        <w:ind w:left="0" w:hanging="0"/>
        <w:rPr/>
      </w:pPr>
      <w:r>
        <w:rPr/>
        <w:t xml:space="preserve">Tot el personal que executi les prestacions dependrà únicament de l’empresa contractista adjudicatària, a tots els efectes, sense que entre aquell i l’Ajuntament existeixi cap vincle de dependència funcionarial ni laboral. A tal efecte, previ a </w:t>
      </w:r>
      <w:r>
        <w:rPr>
          <w:lang w:val="af-ZA"/>
        </w:rPr>
        <w:t>l’inici</w:t>
      </w:r>
      <w:r>
        <w:rPr/>
        <w:t xml:space="preserve"> de l’execució del contracte, l’empresa contractista vindrà obligat a especificar les persones concretes que executaran les prestacions i a acreditar la seva afiliació i situació d’alta a la Seguretat Social, així com la corresponent acreditació professional. Durant la vigència del contracte, qualsevol substitució o modificació d’aquelles persones haurà de comunicar-se prèviament a l’Ajuntament i acreditar que la seva situació laboral s’ajusta a dret. </w:t>
      </w:r>
    </w:p>
    <w:p>
      <w:pPr>
        <w:pStyle w:val="Normal"/>
        <w:jc w:val="both"/>
        <w:rPr>
          <w:sz w:val="22"/>
        </w:rPr>
      </w:pPr>
      <w:r>
        <w:rPr>
          <w:sz w:val="22"/>
        </w:rPr>
      </w:r>
    </w:p>
    <w:p>
      <w:pPr>
        <w:pStyle w:val="Normal"/>
        <w:jc w:val="both"/>
        <w:rPr>
          <w:sz w:val="22"/>
        </w:rPr>
      </w:pPr>
      <w:r>
        <w:rPr>
          <w:sz w:val="22"/>
        </w:rPr>
        <w:t xml:space="preserve">L’empresa contractista els primers deu dies de cada mes haurà de lliurar a l’Ajuntament de Terrassa una còpia segellada del butlletí de cotització a la Seguretat Social (TC1 i TC2) del segon mes anterior al mes en curs de tot el personal adscrit a l’execució d’aquest contracte. </w:t>
      </w:r>
    </w:p>
    <w:p>
      <w:pPr>
        <w:pStyle w:val="Normal"/>
        <w:jc w:val="both"/>
        <w:rPr>
          <w:sz w:val="22"/>
          <w:szCs w:val="22"/>
        </w:rPr>
      </w:pPr>
      <w:r>
        <w:rPr>
          <w:sz w:val="22"/>
          <w:szCs w:val="22"/>
        </w:rPr>
      </w:r>
    </w:p>
    <w:p>
      <w:pPr>
        <w:pStyle w:val="Normal"/>
        <w:jc w:val="both"/>
        <w:rPr/>
      </w:pPr>
      <w:r>
        <w:rPr>
          <w:sz w:val="22"/>
          <w:szCs w:val="22"/>
        </w:rPr>
        <w:t xml:space="preserve">L’empresa contractista haurà de </w:t>
      </w:r>
      <w:r>
        <w:rPr>
          <w:color w:val="000000"/>
          <w:sz w:val="22"/>
          <w:szCs w:val="22"/>
        </w:rPr>
        <w:t>respondre dels salaris impagats als treballadors afectats per subrogació, així com de les cotitzacions a la Seguretat Social meritades, fins i tot en el supòsit que es resolgui el contracte i aquells siguin subrogats pel nou contractista, sense que en cap cas l’obligació esmentada correspongui a aquest últim. En aquest cas, l’Ajuntament, una vegada acreditada la falta de pagament dels salaris esmentats, ha de procedir a la retenció de les quantitats degudes al contractista per garantir el pagament dels salaris esmentats, i a la no-devolució de la garantia definitiva mentre no se n’acrediti l’abonament.</w:t>
      </w:r>
    </w:p>
    <w:p>
      <w:pPr>
        <w:pStyle w:val="Normal"/>
        <w:jc w:val="both"/>
        <w:rPr>
          <w:color w:val="000000"/>
          <w:sz w:val="22"/>
          <w:szCs w:val="22"/>
        </w:rPr>
      </w:pPr>
      <w:r>
        <w:rPr>
          <w:color w:val="000000"/>
          <w:sz w:val="22"/>
          <w:szCs w:val="22"/>
        </w:rPr>
      </w:r>
    </w:p>
    <w:p>
      <w:pPr>
        <w:pStyle w:val="Normal"/>
        <w:jc w:val="both"/>
        <w:rPr>
          <w:color w:val="000000"/>
          <w:sz w:val="22"/>
          <w:szCs w:val="22"/>
        </w:rPr>
      </w:pPr>
      <w:r>
        <w:rPr>
          <w:color w:val="000000"/>
          <w:sz w:val="22"/>
          <w:szCs w:val="22"/>
        </w:rPr>
      </w:r>
    </w:p>
    <w:p>
      <w:pPr>
        <w:pStyle w:val="Normal"/>
        <w:jc w:val="both"/>
        <w:rPr/>
      </w:pPr>
      <w:r>
        <w:rPr>
          <w:b/>
          <w:sz w:val="22"/>
          <w:szCs w:val="22"/>
        </w:rPr>
        <w:t>QUARANTA-NOVENA</w:t>
      </w:r>
      <w:r>
        <w:rPr>
          <w:b/>
          <w:sz w:val="22"/>
        </w:rPr>
        <w:t>.-</w:t>
      </w:r>
      <w:r>
        <w:rPr>
          <w:b/>
          <w:sz w:val="22"/>
          <w:szCs w:val="22"/>
        </w:rPr>
        <w:t xml:space="preserve"> Ús de la llengua catalana</w:t>
      </w:r>
    </w:p>
    <w:p>
      <w:pPr>
        <w:pStyle w:val="Normal"/>
        <w:jc w:val="center"/>
        <w:rPr>
          <w:b/>
          <w:b/>
          <w:sz w:val="22"/>
          <w:szCs w:val="22"/>
        </w:rPr>
      </w:pPr>
      <w:r>
        <w:rPr>
          <w:b/>
          <w:sz w:val="22"/>
          <w:szCs w:val="22"/>
        </w:rPr>
      </w:r>
    </w:p>
    <w:p>
      <w:pPr>
        <w:pStyle w:val="Normal"/>
        <w:jc w:val="both"/>
        <w:rPr/>
      </w:pPr>
      <w:r>
        <w:rPr>
          <w:rFonts w:eastAsia="MS Mincho;ＭＳ 明朝"/>
          <w:sz w:val="22"/>
          <w:szCs w:val="22"/>
          <w:lang w:eastAsia="ja-JP"/>
        </w:rPr>
        <w:t>De conformitat amb el que estableix l’article 4.2 del Reglament per a l’ús de la llengua catalana a l’Ajuntament de Terrassa, les empreses contractistes i proveïdores, en la mesura del possible, presentaran la documentació en català i faran ús del català en els serveis que són objecte del contracte</w:t>
      </w:r>
      <w:r>
        <w:rPr>
          <w:rFonts w:eastAsia="MS Mincho;ＭＳ 明朝"/>
          <w:sz w:val="22"/>
          <w:szCs w:val="22"/>
          <w:lang w:val="es-ES" w:eastAsia="ja-JP"/>
        </w:rPr>
        <w:t>.</w:t>
      </w:r>
    </w:p>
    <w:p>
      <w:pPr>
        <w:pStyle w:val="Normal"/>
        <w:jc w:val="both"/>
        <w:rPr>
          <w:rFonts w:eastAsia="MS Mincho;ＭＳ 明朝"/>
          <w:sz w:val="22"/>
          <w:szCs w:val="22"/>
          <w:lang w:val="es-ES" w:eastAsia="ja-JP"/>
        </w:rPr>
      </w:pPr>
      <w:r>
        <w:rPr>
          <w:rFonts w:eastAsia="MS Mincho;ＭＳ 明朝"/>
          <w:sz w:val="22"/>
          <w:szCs w:val="22"/>
          <w:lang w:val="es-ES" w:eastAsia="ja-JP"/>
        </w:rPr>
      </w:r>
    </w:p>
    <w:p>
      <w:pPr>
        <w:pStyle w:val="Normal"/>
        <w:jc w:val="both"/>
        <w:rPr>
          <w:rFonts w:eastAsia="MS Mincho;ＭＳ 明朝"/>
          <w:sz w:val="22"/>
          <w:szCs w:val="22"/>
          <w:lang w:val="es-ES" w:eastAsia="ja-JP"/>
        </w:rPr>
      </w:pPr>
      <w:r>
        <w:rPr>
          <w:rFonts w:eastAsia="MS Mincho;ＭＳ 明朝"/>
          <w:sz w:val="22"/>
          <w:szCs w:val="22"/>
          <w:lang w:val="es-ES" w:eastAsia="ja-JP"/>
        </w:rPr>
      </w:r>
    </w:p>
    <w:p>
      <w:pPr>
        <w:pStyle w:val="Encapalament7"/>
        <w:numPr>
          <w:ilvl w:val="0"/>
          <w:numId w:val="0"/>
        </w:numPr>
        <w:ind w:left="0" w:hanging="0"/>
        <w:rPr/>
      </w:pPr>
      <w:r>
        <w:rPr>
          <w:szCs w:val="22"/>
        </w:rPr>
        <w:t>CINQUANTENA</w:t>
      </w:r>
      <w:r>
        <w:rPr/>
        <w:t>.- Protecció de dades de caràcter personal</w:t>
      </w:r>
    </w:p>
    <w:p>
      <w:pPr>
        <w:pStyle w:val="Normal"/>
        <w:jc w:val="both"/>
        <w:rPr>
          <w:sz w:val="22"/>
          <w:szCs w:val="22"/>
          <w:highlight w:val="red"/>
        </w:rPr>
      </w:pPr>
      <w:r>
        <w:rPr>
          <w:sz w:val="22"/>
          <w:szCs w:val="22"/>
          <w:highlight w:val="red"/>
        </w:rPr>
      </w:r>
    </w:p>
    <w:p>
      <w:pPr>
        <w:pStyle w:val="Normal"/>
        <w:keepNext w:val="true"/>
        <w:numPr>
          <w:ilvl w:val="6"/>
          <w:numId w:val="3"/>
        </w:numPr>
        <w:suppressAutoHyphens w:val="false"/>
        <w:jc w:val="both"/>
        <w:rPr/>
      </w:pPr>
      <w:r>
        <w:rPr>
          <w:rFonts w:cs="Times New Roman"/>
          <w:color w:val="000000"/>
          <w:sz w:val="22"/>
          <w:szCs w:val="22"/>
          <w:lang w:eastAsia="es-ES"/>
        </w:rPr>
        <w:t xml:space="preserve">Aquest contracte haurà de respectar íntegrament la Llei orgànica 3/2018, de 5 de desembre, de Protecció de Dades Personals i garantia dels drets digitals, i la seva normativa de desplegament, </w:t>
      </w:r>
      <w:r>
        <w:rPr>
          <w:rFonts w:cs="Times New Roman"/>
          <w:bCs/>
          <w:color w:val="000000"/>
          <w:sz w:val="22"/>
          <w:szCs w:val="22"/>
          <w:lang w:eastAsia="es-ES"/>
        </w:rPr>
        <w:t>i el Reial Decret-llei 14/2019, de 31 d’octubre, pel qual s’adopten mesures urgents per raó de seguretat pública en matèria d’administració digital, contractació del sector pública i telecomunicacions.</w:t>
      </w:r>
    </w:p>
    <w:p>
      <w:pPr>
        <w:pStyle w:val="Normal"/>
        <w:jc w:val="both"/>
        <w:rPr>
          <w:rFonts w:ascii="Liberation Serif;Times New Roma" w:hAnsi="Liberation Serif;Times New Roma" w:cs="Liberation Serif;Times New Roma"/>
          <w:b/>
          <w:b/>
          <w:bCs/>
          <w:color w:val="000000"/>
          <w:kern w:val="2"/>
          <w:sz w:val="22"/>
          <w:szCs w:val="24"/>
          <w:lang w:eastAsia="es-ES" w:bidi="hi-IN"/>
        </w:rPr>
      </w:pPr>
      <w:r>
        <w:rPr>
          <w:rFonts w:cs="Liberation Serif;Times New Roma" w:ascii="Liberation Serif;Times New Roma" w:hAnsi="Liberation Serif;Times New Roma"/>
          <w:b/>
          <w:bCs/>
          <w:color w:val="000000"/>
          <w:kern w:val="2"/>
          <w:sz w:val="22"/>
          <w:szCs w:val="24"/>
          <w:lang w:eastAsia="es-ES" w:bidi="hi-IN"/>
        </w:rPr>
      </w:r>
    </w:p>
    <w:p>
      <w:pPr>
        <w:pStyle w:val="Normal"/>
        <w:jc w:val="both"/>
        <w:rPr>
          <w:rFonts w:cs="Times New Roman"/>
          <w:color w:val="000000"/>
          <w:kern w:val="2"/>
          <w:sz w:val="22"/>
          <w:szCs w:val="24"/>
          <w:lang w:bidi="hi-IN"/>
        </w:rPr>
      </w:pPr>
      <w:r>
        <w:rPr>
          <w:rFonts w:cs="Times New Roman"/>
          <w:color w:val="000000"/>
          <w:kern w:val="2"/>
          <w:sz w:val="22"/>
          <w:szCs w:val="24"/>
          <w:lang w:bidi="hi-IN"/>
        </w:rPr>
        <w:t>Sense perjudici d’allò establert en l’article 28.2 del Reglament (UE) 2016/679 del Parlament Europeu i del Consell, de 27 d’abril de 2016, relatiu a la protecció de les persones físiques pel que respecta al tractament de dades personals i la lliure circulació d’aquestes dades i pel que es deroga la Directiva 95/46/CE.</w:t>
      </w:r>
    </w:p>
    <w:p>
      <w:pPr>
        <w:pStyle w:val="Normal"/>
        <w:jc w:val="both"/>
        <w:rPr>
          <w:rFonts w:cs="Times New Roman"/>
          <w:color w:val="000000"/>
          <w:kern w:val="2"/>
          <w:sz w:val="22"/>
          <w:szCs w:val="22"/>
          <w:lang w:bidi="hi-IN"/>
        </w:rPr>
      </w:pPr>
      <w:r>
        <w:rPr>
          <w:rFonts w:cs="Times New Roman"/>
          <w:color w:val="000000"/>
          <w:kern w:val="2"/>
          <w:sz w:val="22"/>
          <w:szCs w:val="22"/>
          <w:lang w:bidi="hi-IN"/>
        </w:rPr>
      </w:r>
    </w:p>
    <w:p>
      <w:pPr>
        <w:pStyle w:val="Normal"/>
        <w:jc w:val="both"/>
        <w:rPr>
          <w:shd w:fill="auto" w:val="clear"/>
        </w:rPr>
      </w:pPr>
      <w:r>
        <w:rPr>
          <w:rFonts w:cs="Times New Roman"/>
          <w:color w:val="000000"/>
          <w:sz w:val="22"/>
          <w:szCs w:val="24"/>
          <w:shd w:fill="auto" w:val="clear"/>
          <w:lang w:bidi="hi-IN"/>
        </w:rPr>
        <w:t>El contracte implica la cessió de dades de caràcter personal</w:t>
      </w:r>
    </w:p>
    <w:p>
      <w:pPr>
        <w:pStyle w:val="Normal"/>
        <w:jc w:val="both"/>
        <w:rPr>
          <w:shd w:fill="auto" w:val="clear"/>
        </w:rPr>
      </w:pPr>
      <w:r>
        <w:rPr>
          <w:shd w:fill="auto" w:val="clear"/>
        </w:rPr>
      </w:r>
    </w:p>
    <w:p>
      <w:pPr>
        <w:pStyle w:val="Cosdeltext"/>
        <w:jc w:val="both"/>
        <w:rPr>
          <w:rFonts w:ascii="Arial" w:hAnsi="Arial"/>
          <w:sz w:val="22"/>
          <w:szCs w:val="22"/>
          <w:shd w:fill="auto" w:val="clear"/>
        </w:rPr>
      </w:pPr>
      <w:r>
        <w:rPr>
          <w:rFonts w:ascii="Arial" w:hAnsi="Arial"/>
          <w:sz w:val="22"/>
          <w:szCs w:val="22"/>
          <w:shd w:fill="auto" w:val="clear"/>
        </w:rPr>
        <w:t>El contracte comportarà la cessió de les següents dades de caràcter personal:</w:t>
      </w:r>
    </w:p>
    <w:p>
      <w:pPr>
        <w:pStyle w:val="Cosdeltext"/>
        <w:jc w:val="both"/>
        <w:rPr>
          <w:rFonts w:ascii="Arial" w:hAnsi="Arial"/>
          <w:sz w:val="22"/>
          <w:szCs w:val="22"/>
          <w:shd w:fill="auto" w:val="clear"/>
          <w:lang w:val="ca-ES" w:eastAsia="zh-CN" w:bidi="hi-IN"/>
        </w:rPr>
      </w:pPr>
      <w:r>
        <w:rPr>
          <w:rFonts w:ascii="Arial" w:hAnsi="Arial"/>
          <w:sz w:val="22"/>
          <w:szCs w:val="22"/>
          <w:shd w:fill="auto" w:val="clear"/>
          <w:lang w:val="ca-ES" w:eastAsia="zh-CN" w:bidi="hi-IN"/>
        </w:rPr>
      </w:r>
    </w:p>
    <w:p>
      <w:pPr>
        <w:pStyle w:val="ListParagraph"/>
        <w:numPr>
          <w:ilvl w:val="1"/>
          <w:numId w:val="3"/>
        </w:numPr>
        <w:jc w:val="both"/>
        <w:rPr>
          <w:rFonts w:ascii="Arial" w:hAnsi="Arial"/>
          <w:sz w:val="22"/>
          <w:szCs w:val="22"/>
          <w:shd w:fill="auto" w:val="clear"/>
          <w:lang w:val="ca-ES" w:eastAsia="zh-CN" w:bidi="hi-IN"/>
        </w:rPr>
      </w:pPr>
      <w:r>
        <w:rPr>
          <w:rFonts w:ascii="Arial" w:hAnsi="Arial"/>
          <w:sz w:val="22"/>
          <w:szCs w:val="22"/>
          <w:shd w:fill="auto" w:val="clear"/>
          <w:lang w:val="ca-ES" w:eastAsia="zh-CN" w:bidi="hi-IN"/>
        </w:rPr>
        <w:t>Usuaris (alumnat, personal docent, d’administració o de serveis de cada escola): dades de diagnòstic mèdic i de necessitats alimentàries específiques derivades de malaties, al·lergies o intoleràncies. O també en cas que els usuaris vulguin alguna de les opcions de menú disponibles per motius ètics, culturals o religiosos.</w:t>
      </w:r>
    </w:p>
    <w:p>
      <w:pPr>
        <w:pStyle w:val="Cosdeltext"/>
        <w:jc w:val="both"/>
        <w:rPr>
          <w:rFonts w:ascii="Arial" w:hAnsi="Arial"/>
          <w:sz w:val="22"/>
          <w:szCs w:val="22"/>
          <w:shd w:fill="auto" w:val="clear"/>
          <w:lang w:val="ca-ES" w:eastAsia="zh-CN" w:bidi="hi-IN"/>
        </w:rPr>
      </w:pPr>
      <w:r>
        <w:rPr>
          <w:rFonts w:ascii="Arial" w:hAnsi="Arial"/>
          <w:sz w:val="22"/>
          <w:szCs w:val="22"/>
          <w:shd w:fill="auto" w:val="clear"/>
          <w:lang w:val="ca-ES" w:eastAsia="zh-CN" w:bidi="hi-IN"/>
        </w:rPr>
        <w:t>La finalitat per la que cal cedir les dades és:</w:t>
      </w:r>
    </w:p>
    <w:p>
      <w:pPr>
        <w:pStyle w:val="ListParagraph"/>
        <w:numPr>
          <w:ilvl w:val="0"/>
          <w:numId w:val="4"/>
        </w:numPr>
        <w:jc w:val="both"/>
        <w:rPr>
          <w:rFonts w:ascii="Arial" w:hAnsi="Arial"/>
          <w:sz w:val="22"/>
          <w:szCs w:val="22"/>
          <w:shd w:fill="auto" w:val="clear"/>
          <w:lang w:val="ca-ES" w:eastAsia="zh-CN" w:bidi="hi-IN"/>
        </w:rPr>
      </w:pPr>
      <w:r>
        <w:rPr>
          <w:rFonts w:ascii="Arial" w:hAnsi="Arial"/>
          <w:sz w:val="22"/>
          <w:szCs w:val="22"/>
          <w:shd w:fill="auto" w:val="clear"/>
          <w:lang w:val="ca-ES" w:eastAsia="zh-CN" w:bidi="hi-IN"/>
        </w:rPr>
        <w:t>garantir la seguretat física de les persones usuàries que tenen algun tipus de malatia, al·lèrgia o intolerància.</w:t>
      </w:r>
    </w:p>
    <w:p>
      <w:pPr>
        <w:pStyle w:val="ListParagraph"/>
        <w:numPr>
          <w:ilvl w:val="0"/>
          <w:numId w:val="4"/>
        </w:numPr>
        <w:jc w:val="both"/>
        <w:rPr>
          <w:rFonts w:ascii="Arial" w:hAnsi="Arial"/>
          <w:sz w:val="22"/>
          <w:szCs w:val="22"/>
          <w:shd w:fill="auto" w:val="clear"/>
          <w:lang w:val="ca-ES" w:eastAsia="zh-CN" w:bidi="hi-IN"/>
        </w:rPr>
      </w:pPr>
      <w:r>
        <w:rPr>
          <w:rFonts w:ascii="Arial" w:hAnsi="Arial"/>
          <w:sz w:val="22"/>
          <w:szCs w:val="22"/>
          <w:shd w:fill="auto" w:val="clear"/>
          <w:lang w:val="ca-ES" w:eastAsia="zh-CN" w:bidi="hi-IN"/>
        </w:rPr>
        <w:t>garantir els drets de les persones usuàries.</w:t>
      </w:r>
    </w:p>
    <w:p>
      <w:pPr>
        <w:pStyle w:val="Normal"/>
        <w:jc w:val="both"/>
        <w:rPr>
          <w:shd w:fill="auto" w:val="clear"/>
        </w:rPr>
      </w:pPr>
      <w:r>
        <w:rPr>
          <w:rFonts w:cs="Times New Roman"/>
          <w:color w:val="000000"/>
          <w:sz w:val="22"/>
          <w:szCs w:val="24"/>
          <w:shd w:fill="auto" w:val="clear"/>
          <w:lang w:bidi="hi-IN"/>
        </w:rPr>
        <w:t xml:space="preserve">S’adjunta com a annex 6 el model d’Instruccions de regulació respecte al tractament de  dades personals que suposa el contracte. </w:t>
      </w:r>
    </w:p>
    <w:p>
      <w:pPr>
        <w:pStyle w:val="Normal"/>
        <w:suppressAutoHyphens w:val="false"/>
        <w:ind w:firstLine="720"/>
        <w:jc w:val="both"/>
        <w:rPr>
          <w:rFonts w:ascii="Arial-ItalicMT;Arial" w:hAnsi="Arial-ItalicMT;Arial" w:cs="Arial-ItalicMT;Arial"/>
          <w:i/>
          <w:i/>
          <w:iCs/>
          <w:color w:val="000000"/>
          <w:sz w:val="22"/>
          <w:szCs w:val="22"/>
          <w:shd w:fill="auto" w:val="clear"/>
          <w:lang w:eastAsia="es-ES"/>
        </w:rPr>
      </w:pPr>
      <w:r>
        <w:rPr>
          <w:rFonts w:cs="Arial-ItalicMT;Arial" w:ascii="Arial-ItalicMT;Arial" w:hAnsi="Arial-ItalicMT;Arial"/>
          <w:i/>
          <w:iCs/>
          <w:color w:val="000000"/>
          <w:sz w:val="22"/>
          <w:szCs w:val="22"/>
          <w:shd w:fill="auto" w:val="clear"/>
          <w:lang w:eastAsia="es-ES"/>
        </w:rPr>
      </w:r>
    </w:p>
    <w:p>
      <w:pPr>
        <w:pStyle w:val="Normal"/>
        <w:suppressAutoHyphens w:val="false"/>
        <w:ind w:firstLine="720"/>
        <w:rPr>
          <w:rFonts w:ascii="Arial-BoldMT;Arial" w:hAnsi="Arial-BoldMT;Arial" w:cs="Arial-BoldMT;Arial"/>
          <w:b/>
          <w:b/>
          <w:bCs/>
          <w:i/>
          <w:i/>
          <w:iCs/>
          <w:color w:val="3A3A3A"/>
          <w:sz w:val="22"/>
          <w:szCs w:val="22"/>
          <w:highlight w:val="magenta"/>
          <w:lang w:eastAsia="es-ES"/>
        </w:rPr>
      </w:pPr>
      <w:r>
        <w:rPr>
          <w:rFonts w:cs="Arial-BoldMT;Arial" w:ascii="Arial-BoldMT;Arial" w:hAnsi="Arial-BoldMT;Arial"/>
          <w:b/>
          <w:bCs/>
          <w:i/>
          <w:iCs/>
          <w:color w:val="3A3A3A"/>
          <w:sz w:val="22"/>
          <w:szCs w:val="22"/>
          <w:highlight w:val="magenta"/>
          <w:lang w:eastAsia="es-ES"/>
        </w:rPr>
      </w:r>
    </w:p>
    <w:p>
      <w:pPr>
        <w:pStyle w:val="Encapalament7"/>
        <w:rPr/>
      </w:pPr>
      <w:r>
        <w:rPr>
          <w:szCs w:val="22"/>
        </w:rPr>
        <w:t>CINQUANTA-UNENA</w:t>
      </w:r>
      <w:r>
        <w:rPr/>
        <w:t xml:space="preserve">.- Obligacions dels licitadors i dels contractistes en matèria de protecció de dades </w:t>
      </w:r>
    </w:p>
    <w:p>
      <w:pPr>
        <w:pStyle w:val="Normal"/>
        <w:rPr>
          <w:color w:val="000000"/>
        </w:rPr>
      </w:pPr>
      <w:r>
        <w:rPr>
          <w:color w:val="000000"/>
        </w:rPr>
      </w:r>
    </w:p>
    <w:p>
      <w:pPr>
        <w:pStyle w:val="Normal"/>
        <w:jc w:val="both"/>
        <w:rPr>
          <w:sz w:val="22"/>
          <w:szCs w:val="22"/>
        </w:rPr>
      </w:pPr>
      <w:r>
        <w:rPr>
          <w:sz w:val="22"/>
          <w:szCs w:val="22"/>
        </w:rPr>
        <w:t xml:space="preserve">En el supòsit que l’execució del contracte impliqui la cessió de dades de l’ajuntament al contractista, aquest últim haurà de complir les següents obligacions: </w:t>
      </w:r>
    </w:p>
    <w:p>
      <w:pPr>
        <w:pStyle w:val="Normal"/>
        <w:rPr>
          <w:b/>
          <w:b/>
          <w:sz w:val="22"/>
          <w:szCs w:val="22"/>
        </w:rPr>
      </w:pPr>
      <w:r>
        <w:rPr>
          <w:b/>
          <w:sz w:val="22"/>
          <w:szCs w:val="22"/>
        </w:rPr>
      </w:r>
    </w:p>
    <w:p>
      <w:pPr>
        <w:pStyle w:val="Default"/>
        <w:numPr>
          <w:ilvl w:val="0"/>
          <w:numId w:val="6"/>
        </w:numPr>
        <w:spacing w:before="40" w:after="40"/>
        <w:ind w:left="360" w:hanging="426"/>
        <w:jc w:val="both"/>
        <w:rPr>
          <w:sz w:val="23"/>
          <w:szCs w:val="23"/>
          <w:lang w:val="ca-ES"/>
        </w:rPr>
      </w:pPr>
      <w:r>
        <w:rPr>
          <w:sz w:val="23"/>
          <w:szCs w:val="23"/>
          <w:lang w:val="ca-ES"/>
        </w:rPr>
        <w:t>El contractista s’haurà de sotmetre en tot cas a la normativa nacional i de la Unió Europea en matèria de protecció de dades, sense perjudici de l’establert  en l’últim paràgraf de l’apartat 1 de l’article 202 de la LCSP.</w:t>
      </w:r>
    </w:p>
    <w:p>
      <w:pPr>
        <w:pStyle w:val="Default"/>
        <w:numPr>
          <w:ilvl w:val="0"/>
          <w:numId w:val="6"/>
        </w:numPr>
        <w:spacing w:before="40" w:after="40"/>
        <w:ind w:left="360" w:hanging="426"/>
        <w:jc w:val="both"/>
        <w:rPr>
          <w:sz w:val="23"/>
          <w:szCs w:val="23"/>
          <w:lang w:val="ca-ES"/>
        </w:rPr>
      </w:pPr>
      <w:r>
        <w:rPr>
          <w:sz w:val="23"/>
          <w:szCs w:val="23"/>
          <w:lang w:val="ca-ES"/>
        </w:rPr>
        <w:t>L’empresa adjudicatària tindrà l’obligació de presentar, abans de la formalització del contracte, una declaració en la qual posi  de manifest on han d’estar ubicats els servidors i des d’on es prestaran els serveis associats als mateixos.</w:t>
      </w:r>
    </w:p>
    <w:p>
      <w:pPr>
        <w:pStyle w:val="Default"/>
        <w:numPr>
          <w:ilvl w:val="0"/>
          <w:numId w:val="6"/>
        </w:numPr>
        <w:spacing w:before="40" w:after="40"/>
        <w:ind w:left="360" w:hanging="426"/>
        <w:jc w:val="both"/>
        <w:rPr/>
      </w:pPr>
      <w:r>
        <w:rPr>
          <w:rFonts w:eastAsia="Times New Roman"/>
          <w:sz w:val="23"/>
          <w:szCs w:val="23"/>
          <w:lang w:val="ca-ES"/>
        </w:rPr>
        <w:t xml:space="preserve"> </w:t>
      </w:r>
      <w:r>
        <w:rPr>
          <w:sz w:val="23"/>
          <w:szCs w:val="23"/>
          <w:lang w:val="ca-ES"/>
        </w:rPr>
        <w:t xml:space="preserve">L’empresa adjudicatària estarà obligada a comunicar qualsevol canvi que es produeixi, al llarg  de la vida del contracte, de la informació facilitada en la declaració a què es refereix la lletra b) anterior. </w:t>
      </w:r>
    </w:p>
    <w:p>
      <w:pPr>
        <w:pStyle w:val="Default"/>
        <w:numPr>
          <w:ilvl w:val="0"/>
          <w:numId w:val="6"/>
        </w:numPr>
        <w:spacing w:before="40" w:after="40"/>
        <w:ind w:left="360" w:hanging="426"/>
        <w:jc w:val="both"/>
        <w:rPr>
          <w:sz w:val="22"/>
          <w:szCs w:val="22"/>
          <w:lang w:val="ca-ES" w:eastAsia="es-ES"/>
        </w:rPr>
      </w:pPr>
      <w:r>
        <w:rPr>
          <w:sz w:val="22"/>
          <w:szCs w:val="22"/>
          <w:lang w:val="ca-ES" w:eastAsia="es-ES"/>
        </w:rPr>
        <w:t>Per al cas que hi hagi subcontractació, el contractista principal haurà d’assumir la total responsabilitat de l'execució del contracte davant l'ajuntament pel que fa a l'obligació de submissió a la normativa nacional i de la Unió Europea en matèria de protecció de dades.</w:t>
      </w:r>
    </w:p>
    <w:p>
      <w:pPr>
        <w:pStyle w:val="Default"/>
        <w:numPr>
          <w:ilvl w:val="0"/>
          <w:numId w:val="6"/>
        </w:numPr>
        <w:spacing w:before="40" w:after="40"/>
        <w:ind w:left="360" w:hanging="426"/>
        <w:jc w:val="both"/>
        <w:rPr>
          <w:sz w:val="23"/>
          <w:szCs w:val="23"/>
          <w:lang w:val="ca-ES"/>
        </w:rPr>
      </w:pPr>
      <w:r>
        <w:rPr>
          <w:sz w:val="23"/>
          <w:szCs w:val="23"/>
          <w:lang w:val="ca-ES"/>
        </w:rPr>
        <w:t xml:space="preserve">Els licitadors hauran d’indicar en la seva oferta, si tenen previst subcontractar els servidors o els serveis associats als mateixos, el nom o el perfil empresarial, definit per referència a les condicions de solvència professional o tècnica, dels subcontractistes a  qui s’hagi d’encomanar la seva realització. </w:t>
      </w:r>
    </w:p>
    <w:p>
      <w:pPr>
        <w:pStyle w:val="Normal"/>
        <w:spacing w:before="40" w:after="40"/>
        <w:rPr>
          <w:sz w:val="22"/>
          <w:szCs w:val="22"/>
        </w:rPr>
      </w:pPr>
      <w:r>
        <w:rPr>
          <w:sz w:val="22"/>
          <w:szCs w:val="22"/>
        </w:rPr>
      </w:r>
    </w:p>
    <w:p>
      <w:pPr>
        <w:pStyle w:val="Normal"/>
        <w:spacing w:before="40" w:after="40"/>
        <w:jc w:val="both"/>
        <w:rPr>
          <w:sz w:val="22"/>
          <w:szCs w:val="22"/>
        </w:rPr>
      </w:pPr>
      <w:r>
        <w:rPr>
          <w:sz w:val="22"/>
          <w:szCs w:val="22"/>
        </w:rPr>
        <w:t>Aquestes obligacions tindran el caràcter d’obligacions contractuals essencials als efectes assenyalats a l’article 211.1f) de la LCSP.</w:t>
      </w:r>
    </w:p>
    <w:p>
      <w:pPr>
        <w:pStyle w:val="Normal"/>
        <w:spacing w:before="40" w:after="40"/>
        <w:jc w:val="both"/>
        <w:rPr>
          <w:sz w:val="22"/>
          <w:szCs w:val="22"/>
        </w:rPr>
      </w:pPr>
      <w:r>
        <w:rPr>
          <w:sz w:val="22"/>
          <w:szCs w:val="22"/>
        </w:rPr>
      </w:r>
    </w:p>
    <w:p>
      <w:pPr>
        <w:pStyle w:val="Encapalament7"/>
        <w:rPr/>
      </w:pPr>
      <w:r>
        <w:rPr>
          <w:szCs w:val="22"/>
        </w:rPr>
        <w:t>CINQUANTA-DOSENA</w:t>
      </w:r>
      <w:r>
        <w:rPr/>
        <w:t xml:space="preserve">.- Clàusules específiques en matèria de protecció de dades </w:t>
      </w:r>
    </w:p>
    <w:p>
      <w:pPr>
        <w:pStyle w:val="Normal"/>
        <w:spacing w:before="40" w:after="40"/>
        <w:jc w:val="both"/>
        <w:rPr>
          <w:b/>
          <w:b/>
          <w:sz w:val="22"/>
          <w:szCs w:val="22"/>
          <w:highlight w:val="red"/>
        </w:rPr>
      </w:pPr>
      <w:r>
        <w:rPr>
          <w:b/>
          <w:sz w:val="22"/>
          <w:szCs w:val="22"/>
          <w:highlight w:val="red"/>
        </w:rPr>
      </w:r>
    </w:p>
    <w:p>
      <w:pPr>
        <w:pStyle w:val="Normal"/>
        <w:widowControl w:val="false"/>
        <w:jc w:val="both"/>
        <w:rPr>
          <w:sz w:val="22"/>
          <w:szCs w:val="22"/>
        </w:rPr>
      </w:pPr>
      <w:r>
        <w:rPr>
          <w:sz w:val="22"/>
          <w:szCs w:val="22"/>
        </w:rPr>
        <w:t>Supòsit en que l’adjudicatari tingui accés a dades personals on s’hagi de fer o no tractament de les mateixes:</w:t>
      </w:r>
    </w:p>
    <w:p>
      <w:pPr>
        <w:pStyle w:val="Normal"/>
        <w:widowControl w:val="false"/>
        <w:jc w:val="both"/>
        <w:rPr>
          <w:sz w:val="22"/>
          <w:szCs w:val="22"/>
        </w:rPr>
      </w:pPr>
      <w:r>
        <w:rPr>
          <w:sz w:val="22"/>
          <w:szCs w:val="22"/>
        </w:rPr>
      </w:r>
    </w:p>
    <w:p>
      <w:pPr>
        <w:pStyle w:val="Normal"/>
        <w:jc w:val="both"/>
        <w:rPr/>
      </w:pPr>
      <w:r>
        <w:rPr>
          <w:sz w:val="22"/>
          <w:szCs w:val="22"/>
        </w:rPr>
        <w:t xml:space="preserve">L’empresa contractista i el personal que amb motiu de la realització de l’objecte del present </w:t>
      </w:r>
      <w:r>
        <w:rPr>
          <w:color w:val="000000"/>
          <w:sz w:val="22"/>
          <w:szCs w:val="22"/>
        </w:rPr>
        <w:t>contracte tingui coneixement o accés directe o indirecte a dades personals tractades per l’Ajuntament de Terrassa, té l’obligació de mantenir el deure de secret respecte aquesta informació. L’accés a les dades personals quedarà limitat exclusivament a les finalitats i usos que es prevegin en aquest plec. L‘obligació de mantenir el deure de secret es mantindrà fins i tot quan hagi finalitzat el contracte. L’empresa queda obligada a comunicar al seu personal aquest deure de secret i vetllar pel seu compliment.</w:t>
      </w:r>
    </w:p>
    <w:p>
      <w:pPr>
        <w:pStyle w:val="Normal"/>
        <w:jc w:val="center"/>
        <w:rPr>
          <w:color w:val="000000"/>
          <w:sz w:val="22"/>
          <w:szCs w:val="22"/>
        </w:rPr>
      </w:pPr>
      <w:r>
        <w:rPr>
          <w:color w:val="000000"/>
          <w:sz w:val="22"/>
          <w:szCs w:val="22"/>
        </w:rPr>
      </w:r>
    </w:p>
    <w:p>
      <w:pPr>
        <w:pStyle w:val="Normal"/>
        <w:widowControl w:val="false"/>
        <w:jc w:val="both"/>
        <w:rPr/>
      </w:pPr>
      <w:r>
        <w:rPr>
          <w:color w:val="000000"/>
          <w:sz w:val="22"/>
          <w:szCs w:val="22"/>
        </w:rPr>
        <w:t>En el cas que el personal de l’empresa incomplís el deure de secret, efectués una comunicació de dades a tercers, o les utilitzés per a qualsevol altra finalitat diferent a la de l’objecte del contracte, l’adjudicatària</w:t>
      </w:r>
      <w:r>
        <w:rPr>
          <w:color w:val="CE181E"/>
          <w:sz w:val="22"/>
          <w:szCs w:val="22"/>
        </w:rPr>
        <w:t xml:space="preserve"> </w:t>
      </w:r>
      <w:r>
        <w:rPr>
          <w:color w:val="000000"/>
          <w:sz w:val="22"/>
          <w:szCs w:val="22"/>
        </w:rPr>
        <w:t>s</w:t>
      </w:r>
      <w:r>
        <w:rPr>
          <w:sz w:val="22"/>
          <w:szCs w:val="22"/>
        </w:rPr>
        <w:t xml:space="preserve">erà considerada responsable d’acord amb la normativa vigent. </w:t>
      </w:r>
    </w:p>
    <w:p>
      <w:pPr>
        <w:pStyle w:val="Normal"/>
        <w:widowControl w:val="false"/>
        <w:jc w:val="both"/>
        <w:rPr>
          <w:color w:val="000000"/>
          <w:sz w:val="22"/>
          <w:szCs w:val="22"/>
        </w:rPr>
      </w:pPr>
      <w:r>
        <w:rPr>
          <w:color w:val="000000"/>
          <w:sz w:val="22"/>
          <w:szCs w:val="22"/>
        </w:rPr>
      </w:r>
    </w:p>
    <w:p>
      <w:pPr>
        <w:pStyle w:val="Normal"/>
        <w:widowControl w:val="false"/>
        <w:jc w:val="both"/>
        <w:rPr>
          <w:color w:val="000000"/>
          <w:sz w:val="22"/>
          <w:szCs w:val="22"/>
        </w:rPr>
      </w:pPr>
      <w:r>
        <w:rPr>
          <w:color w:val="000000"/>
          <w:sz w:val="22"/>
          <w:szCs w:val="22"/>
        </w:rPr>
      </w:r>
    </w:p>
    <w:p>
      <w:pPr>
        <w:pStyle w:val="Encapalament7"/>
        <w:rPr/>
      </w:pPr>
      <w:r>
        <w:rPr>
          <w:szCs w:val="22"/>
        </w:rPr>
        <w:t xml:space="preserve">CINQUANTA- TRESENA </w:t>
      </w:r>
      <w:r>
        <w:rPr/>
        <w:t>.- Confidencialitat</w:t>
      </w:r>
    </w:p>
    <w:p>
      <w:pPr>
        <w:pStyle w:val="Normal"/>
        <w:jc w:val="both"/>
        <w:rPr>
          <w:rFonts w:cs="Times New Roman"/>
          <w:color w:val="000000"/>
          <w:kern w:val="2"/>
          <w:sz w:val="22"/>
          <w:szCs w:val="24"/>
          <w:lang w:bidi="hi-IN"/>
        </w:rPr>
      </w:pPr>
      <w:r>
        <w:rPr>
          <w:rFonts w:cs="Times New Roman"/>
          <w:color w:val="000000"/>
          <w:kern w:val="2"/>
          <w:sz w:val="22"/>
          <w:szCs w:val="24"/>
          <w:lang w:bidi="hi-IN"/>
        </w:rPr>
      </w:r>
    </w:p>
    <w:p>
      <w:pPr>
        <w:pStyle w:val="Normal"/>
        <w:numPr>
          <w:ilvl w:val="0"/>
          <w:numId w:val="16"/>
        </w:numPr>
        <w:jc w:val="both"/>
        <w:rPr>
          <w:rFonts w:cs="Times New Roman"/>
          <w:color w:val="000000"/>
          <w:sz w:val="22"/>
          <w:szCs w:val="24"/>
          <w:lang w:bidi="hi-IN"/>
        </w:rPr>
      </w:pPr>
      <w:r>
        <w:rPr>
          <w:rFonts w:cs="Times New Roman"/>
          <w:b/>
          <w:color w:val="000000"/>
          <w:sz w:val="22"/>
          <w:szCs w:val="24"/>
          <w:lang w:bidi="hi-IN"/>
        </w:rPr>
        <w:t>En relació a la documentació que presenten els licitadors:</w:t>
      </w:r>
      <w:r>
        <w:rPr>
          <w:rFonts w:cs="Times New Roman"/>
          <w:color w:val="000000"/>
          <w:sz w:val="22"/>
          <w:szCs w:val="24"/>
          <w:lang w:bidi="hi-IN"/>
        </w:rPr>
        <w:t xml:space="preserve"> De conformitat amb el que estableix l'art. 133 de la LCSP, les empreses licitadores hauran d'indicar motivadament, de forma expressa i precisa, mitjançant memòria o informe tècnic raonat, subscrits tots dos per tècnic competent, quina informació o documents presentats  referits a secrets tècnics o comercials i aspectes confidencials de les ofertes, conforme els criteris establerts pel Tribunal de Justícia de la Unió Europea sobre l'abast de confidencialitat del "</w:t>
      </w:r>
      <w:r>
        <w:rPr>
          <w:color w:val="000000"/>
          <w:sz w:val="22"/>
          <w:szCs w:val="22"/>
          <w:shd w:fill="FFFFFF" w:val="clear"/>
        </w:rPr>
        <w:t xml:space="preserve"> know-how</w:t>
      </w:r>
      <w:r>
        <w:rPr>
          <w:rFonts w:cs="Times New Roman"/>
          <w:color w:val="000000"/>
          <w:sz w:val="22"/>
          <w:szCs w:val="24"/>
          <w:lang w:bidi="hi-IN"/>
        </w:rPr>
        <w:t xml:space="preserve"> " o secrets empresarials la difusió dels quals a tercers pugui ser contrària als seus interessos comercials legítims, perjudicar la lleial competència entre les empreses de el sector o bé estiguin compreses en les prohibicions establertes en la Llei de Protecció de Dades de Caràcter Personal, conforme al seu parer, són constitutius de ser considerats confidencials, i en el cas, d'estar sotmesa la informació al règim de Propietat Intel·lectual o de Propietat Industrial, a més, caldrà aportar les referències acreditatives de la seva inscripció i reconeixement en els corresponents registres. Per això, no seran admissibles declaracions genèriques de confidencialitat. A més de la justificació anteriorment referida, aquesta circumstància també s'ha de reflectir clarament (sobreimpresa, al marge o de qualsevol altra forma) en el propi document assenyalat com a tal. </w:t>
      </w:r>
    </w:p>
    <w:p>
      <w:pPr>
        <w:pStyle w:val="Normal"/>
        <w:jc w:val="both"/>
        <w:rPr>
          <w:sz w:val="22"/>
          <w:szCs w:val="22"/>
        </w:rPr>
      </w:pPr>
      <w:r>
        <w:rPr>
          <w:sz w:val="22"/>
          <w:szCs w:val="22"/>
        </w:rPr>
      </w:r>
    </w:p>
    <w:p>
      <w:pPr>
        <w:pStyle w:val="Normal"/>
        <w:numPr>
          <w:ilvl w:val="0"/>
          <w:numId w:val="16"/>
        </w:numPr>
        <w:jc w:val="both"/>
        <w:rPr>
          <w:rFonts w:cs="Times New Roman"/>
          <w:color w:val="000000"/>
          <w:sz w:val="22"/>
          <w:szCs w:val="24"/>
          <w:lang w:bidi="hi-IN"/>
        </w:rPr>
      </w:pPr>
      <w:r>
        <w:rPr>
          <w:rFonts w:cs="Times New Roman"/>
          <w:b/>
          <w:color w:val="000000"/>
          <w:sz w:val="22"/>
          <w:szCs w:val="24"/>
          <w:lang w:bidi="hi-IN"/>
        </w:rPr>
        <w:t>Obligació del contractista sobre la confidencialitat</w:t>
      </w:r>
      <w:r>
        <w:rPr/>
        <w:t>:</w:t>
      </w:r>
      <w:r>
        <w:rPr>
          <w:rFonts w:cs="Times New Roman"/>
          <w:color w:val="000000"/>
          <w:sz w:val="22"/>
          <w:szCs w:val="24"/>
          <w:lang w:bidi="hi-IN"/>
        </w:rPr>
        <w:t xml:space="preserve"> L’empresa contractista es compromet a mantenir la més estricta confidencialitat i reserva sobre el contingut dels serveis i productes desenvolupats per l’Ajuntament de Terrassa i, per tant, a no revelar a tercers, ni donar a conèixer, ni difondre, ni fer ús de la informació, documentació i/o productes als que el contractista tingui accés com a conseqüència de la prestació del servei contractat, sense autorització prèvia i expressa de l’Ajuntament de Terrassa. L’empresa resta obligada a comunicar al seu personal aquesta obligació i a vetllar pel seu compliment.</w:t>
      </w:r>
    </w:p>
    <w:p>
      <w:pPr>
        <w:pStyle w:val="Normal"/>
        <w:jc w:val="both"/>
        <w:rPr>
          <w:rFonts w:cs="Times New Roman"/>
          <w:color w:val="000000"/>
          <w:sz w:val="22"/>
          <w:szCs w:val="24"/>
          <w:lang w:bidi="hi-IN"/>
        </w:rPr>
      </w:pPr>
      <w:r>
        <w:rPr>
          <w:rFonts w:cs="Times New Roman"/>
          <w:color w:val="000000"/>
          <w:sz w:val="22"/>
          <w:szCs w:val="24"/>
          <w:lang w:bidi="hi-IN"/>
        </w:rPr>
      </w:r>
    </w:p>
    <w:p>
      <w:pPr>
        <w:pStyle w:val="Normal"/>
        <w:ind w:left="720" w:hanging="0"/>
        <w:jc w:val="both"/>
        <w:rPr>
          <w:rFonts w:cs="Times New Roman"/>
          <w:color w:val="000000"/>
          <w:sz w:val="22"/>
          <w:szCs w:val="24"/>
          <w:lang w:bidi="hi-IN"/>
        </w:rPr>
      </w:pPr>
      <w:r>
        <w:rPr>
          <w:rFonts w:cs="Times New Roman"/>
          <w:color w:val="000000"/>
          <w:sz w:val="22"/>
          <w:szCs w:val="24"/>
          <w:lang w:bidi="hi-IN"/>
        </w:rPr>
        <w:t>El contractista està obligat al deure de secret i a respectar el caràcter confidencial respecte de tota aquella informació, dades o antecedents que, no essent públics o notoris, estiguin relacionats amb l’objecte del contracte o en tingui coneixement amb ocasió del mateix, o que així expressament li indiqui l’entitat, o que per la seva pròpia naturalesa hagi de ser tractada com tal. Aquest deure de confidencialitat es mantindrà durant un termini mínim de 5 anys.</w:t>
      </w:r>
    </w:p>
    <w:p>
      <w:pPr>
        <w:pStyle w:val="Normal"/>
        <w:jc w:val="both"/>
        <w:rPr>
          <w:rFonts w:cs="Times New Roman"/>
          <w:color w:val="000000"/>
          <w:sz w:val="22"/>
          <w:szCs w:val="24"/>
          <w:lang w:bidi="hi-IN"/>
        </w:rPr>
      </w:pPr>
      <w:r>
        <w:rPr>
          <w:rFonts w:cs="Times New Roman"/>
          <w:color w:val="000000"/>
          <w:sz w:val="22"/>
          <w:szCs w:val="24"/>
          <w:lang w:bidi="hi-IN"/>
        </w:rPr>
      </w:r>
    </w:p>
    <w:p>
      <w:pPr>
        <w:pStyle w:val="Normal"/>
        <w:ind w:left="720" w:hanging="0"/>
        <w:jc w:val="both"/>
        <w:rPr>
          <w:rFonts w:cs="Times New Roman"/>
          <w:color w:val="000000"/>
          <w:sz w:val="22"/>
          <w:szCs w:val="24"/>
          <w:lang w:bidi="hi-IN"/>
        </w:rPr>
      </w:pPr>
      <w:r>
        <w:rPr>
          <w:rFonts w:cs="Times New Roman"/>
          <w:color w:val="000000"/>
          <w:sz w:val="22"/>
          <w:szCs w:val="24"/>
          <w:lang w:bidi="hi-IN"/>
        </w:rPr>
        <w:t>El no compliment d’aquesta clàusula donarà dret a l’Ajuntament de Terrassa a una indemnització pel perjudici causat.</w:t>
      </w:r>
    </w:p>
    <w:p>
      <w:pPr>
        <w:pStyle w:val="Normal"/>
        <w:jc w:val="both"/>
        <w:rPr>
          <w:rFonts w:cs="Times New Roman"/>
          <w:color w:val="000000"/>
          <w:kern w:val="2"/>
          <w:sz w:val="22"/>
          <w:szCs w:val="24"/>
          <w:lang w:bidi="hi-IN"/>
        </w:rPr>
      </w:pPr>
      <w:r>
        <w:rPr>
          <w:rFonts w:cs="Times New Roman"/>
          <w:color w:val="000000"/>
          <w:kern w:val="2"/>
          <w:sz w:val="22"/>
          <w:szCs w:val="24"/>
          <w:lang w:bidi="hi-IN"/>
        </w:rPr>
      </w:r>
    </w:p>
    <w:p>
      <w:pPr>
        <w:pStyle w:val="Normal"/>
        <w:jc w:val="both"/>
        <w:rPr>
          <w:rFonts w:cs="Times New Roman"/>
          <w:color w:val="000000"/>
          <w:kern w:val="2"/>
          <w:sz w:val="22"/>
          <w:szCs w:val="24"/>
          <w:lang w:bidi="hi-IN"/>
        </w:rPr>
      </w:pPr>
      <w:r>
        <w:rPr>
          <w:rFonts w:cs="Times New Roman"/>
          <w:color w:val="000000"/>
          <w:kern w:val="2"/>
          <w:sz w:val="22"/>
          <w:szCs w:val="24"/>
          <w:lang w:bidi="hi-IN"/>
        </w:rPr>
      </w:r>
    </w:p>
    <w:p>
      <w:pPr>
        <w:pStyle w:val="Normal"/>
        <w:jc w:val="both"/>
        <w:rPr>
          <w:b/>
          <w:b/>
          <w:sz w:val="22"/>
          <w:szCs w:val="22"/>
        </w:rPr>
      </w:pPr>
      <w:r>
        <w:rPr>
          <w:b/>
          <w:sz w:val="22"/>
          <w:szCs w:val="22"/>
        </w:rPr>
        <w:t>CINQUANTA- QUATRENA.- Prerrogatives de l’òrgan de contractació</w:t>
      </w:r>
    </w:p>
    <w:p>
      <w:pPr>
        <w:pStyle w:val="Normal"/>
        <w:jc w:val="both"/>
        <w:rPr>
          <w:b/>
          <w:b/>
          <w:sz w:val="22"/>
          <w:szCs w:val="22"/>
        </w:rPr>
      </w:pPr>
      <w:r>
        <w:rPr>
          <w:b/>
          <w:sz w:val="22"/>
          <w:szCs w:val="22"/>
        </w:rPr>
      </w:r>
    </w:p>
    <w:p>
      <w:pPr>
        <w:pStyle w:val="Normal"/>
        <w:jc w:val="both"/>
        <w:rPr/>
      </w:pPr>
      <w:r>
        <w:rPr>
          <w:sz w:val="22"/>
          <w:szCs w:val="22"/>
        </w:rPr>
        <w:t xml:space="preserve">L’òrgan de contractació té la prerrogativa d’interpretar el contracte, resoldre els dubtes que ofereixi el seu compliment, modificar-lo per raons d’interès públic, acordar-ne la resolució i determinar els efectes d’aquesta, </w:t>
      </w:r>
      <w:r>
        <w:rPr>
          <w:color w:val="000000"/>
          <w:sz w:val="22"/>
          <w:szCs w:val="22"/>
        </w:rPr>
        <w:t>suspendre l’execució, acordar la seva resolució i determinar-ne els efectes.</w:t>
      </w:r>
    </w:p>
    <w:p>
      <w:pPr>
        <w:pStyle w:val="Normal"/>
        <w:jc w:val="both"/>
        <w:rPr>
          <w:color w:val="000000"/>
          <w:sz w:val="22"/>
          <w:szCs w:val="22"/>
        </w:rPr>
      </w:pPr>
      <w:r>
        <w:rPr>
          <w:color w:val="000000"/>
          <w:sz w:val="22"/>
          <w:szCs w:val="22"/>
        </w:rPr>
      </w:r>
    </w:p>
    <w:p>
      <w:pPr>
        <w:pStyle w:val="Normal"/>
        <w:jc w:val="both"/>
        <w:rPr>
          <w:sz w:val="22"/>
          <w:szCs w:val="22"/>
        </w:rPr>
      </w:pPr>
      <w:r>
        <w:rPr>
          <w:sz w:val="22"/>
          <w:szCs w:val="22"/>
        </w:rPr>
        <w:t>Així mateix, l’òrgan de contractació té les facultats d’inspecció de les activitats desenvolupades per l’empresa contractista durant l’execució del contracte, en els termes i amb els límits que estableix la LCSP.</w:t>
      </w:r>
    </w:p>
    <w:p>
      <w:pPr>
        <w:pStyle w:val="Normal"/>
        <w:jc w:val="both"/>
        <w:rPr>
          <w:sz w:val="22"/>
          <w:szCs w:val="22"/>
        </w:rPr>
      </w:pPr>
      <w:r>
        <w:rPr>
          <w:sz w:val="22"/>
          <w:szCs w:val="22"/>
        </w:rPr>
      </w:r>
    </w:p>
    <w:p>
      <w:pPr>
        <w:pStyle w:val="Normal"/>
        <w:jc w:val="both"/>
        <w:rPr>
          <w:sz w:val="22"/>
          <w:szCs w:val="22"/>
        </w:rPr>
      </w:pPr>
      <w:r>
        <w:rPr>
          <w:sz w:val="22"/>
          <w:szCs w:val="22"/>
        </w:rPr>
        <w:t>Els acords que adopti l’òrgan de contractació en l’exercici de les prerrogatives esmentades exhaureixen la via administrativa i són immediatament executius.</w:t>
      </w:r>
    </w:p>
    <w:p>
      <w:pPr>
        <w:pStyle w:val="Normal"/>
        <w:jc w:val="both"/>
        <w:rPr>
          <w:sz w:val="22"/>
          <w:szCs w:val="22"/>
        </w:rPr>
      </w:pPr>
      <w:r>
        <w:rPr>
          <w:sz w:val="22"/>
          <w:szCs w:val="22"/>
        </w:rPr>
      </w:r>
    </w:p>
    <w:p>
      <w:pPr>
        <w:pStyle w:val="Normal"/>
        <w:jc w:val="both"/>
        <w:rPr>
          <w:sz w:val="22"/>
          <w:szCs w:val="22"/>
        </w:rPr>
      </w:pPr>
      <w:r>
        <w:rPr>
          <w:sz w:val="22"/>
          <w:szCs w:val="22"/>
        </w:rPr>
        <w:t xml:space="preserve">L’exercici de les prerrogatives de l’Administració es durà a terme mitjançant el procediment establert en l’article 191 de la LCSP. </w:t>
      </w:r>
    </w:p>
    <w:p>
      <w:pPr>
        <w:pStyle w:val="Normal"/>
        <w:jc w:val="both"/>
        <w:rPr>
          <w:sz w:val="22"/>
          <w:szCs w:val="22"/>
        </w:rPr>
      </w:pPr>
      <w:r>
        <w:rPr>
          <w:sz w:val="22"/>
          <w:szCs w:val="22"/>
        </w:rPr>
      </w:r>
    </w:p>
    <w:p>
      <w:pPr>
        <w:pStyle w:val="Normal"/>
        <w:jc w:val="both"/>
        <w:rPr>
          <w:b/>
          <w:b/>
          <w:color w:val="000000"/>
          <w:sz w:val="22"/>
          <w:szCs w:val="22"/>
        </w:rPr>
      </w:pPr>
      <w:r>
        <w:rPr>
          <w:b/>
          <w:color w:val="000000"/>
          <w:sz w:val="22"/>
          <w:szCs w:val="22"/>
        </w:rPr>
      </w:r>
    </w:p>
    <w:p>
      <w:pPr>
        <w:pStyle w:val="Normal"/>
        <w:jc w:val="both"/>
        <w:rPr>
          <w:b/>
          <w:b/>
          <w:sz w:val="22"/>
          <w:szCs w:val="22"/>
        </w:rPr>
      </w:pPr>
      <w:r>
        <w:rPr>
          <w:b/>
          <w:sz w:val="22"/>
          <w:szCs w:val="22"/>
        </w:rPr>
        <w:t>CINQUANTA- CINQUENA .- Resolució d’incidències</w:t>
      </w:r>
    </w:p>
    <w:p>
      <w:pPr>
        <w:pStyle w:val="Normal"/>
        <w:suppressAutoHyphens w:val="false"/>
        <w:rPr>
          <w:b/>
          <w:b/>
          <w:i/>
          <w:i/>
          <w:sz w:val="22"/>
          <w:highlight w:val="green"/>
        </w:rPr>
      </w:pPr>
      <w:r>
        <w:rPr>
          <w:b/>
          <w:i/>
          <w:sz w:val="22"/>
          <w:highlight w:val="green"/>
        </w:rPr>
      </w:r>
    </w:p>
    <w:p>
      <w:pPr>
        <w:pStyle w:val="Normal"/>
        <w:jc w:val="both"/>
        <w:rPr>
          <w:sz w:val="22"/>
          <w:szCs w:val="22"/>
        </w:rPr>
      </w:pPr>
      <w:r>
        <w:rPr>
          <w:sz w:val="22"/>
          <w:szCs w:val="22"/>
        </w:rPr>
        <w:t>Les incidències que puguin sorgir entre l’Administració i l’empresa contractista en l’execució del contracte, per diferències en la interpretació del que s’ha convingut o bé per la necessitat de modificar les condicions contractuals, es tramitaran mitjançant expedient contradictori que inclourà necessàriament les actuacions descrites en l’article 97 del RGLCAP.</w:t>
      </w:r>
    </w:p>
    <w:p>
      <w:pPr>
        <w:pStyle w:val="Normal"/>
        <w:jc w:val="both"/>
        <w:rPr>
          <w:sz w:val="22"/>
          <w:szCs w:val="22"/>
        </w:rPr>
      </w:pPr>
      <w:r>
        <w:rPr>
          <w:sz w:val="22"/>
          <w:szCs w:val="22"/>
        </w:rPr>
      </w:r>
    </w:p>
    <w:p>
      <w:pPr>
        <w:pStyle w:val="Normal"/>
        <w:jc w:val="both"/>
        <w:rPr>
          <w:sz w:val="22"/>
          <w:szCs w:val="22"/>
        </w:rPr>
      </w:pPr>
      <w:r>
        <w:rPr>
          <w:sz w:val="22"/>
          <w:szCs w:val="22"/>
        </w:rPr>
        <w:t>Llevat que motius d’interès públic ho justifiquin o la naturalesa de les incidències ho requereixi, la seva tramitació no determinarà la paralització del contracte.</w:t>
      </w:r>
    </w:p>
    <w:p>
      <w:pPr>
        <w:pStyle w:val="Normal"/>
        <w:suppressAutoHyphens w:val="false"/>
        <w:jc w:val="both"/>
        <w:rPr>
          <w:b/>
          <w:b/>
          <w:color w:val="000000"/>
          <w:sz w:val="22"/>
          <w:szCs w:val="22"/>
        </w:rPr>
      </w:pPr>
      <w:r>
        <w:rPr>
          <w:b/>
          <w:color w:val="000000"/>
          <w:sz w:val="22"/>
          <w:szCs w:val="22"/>
        </w:rPr>
      </w:r>
    </w:p>
    <w:p>
      <w:pPr>
        <w:pStyle w:val="Normal"/>
        <w:jc w:val="both"/>
        <w:rPr>
          <w:b/>
          <w:b/>
          <w:color w:val="000000"/>
          <w:sz w:val="22"/>
          <w:szCs w:val="22"/>
        </w:rPr>
      </w:pPr>
      <w:r>
        <w:rPr>
          <w:b/>
          <w:color w:val="000000"/>
          <w:sz w:val="22"/>
          <w:szCs w:val="22"/>
        </w:rPr>
      </w:r>
    </w:p>
    <w:p>
      <w:pPr>
        <w:pStyle w:val="Normal"/>
        <w:jc w:val="both"/>
        <w:rPr>
          <w:b/>
          <w:b/>
          <w:sz w:val="22"/>
          <w:szCs w:val="22"/>
        </w:rPr>
      </w:pPr>
      <w:r>
        <w:rPr>
          <w:b/>
          <w:sz w:val="22"/>
          <w:szCs w:val="22"/>
        </w:rPr>
        <w:t>CINQUANTA- SISENA.- Jurisdicció</w:t>
      </w:r>
    </w:p>
    <w:p>
      <w:pPr>
        <w:pStyle w:val="Normal"/>
        <w:jc w:val="both"/>
        <w:rPr>
          <w:b/>
          <w:b/>
          <w:sz w:val="22"/>
          <w:szCs w:val="22"/>
        </w:rPr>
      </w:pPr>
      <w:r>
        <w:rPr>
          <w:b/>
          <w:sz w:val="22"/>
          <w:szCs w:val="22"/>
        </w:rPr>
      </w:r>
    </w:p>
    <w:p>
      <w:pPr>
        <w:pStyle w:val="Normal"/>
        <w:jc w:val="both"/>
        <w:rPr>
          <w:sz w:val="22"/>
          <w:szCs w:val="22"/>
        </w:rPr>
      </w:pPr>
      <w:r>
        <w:rPr>
          <w:sz w:val="22"/>
          <w:szCs w:val="22"/>
        </w:rPr>
        <w:t xml:space="preserve">L’ordre jurisdiccional contenciós administratiu és el competent per resoldre les qüestions litigioses relatives a la preparació, adjudicació, efectes, compliment i extinció dels contractes administratius. </w:t>
      </w:r>
    </w:p>
    <w:p>
      <w:pPr>
        <w:pStyle w:val="Normal"/>
        <w:jc w:val="both"/>
        <w:rPr>
          <w:sz w:val="22"/>
          <w:szCs w:val="22"/>
        </w:rPr>
      </w:pPr>
      <w:r>
        <w:rPr>
          <w:sz w:val="22"/>
          <w:szCs w:val="22"/>
        </w:rPr>
      </w:r>
    </w:p>
    <w:p>
      <w:pPr>
        <w:pStyle w:val="Normal"/>
        <w:jc w:val="both"/>
        <w:rPr>
          <w:b/>
          <w:b/>
          <w:color w:val="000000"/>
          <w:sz w:val="22"/>
          <w:szCs w:val="22"/>
        </w:rPr>
      </w:pPr>
      <w:r>
        <w:rPr>
          <w:b/>
          <w:color w:val="000000"/>
          <w:sz w:val="22"/>
          <w:szCs w:val="22"/>
        </w:rPr>
      </w:r>
    </w:p>
    <w:p>
      <w:pPr>
        <w:pStyle w:val="Normal"/>
        <w:jc w:val="both"/>
        <w:rPr>
          <w:b/>
          <w:b/>
          <w:sz w:val="22"/>
          <w:szCs w:val="22"/>
        </w:rPr>
      </w:pPr>
      <w:r>
        <w:rPr>
          <w:b/>
          <w:sz w:val="22"/>
          <w:szCs w:val="22"/>
        </w:rPr>
        <w:t xml:space="preserve">CINQUANTA- SETENA.- Recursos contra actes de l’òrgan de contractació </w:t>
      </w:r>
    </w:p>
    <w:p>
      <w:pPr>
        <w:pStyle w:val="Titol1"/>
        <w:keepNext w:val="false"/>
        <w:spacing w:lineRule="auto" w:line="240"/>
        <w:rPr>
          <w:rFonts w:ascii="Arial-BoldMT;Arial" w:hAnsi="Arial-BoldMT;Arial" w:cs="Arial-BoldMT;Arial"/>
          <w:bCs/>
          <w:color w:val="000000"/>
          <w:szCs w:val="22"/>
          <w:lang w:eastAsia="es-ES"/>
        </w:rPr>
      </w:pPr>
      <w:r>
        <w:rPr>
          <w:rFonts w:cs="Arial-BoldMT;Arial" w:ascii="Arial-BoldMT;Arial" w:hAnsi="Arial-BoldMT;Arial"/>
          <w:bCs/>
          <w:color w:val="000000"/>
          <w:szCs w:val="22"/>
          <w:lang w:eastAsia="es-ES"/>
        </w:rPr>
      </w:r>
    </w:p>
    <w:p>
      <w:pPr>
        <w:pStyle w:val="Titol1"/>
        <w:spacing w:lineRule="auto" w:line="240"/>
        <w:rPr/>
      </w:pPr>
      <w:r>
        <w:rPr>
          <w:b w:val="false"/>
        </w:rPr>
        <w:t>Els anuncis de licitació, els plecs i els documents contractuals que estableixin les condicions que hagin de regir la contractació; els actes de tràmit adoptats en el procediment d’adjudicació, sempre que aquests decideixin directament o indirectament sobre l’adjudicació, determinin la impossibilitat de continuar el procediment o produeixin una indefensió o un perjudici irreparable a drets o interessos legítims; els acords d’adjudicació, i les modificacions basades en l’incompliment del que estableixen els articles 204 i 205 d’aquesta Llei, perquè s’entén que la modificació havia de ser objecte d’una adjudicació nova, són susceptibles de recurs especial en matèria de contractació.</w:t>
      </w:r>
    </w:p>
    <w:p>
      <w:pPr>
        <w:pStyle w:val="Titol1"/>
        <w:spacing w:lineRule="auto" w:line="240"/>
        <w:rPr>
          <w:b w:val="false"/>
          <w:b w:val="false"/>
        </w:rPr>
      </w:pPr>
      <w:r>
        <w:rPr>
          <w:b w:val="false"/>
        </w:rPr>
      </w:r>
    </w:p>
    <w:p>
      <w:pPr>
        <w:pStyle w:val="Titol1"/>
        <w:spacing w:lineRule="auto" w:line="240"/>
        <w:rPr>
          <w:b w:val="false"/>
          <w:b w:val="false"/>
        </w:rPr>
      </w:pPr>
      <w:r>
        <w:rPr>
          <w:b w:val="false"/>
        </w:rPr>
        <w:t>La interposició del recurs especial en matèria de contractació té caràcter potestatiu i és gratuït per als recurrents.</w:t>
      </w:r>
    </w:p>
    <w:p>
      <w:pPr>
        <w:pStyle w:val="Normal"/>
        <w:jc w:val="both"/>
        <w:rPr>
          <w:b/>
          <w:b/>
          <w:sz w:val="22"/>
          <w:szCs w:val="22"/>
        </w:rPr>
      </w:pPr>
      <w:r>
        <w:rPr>
          <w:b/>
          <w:sz w:val="22"/>
          <w:szCs w:val="22"/>
        </w:rPr>
      </w:r>
    </w:p>
    <w:p>
      <w:pPr>
        <w:pStyle w:val="Normal"/>
        <w:jc w:val="both"/>
        <w:rPr>
          <w:b/>
          <w:b/>
          <w:sz w:val="22"/>
          <w:szCs w:val="22"/>
        </w:rPr>
      </w:pPr>
      <w:r>
        <w:rPr>
          <w:b/>
          <w:sz w:val="22"/>
          <w:szCs w:val="22"/>
        </w:rPr>
      </w:r>
    </w:p>
    <w:p>
      <w:pPr>
        <w:pStyle w:val="Normal"/>
        <w:jc w:val="both"/>
        <w:rPr/>
      </w:pPr>
      <w:r>
        <w:rPr>
          <w:b/>
          <w:sz w:val="22"/>
          <w:szCs w:val="22"/>
        </w:rPr>
        <w:t>CINQUANTA- VUITENA.-</w:t>
      </w:r>
      <w:r>
        <w:rPr>
          <w:sz w:val="22"/>
          <w:szCs w:val="22"/>
        </w:rPr>
        <w:t xml:space="preserve"> </w:t>
      </w:r>
      <w:r>
        <w:rPr>
          <w:b/>
          <w:sz w:val="22"/>
          <w:szCs w:val="22"/>
        </w:rPr>
        <w:t>Sindicatura Municipal de Greuges</w:t>
      </w:r>
    </w:p>
    <w:p>
      <w:pPr>
        <w:pStyle w:val="Normal"/>
        <w:jc w:val="both"/>
        <w:rPr>
          <w:i/>
          <w:i/>
          <w:sz w:val="22"/>
          <w:szCs w:val="22"/>
        </w:rPr>
      </w:pPr>
      <w:r>
        <w:rPr>
          <w:i/>
          <w:sz w:val="22"/>
          <w:szCs w:val="22"/>
        </w:rPr>
      </w:r>
    </w:p>
    <w:p>
      <w:pPr>
        <w:pStyle w:val="Encapalament7"/>
        <w:rPr>
          <w:b w:val="false"/>
          <w:b w:val="false"/>
          <w:szCs w:val="22"/>
        </w:rPr>
      </w:pPr>
      <w:r>
        <w:rPr>
          <w:b w:val="false"/>
          <w:szCs w:val="22"/>
        </w:rPr>
        <w:t>En compliment del que preveu la disposició addicional segona del Reglament de la Sindicatura Municipal de Greuges de Terrassa, en cas de presentar-se queixes davant aquest òrgan com a conseqüència  de l’execució del contracte objecte de la present licitació, l’empresa adjudicatària tindrà l’obligació de facilitar, amb caràcter preferent i urgent, la col·laboració i l’auxili necessari per al correcte desenvolupament de les funcions que la Sindicatura té encomanades, així com elaborar i presentar un informe escrit sobre els fets que sustentin la queixa, en cas que així sigui requerit.</w:t>
      </w:r>
    </w:p>
    <w:p>
      <w:pPr>
        <w:pStyle w:val="Normal"/>
        <w:rPr/>
      </w:pPr>
      <w:r>
        <w:rPr/>
      </w:r>
    </w:p>
    <w:p>
      <w:pPr>
        <w:pStyle w:val="Normal"/>
        <w:rPr/>
      </w:pPr>
      <w:r>
        <w:rPr/>
      </w:r>
    </w:p>
    <w:p>
      <w:pPr>
        <w:pStyle w:val="Normal"/>
        <w:rPr/>
      </w:pPr>
      <w:r>
        <w:rPr/>
      </w:r>
    </w:p>
    <w:p>
      <w:pPr>
        <w:pStyle w:val="Normal"/>
        <w:widowControl w:val="false"/>
        <w:tabs>
          <w:tab w:val="clear" w:pos="720"/>
          <w:tab w:val="left" w:pos="1418" w:leader="none"/>
        </w:tabs>
        <w:ind w:left="34" w:hanging="34"/>
        <w:jc w:val="both"/>
        <w:rPr>
          <w:b/>
          <w:b/>
          <w:sz w:val="22"/>
          <w:szCs w:val="22"/>
        </w:rPr>
      </w:pPr>
      <w:r>
        <w:rPr>
          <w:b/>
          <w:sz w:val="22"/>
          <w:szCs w:val="22"/>
          <w:highlight w:val="white"/>
        </w:rPr>
        <w:t>Eva Soria Gil</w:t>
      </w:r>
    </w:p>
    <w:p>
      <w:pPr>
        <w:pStyle w:val="Normal"/>
        <w:widowControl w:val="false"/>
        <w:tabs>
          <w:tab w:val="clear" w:pos="720"/>
          <w:tab w:val="left" w:pos="1418" w:leader="none"/>
        </w:tabs>
        <w:ind w:left="34" w:hanging="34"/>
        <w:jc w:val="both"/>
        <w:rPr>
          <w:b/>
          <w:b/>
          <w:sz w:val="22"/>
          <w:szCs w:val="22"/>
        </w:rPr>
      </w:pPr>
      <w:r>
        <w:rPr>
          <w:b/>
          <w:sz w:val="22"/>
          <w:szCs w:val="22"/>
          <w:highlight w:val="white"/>
        </w:rPr>
        <w:t xml:space="preserve">Cap de la Secció de  Serveis i Subministraments </w:t>
      </w:r>
    </w:p>
    <w:p>
      <w:pPr>
        <w:pStyle w:val="Normal"/>
        <w:widowControl w:val="false"/>
        <w:tabs>
          <w:tab w:val="clear" w:pos="720"/>
          <w:tab w:val="left" w:pos="1418" w:leader="none"/>
        </w:tabs>
        <w:ind w:left="34" w:hanging="34"/>
        <w:jc w:val="both"/>
        <w:rPr>
          <w:b/>
          <w:b/>
          <w:sz w:val="22"/>
          <w:szCs w:val="22"/>
        </w:rPr>
      </w:pPr>
      <w:r>
        <w:rPr>
          <w:b/>
          <w:sz w:val="22"/>
          <w:szCs w:val="22"/>
          <w:highlight w:val="white"/>
        </w:rPr>
        <w:t>del Servei de Contractació</w:t>
      </w:r>
    </w:p>
    <w:p>
      <w:pPr>
        <w:pStyle w:val="Normal"/>
        <w:rPr/>
      </w:pPr>
      <w:r>
        <w:rPr/>
      </w:r>
    </w:p>
    <w:p>
      <w:pPr>
        <w:pStyle w:val="Normal"/>
        <w:rPr>
          <w:b/>
          <w:b/>
          <w:sz w:val="22"/>
          <w:szCs w:val="22"/>
        </w:rPr>
      </w:pPr>
      <w:r>
        <w:rPr>
          <w:b/>
          <w:sz w:val="22"/>
          <w:szCs w:val="22"/>
        </w:rPr>
      </w:r>
    </w:p>
    <w:p>
      <w:pPr>
        <w:pStyle w:val="Normal"/>
        <w:jc w:val="both"/>
        <w:rPr>
          <w:sz w:val="22"/>
          <w:szCs w:val="22"/>
          <w:highlight w:val="yellow"/>
        </w:rPr>
      </w:pPr>
      <w:r>
        <w:rPr>
          <w:sz w:val="22"/>
          <w:szCs w:val="22"/>
          <w:highlight w:val="yellow"/>
        </w:rPr>
      </w:r>
    </w:p>
    <w:p>
      <w:pPr>
        <w:pStyle w:val="Normal"/>
        <w:jc w:val="both"/>
        <w:rPr>
          <w:sz w:val="22"/>
          <w:szCs w:val="22"/>
          <w:highlight w:val="yellow"/>
        </w:rPr>
      </w:pPr>
      <w:r>
        <w:rPr>
          <w:sz w:val="22"/>
          <w:szCs w:val="22"/>
          <w:highlight w:val="yellow"/>
        </w:rPr>
      </w:r>
    </w:p>
    <w:p>
      <w:pPr>
        <w:pStyle w:val="Normal"/>
        <w:jc w:val="both"/>
        <w:rPr>
          <w:shd w:fill="auto" w:val="clear"/>
        </w:rPr>
      </w:pPr>
      <w:r>
        <w:rPr>
          <w:sz w:val="22"/>
          <w:szCs w:val="22"/>
          <w:shd w:fill="auto" w:val="clear"/>
        </w:rPr>
        <w:t xml:space="preserve">El secretari de l’Ajuntament i l’interventor general </w:t>
      </w:r>
      <w:r>
        <w:rPr>
          <w:rFonts w:eastAsia="NSimSun"/>
          <w:sz w:val="22"/>
          <w:szCs w:val="22"/>
          <w:shd w:fill="auto" w:val="clear"/>
        </w:rPr>
        <w:t>que subscriuen, informen favorablement l’expedient de contractació i aquest plec de clàusules administratives particulars que regirà aquesta contractació, en compliment dels articles 116 i 117 i del que disposa el punt 8è de la disposició addicional tercera, de la Llei de contractes del sector públic.</w:t>
      </w:r>
    </w:p>
    <w:p>
      <w:pPr>
        <w:pStyle w:val="Normal"/>
        <w:jc w:val="both"/>
        <w:rPr>
          <w:sz w:val="22"/>
          <w:szCs w:val="22"/>
          <w:shd w:fill="auto" w:val="clear"/>
        </w:rPr>
      </w:pPr>
      <w:r>
        <w:rPr>
          <w:sz w:val="22"/>
          <w:szCs w:val="22"/>
          <w:shd w:fill="auto" w:val="clear"/>
        </w:rPr>
      </w:r>
    </w:p>
    <w:p>
      <w:pPr>
        <w:pStyle w:val="Normal"/>
        <w:jc w:val="both"/>
        <w:rPr>
          <w:sz w:val="22"/>
          <w:szCs w:val="22"/>
          <w:shd w:fill="auto" w:val="clear"/>
        </w:rPr>
      </w:pPr>
      <w:r>
        <w:rPr>
          <w:sz w:val="22"/>
          <w:szCs w:val="22"/>
          <w:shd w:fill="auto" w:val="clear"/>
        </w:rPr>
      </w:r>
    </w:p>
    <w:p>
      <w:pPr>
        <w:pStyle w:val="Normal"/>
        <w:jc w:val="both"/>
        <w:rPr>
          <w:sz w:val="22"/>
          <w:szCs w:val="22"/>
          <w:shd w:fill="auto" w:val="clear"/>
        </w:rPr>
      </w:pPr>
      <w:r>
        <w:rPr>
          <w:sz w:val="22"/>
          <w:szCs w:val="22"/>
          <w:shd w:fill="auto" w:val="clear"/>
        </w:rPr>
      </w:r>
    </w:p>
    <w:tbl>
      <w:tblPr>
        <w:tblW w:w="8931" w:type="dxa"/>
        <w:jc w:val="left"/>
        <w:tblInd w:w="70" w:type="dxa"/>
        <w:tblLayout w:type="fixed"/>
        <w:tblCellMar>
          <w:top w:w="0" w:type="dxa"/>
          <w:left w:w="70" w:type="dxa"/>
          <w:bottom w:w="0" w:type="dxa"/>
          <w:right w:w="70" w:type="dxa"/>
        </w:tblCellMar>
        <w:tblLook w:firstRow="0" w:noVBand="0" w:lastRow="0" w:firstColumn="0" w:lastColumn="0" w:noHBand="0" w:val="0000"/>
      </w:tblPr>
      <w:tblGrid>
        <w:gridCol w:w="4820"/>
        <w:gridCol w:w="4110"/>
      </w:tblGrid>
      <w:tr>
        <w:trPr/>
        <w:tc>
          <w:tcPr>
            <w:tcW w:w="4820" w:type="dxa"/>
            <w:tcBorders/>
            <w:shd w:color="auto" w:fill="auto" w:val="clear"/>
            <w:vAlign w:val="center"/>
          </w:tcPr>
          <w:p>
            <w:pPr>
              <w:pStyle w:val="Encapalament7"/>
              <w:widowControl w:val="false"/>
              <w:numPr>
                <w:ilvl w:val="6"/>
                <w:numId w:val="23"/>
              </w:numPr>
              <w:tabs>
                <w:tab w:val="clear" w:pos="720"/>
                <w:tab w:val="left" w:pos="5670" w:leader="none"/>
              </w:tabs>
              <w:jc w:val="center"/>
              <w:rPr>
                <w:shd w:fill="auto" w:val="clear"/>
              </w:rPr>
            </w:pPr>
            <w:r>
              <w:rPr>
                <w:szCs w:val="22"/>
                <w:shd w:fill="auto" w:val="clear"/>
              </w:rPr>
              <w:t>Óscar González Ballesteros</w:t>
            </w:r>
          </w:p>
          <w:p>
            <w:pPr>
              <w:pStyle w:val="Encapalament7"/>
              <w:widowControl w:val="false"/>
              <w:numPr>
                <w:ilvl w:val="6"/>
                <w:numId w:val="23"/>
              </w:numPr>
              <w:tabs>
                <w:tab w:val="clear" w:pos="720"/>
                <w:tab w:val="left" w:pos="5670" w:leader="none"/>
              </w:tabs>
              <w:jc w:val="center"/>
              <w:rPr>
                <w:shd w:fill="auto" w:val="clear"/>
              </w:rPr>
            </w:pPr>
            <w:r>
              <w:rPr>
                <w:szCs w:val="22"/>
                <w:shd w:fill="auto" w:val="clear"/>
              </w:rPr>
              <w:t>Secretari general</w:t>
            </w:r>
          </w:p>
        </w:tc>
        <w:tc>
          <w:tcPr>
            <w:tcW w:w="4110" w:type="dxa"/>
            <w:tcBorders/>
            <w:shd w:color="auto" w:fill="auto" w:val="clear"/>
            <w:vAlign w:val="center"/>
          </w:tcPr>
          <w:p>
            <w:pPr>
              <w:pStyle w:val="Encapalament7"/>
              <w:widowControl w:val="false"/>
              <w:numPr>
                <w:ilvl w:val="6"/>
                <w:numId w:val="23"/>
              </w:numPr>
              <w:tabs>
                <w:tab w:val="clear" w:pos="720"/>
                <w:tab w:val="left" w:pos="5670" w:leader="none"/>
              </w:tabs>
              <w:jc w:val="center"/>
              <w:rPr>
                <w:shd w:fill="auto" w:val="clear"/>
              </w:rPr>
            </w:pPr>
            <w:r>
              <w:rPr>
                <w:szCs w:val="22"/>
                <w:shd w:fill="auto" w:val="clear"/>
              </w:rPr>
              <w:t>Javier Goytisolo Marquínez</w:t>
            </w:r>
          </w:p>
          <w:p>
            <w:pPr>
              <w:pStyle w:val="Encapalament7"/>
              <w:widowControl w:val="false"/>
              <w:numPr>
                <w:ilvl w:val="6"/>
                <w:numId w:val="23"/>
              </w:numPr>
              <w:tabs>
                <w:tab w:val="clear" w:pos="720"/>
                <w:tab w:val="left" w:pos="5670" w:leader="none"/>
              </w:tabs>
              <w:jc w:val="center"/>
              <w:rPr>
                <w:shd w:fill="auto" w:val="clear"/>
              </w:rPr>
            </w:pPr>
            <w:r>
              <w:rPr>
                <w:szCs w:val="22"/>
                <w:shd w:fill="auto" w:val="clear"/>
              </w:rPr>
              <w:t>Interventor general</w:t>
            </w:r>
          </w:p>
        </w:tc>
      </w:tr>
    </w:tbl>
    <w:p>
      <w:pPr>
        <w:pStyle w:val="Normal"/>
        <w:rPr>
          <w:sz w:val="22"/>
          <w:szCs w:val="22"/>
          <w:shd w:fill="auto" w:val="clear"/>
        </w:rPr>
      </w:pPr>
      <w:r>
        <w:rPr>
          <w:sz w:val="22"/>
          <w:szCs w:val="22"/>
          <w:shd w:fill="auto" w:val="clear"/>
        </w:rPr>
      </w:r>
    </w:p>
    <w:p>
      <w:pPr>
        <w:pStyle w:val="Normal"/>
        <w:rPr>
          <w:sz w:val="22"/>
        </w:rPr>
      </w:pPr>
      <w:r>
        <w:rPr>
          <w:sz w:val="22"/>
        </w:rPr>
      </w:r>
      <w:r>
        <w:br w:type="page"/>
      </w:r>
    </w:p>
    <w:p>
      <w:pPr>
        <w:pStyle w:val="Normal"/>
        <w:spacing w:lineRule="auto" w:line="360"/>
        <w:jc w:val="both"/>
        <w:rPr>
          <w:b/>
          <w:b/>
          <w:i/>
          <w:i/>
          <w:kern w:val="2"/>
          <w:sz w:val="22"/>
          <w:szCs w:val="22"/>
          <w:highlight w:val="green"/>
        </w:rPr>
      </w:pPr>
      <w:r>
        <w:rPr>
          <w:b/>
          <w:i/>
          <w:kern w:val="2"/>
          <w:sz w:val="22"/>
          <w:szCs w:val="22"/>
          <w:highlight w:val="green"/>
        </w:rPr>
      </w:r>
    </w:p>
    <w:p>
      <w:pPr>
        <w:pStyle w:val="Normal"/>
        <w:spacing w:lineRule="auto" w:line="360"/>
        <w:jc w:val="both"/>
        <w:rPr>
          <w:shd w:fill="auto" w:val="clear"/>
        </w:rPr>
      </w:pPr>
      <w:r>
        <w:rPr>
          <w:b/>
          <w:sz w:val="22"/>
          <w:shd w:fill="auto" w:val="clear"/>
        </w:rPr>
        <w:t xml:space="preserve">ANNEX 1 - MODEL DE PROPOSICIÓ – CRITERIS D’ADJUDICACIÓ QUANTIFICABLES MITJANÇANT LA MERA APLICACIÓ DE FÓRMULES (Sobre </w:t>
      </w:r>
      <w:r>
        <w:rPr>
          <w:b/>
          <w:sz w:val="22"/>
          <w:szCs w:val="22"/>
          <w:shd w:fill="auto" w:val="clear"/>
        </w:rPr>
        <w:t>2)</w:t>
      </w:r>
    </w:p>
    <w:p>
      <w:pPr>
        <w:pStyle w:val="PlainText"/>
        <w:spacing w:lineRule="auto" w:line="360"/>
        <w:jc w:val="both"/>
        <w:rPr>
          <w:rFonts w:ascii="Arial" w:hAnsi="Arial" w:cs="Arial"/>
          <w:b/>
          <w:b/>
          <w:sz w:val="22"/>
          <w:shd w:fill="auto" w:val="clear"/>
        </w:rPr>
      </w:pPr>
      <w:r>
        <w:rPr>
          <w:rFonts w:cs="Arial" w:ascii="Arial" w:hAnsi="Arial"/>
          <w:b/>
          <w:sz w:val="22"/>
          <w:shd w:fill="auto" w:val="clear"/>
        </w:rPr>
      </w:r>
    </w:p>
    <w:p>
      <w:pPr>
        <w:pStyle w:val="Normal"/>
        <w:spacing w:lineRule="auto" w:line="360"/>
        <w:jc w:val="both"/>
        <w:rPr/>
      </w:pPr>
      <w:r>
        <w:rPr>
          <w:sz w:val="22"/>
          <w:szCs w:val="22"/>
          <w:shd w:fill="auto" w:val="clear"/>
        </w:rPr>
        <w:t xml:space="preserve">En/Na …, amb Document Nacional d'Identitat núm. …, amb domicili a efectes de notificació a …, carrer ..., núm. …, en nom propi o en representació de l’empresa…amb NIF..., amb domicili social al carrer....núm..... de ....segons escriptura d’apoderament atorgada davant del notari de..., el Sr. ...., en data.... i núm del seu protocol..... assabentat/assabentada del procediment obert convocat per a l’adjudicació del contracte de servei de menjador per a les escoles bressol municipals  i les escoles municipals d’educació especial dependents del Servei d’Educació de l’Ajuntament de Terrassa amb criteris de contractació pública ecològica, manifesto </w:t>
      </w:r>
      <w:r>
        <w:rPr>
          <w:sz w:val="22"/>
          <w:szCs w:val="22"/>
        </w:rPr>
        <w:t>que accepto íntegrament els plecs de clàusules administratives particulars (PCAP) i de prescripcions tècniques (PPT), i em comprometo a complir les obligacions especificades en aquests plecs, d’acord amb la següent oferta:</w:t>
      </w:r>
    </w:p>
    <w:p>
      <w:pPr>
        <w:pStyle w:val="Normal"/>
        <w:suppressAutoHyphens w:val="false"/>
        <w:jc w:val="both"/>
        <w:rPr>
          <w:i/>
          <w:i/>
          <w:kern w:val="2"/>
          <w:sz w:val="22"/>
          <w:highlight w:val="green"/>
        </w:rPr>
      </w:pPr>
      <w:r>
        <w:rPr>
          <w:i/>
          <w:kern w:val="2"/>
          <w:sz w:val="22"/>
          <w:highlight w:val="green"/>
        </w:rPr>
      </w:r>
    </w:p>
    <w:p>
      <w:pPr>
        <w:pStyle w:val="Normal"/>
        <w:jc w:val="both"/>
        <w:rPr>
          <w:i/>
          <w:i/>
          <w:sz w:val="22"/>
          <w:szCs w:val="22"/>
          <w:highlight w:val="green"/>
        </w:rPr>
      </w:pPr>
      <w:r>
        <w:rPr>
          <w:i/>
          <w:sz w:val="22"/>
          <w:szCs w:val="22"/>
          <w:highlight w:val="green"/>
        </w:rPr>
      </w:r>
    </w:p>
    <w:tbl>
      <w:tblPr>
        <w:tblW w:w="9814" w:type="dxa"/>
        <w:jc w:val="left"/>
        <w:tblInd w:w="82" w:type="dxa"/>
        <w:tblLayout w:type="fixed"/>
        <w:tblCellMar>
          <w:top w:w="142" w:type="dxa"/>
          <w:left w:w="142" w:type="dxa"/>
          <w:bottom w:w="142" w:type="dxa"/>
          <w:right w:w="142" w:type="dxa"/>
        </w:tblCellMar>
      </w:tblPr>
      <w:tblGrid>
        <w:gridCol w:w="1475"/>
        <w:gridCol w:w="1138"/>
        <w:gridCol w:w="2082"/>
        <w:gridCol w:w="2269"/>
        <w:gridCol w:w="1083"/>
        <w:gridCol w:w="1767"/>
      </w:tblGrid>
      <w:tr>
        <w:trPr>
          <w:trHeight w:val="383" w:hRule="atLeast"/>
        </w:trPr>
        <w:tc>
          <w:tcPr>
            <w:tcW w:w="1475" w:type="dxa"/>
            <w:tcBorders>
              <w:top w:val="single" w:sz="8" w:space="0" w:color="FFFFFF"/>
              <w:left w:val="single" w:sz="8" w:space="0" w:color="FFFFFF"/>
              <w:bottom w:val="single" w:sz="8" w:space="0" w:color="FFFFFF"/>
            </w:tcBorders>
            <w:shd w:fill="EEEEEE" w:val="clear"/>
            <w:vAlign w:val="center"/>
          </w:tcPr>
          <w:p>
            <w:pPr>
              <w:pStyle w:val="Normal"/>
              <w:widowControl w:val="false"/>
              <w:tabs>
                <w:tab w:val="clear" w:pos="720"/>
              </w:tabs>
              <w:jc w:val="center"/>
              <w:rPr>
                <w:rFonts w:ascii="Arial" w:hAnsi="Arial" w:eastAsia="SimSun;宋体" w:cs="Arial"/>
                <w:b w:val="false"/>
                <w:b w:val="false"/>
                <w:bCs w:val="false"/>
                <w:color w:val="00000A"/>
                <w:kern w:val="0"/>
                <w:sz w:val="20"/>
                <w:szCs w:val="20"/>
                <w:lang w:val="ca-ES" w:eastAsia="zh-CN" w:bidi="ar-SA"/>
              </w:rPr>
            </w:pPr>
            <w:r>
              <w:rPr>
                <w:rFonts w:eastAsia="SimSun;宋体" w:cs="Arial"/>
                <w:b w:val="false"/>
                <w:bCs w:val="false"/>
                <w:color w:val="00000A"/>
                <w:kern w:val="0"/>
                <w:sz w:val="20"/>
                <w:szCs w:val="20"/>
                <w:lang w:val="ca-ES" w:eastAsia="zh-CN" w:bidi="ar-SA"/>
              </w:rPr>
              <w:t>15.1.1.1</w:t>
            </w:r>
          </w:p>
        </w:tc>
        <w:tc>
          <w:tcPr>
            <w:tcW w:w="8339" w:type="dxa"/>
            <w:gridSpan w:val="5"/>
            <w:tcBorders>
              <w:top w:val="single" w:sz="8" w:space="0" w:color="FFFFFF"/>
              <w:left w:val="single" w:sz="8" w:space="0" w:color="FFFFFF"/>
              <w:bottom w:val="single" w:sz="8" w:space="0" w:color="FFFFFF"/>
              <w:right w:val="single" w:sz="8" w:space="0" w:color="FFFFFF"/>
            </w:tcBorders>
            <w:shd w:fill="EEEEEE" w:val="clear"/>
            <w:vAlign w:val="center"/>
          </w:tcPr>
          <w:p>
            <w:pPr>
              <w:pStyle w:val="Normal"/>
              <w:widowControl w:val="false"/>
              <w:tabs>
                <w:tab w:val="clear" w:pos="720"/>
              </w:tabs>
              <w:jc w:val="left"/>
              <w:rPr/>
            </w:pPr>
            <w:r>
              <w:rPr/>
              <w:t>Incorporació d'aliments de producció ecològica en l'elaboració del menú, fins a un màxim de 35 punts</w:t>
            </w:r>
          </w:p>
        </w:tc>
      </w:tr>
      <w:tr>
        <w:trPr>
          <w:trHeight w:val="383" w:hRule="atLeast"/>
        </w:trPr>
        <w:tc>
          <w:tcPr>
            <w:tcW w:w="9814" w:type="dxa"/>
            <w:gridSpan w:val="6"/>
            <w:tcBorders>
              <w:left w:val="single" w:sz="8" w:space="0" w:color="FFFFFF"/>
              <w:bottom w:val="single" w:sz="8" w:space="0" w:color="FFFFFF"/>
              <w:right w:val="single" w:sz="8" w:space="0" w:color="FFFFFF"/>
            </w:tcBorders>
            <w:shd w:fill="EEEEEE" w:val="clear"/>
            <w:vAlign w:val="center"/>
          </w:tcPr>
          <w:p>
            <w:pPr>
              <w:pStyle w:val="Normal"/>
              <w:widowControl w:val="false"/>
              <w:jc w:val="both"/>
              <w:rPr>
                <w:sz w:val="20"/>
                <w:szCs w:val="20"/>
              </w:rPr>
            </w:pPr>
            <w:r>
              <w:rPr>
                <w:color w:val="000000"/>
                <w:sz w:val="20"/>
                <w:szCs w:val="20"/>
                <w:shd w:fill="auto" w:val="clear"/>
              </w:rPr>
              <w:t>Es valorarà</w:t>
            </w:r>
            <w:r>
              <w:rPr>
                <w:color w:val="000000"/>
                <w:sz w:val="20"/>
                <w:szCs w:val="20"/>
              </w:rPr>
              <w:t xml:space="preserve"> l’oferta d’aliments de producció ecològica per part de les empreses licitadores.</w:t>
            </w:r>
          </w:p>
          <w:p>
            <w:pPr>
              <w:pStyle w:val="Cosdeltext"/>
              <w:widowControl w:val="false"/>
              <w:ind w:left="0" w:right="328" w:hanging="0"/>
              <w:jc w:val="both"/>
              <w:rPr>
                <w:rFonts w:ascii="Arial" w:hAnsi="Arial" w:eastAsia="SimSun;宋体"/>
                <w:color w:val="000000"/>
                <w:sz w:val="20"/>
                <w:szCs w:val="20"/>
                <w:lang w:val="ca-ES" w:eastAsia="zh-CN"/>
              </w:rPr>
            </w:pPr>
            <w:r>
              <w:rPr>
                <w:rFonts w:eastAsia="SimSun;宋体" w:ascii="Arial" w:hAnsi="Arial"/>
                <w:color w:val="000000"/>
                <w:sz w:val="20"/>
                <w:szCs w:val="20"/>
                <w:lang w:val="ca-ES" w:eastAsia="zh-CN"/>
              </w:rPr>
            </w:r>
          </w:p>
          <w:p>
            <w:pPr>
              <w:pStyle w:val="Cosdeltext"/>
              <w:widowControl w:val="false"/>
              <w:suppressAutoHyphens w:val="true"/>
              <w:bidi w:val="0"/>
              <w:spacing w:before="0" w:after="0"/>
              <w:ind w:left="0" w:right="0" w:hanging="0"/>
              <w:jc w:val="both"/>
              <w:rPr>
                <w:sz w:val="20"/>
                <w:szCs w:val="20"/>
              </w:rPr>
            </w:pPr>
            <w:r>
              <w:rPr>
                <w:rFonts w:eastAsia="SimSun;宋体" w:ascii="Arial" w:hAnsi="Arial"/>
                <w:color w:val="000000"/>
                <w:sz w:val="20"/>
                <w:szCs w:val="20"/>
                <w:lang w:val="ca-ES" w:eastAsia="zh-CN"/>
              </w:rPr>
              <w:t>L'oferta de productes ecològics  implica que el producte s'ha de subministrar en tot el període vegetatiu (estacionalitat) indicat i per a tot el producte que requereixi l'escola (en tots els tipus de menús).</w:t>
            </w:r>
          </w:p>
          <w:p>
            <w:pPr>
              <w:pStyle w:val="Cosdeltext"/>
              <w:widowControl w:val="false"/>
              <w:ind w:left="0" w:right="328" w:hanging="0"/>
              <w:jc w:val="both"/>
              <w:rPr>
                <w:rFonts w:ascii="Arial" w:hAnsi="Arial" w:eastAsia="SimSun;宋体"/>
                <w:color w:val="000000"/>
                <w:sz w:val="20"/>
                <w:szCs w:val="20"/>
                <w:lang w:val="ca-ES" w:eastAsia="zh-CN"/>
              </w:rPr>
            </w:pPr>
            <w:r>
              <w:rPr>
                <w:rFonts w:eastAsia="SimSun;宋体" w:ascii="Arial" w:hAnsi="Arial"/>
                <w:color w:val="000000"/>
                <w:sz w:val="20"/>
                <w:szCs w:val="20"/>
                <w:lang w:val="ca-ES" w:eastAsia="zh-CN"/>
              </w:rPr>
            </w:r>
          </w:p>
          <w:p>
            <w:pPr>
              <w:pStyle w:val="Cosdeltext"/>
              <w:widowControl w:val="false"/>
              <w:suppressAutoHyphens w:val="true"/>
              <w:bidi w:val="0"/>
              <w:spacing w:before="0" w:after="0"/>
              <w:ind w:left="0" w:right="0" w:hanging="0"/>
              <w:jc w:val="both"/>
              <w:rPr>
                <w:sz w:val="20"/>
                <w:szCs w:val="20"/>
              </w:rPr>
            </w:pPr>
            <w:r>
              <w:rPr>
                <w:rFonts w:eastAsia="SimSun;宋体" w:ascii="Arial" w:hAnsi="Arial"/>
                <w:color w:val="000000"/>
                <w:sz w:val="20"/>
                <w:szCs w:val="20"/>
                <w:lang w:val="ca-ES" w:eastAsia="zh-CN"/>
              </w:rPr>
              <w:t xml:space="preserve">Els licitadores indicaran en la seva oferta </w:t>
            </w:r>
            <w:r>
              <w:rPr>
                <w:rFonts w:eastAsia="SimSun;宋体" w:ascii="Arial" w:hAnsi="Arial"/>
                <w:b/>
                <w:bCs/>
                <w:color w:val="000000"/>
                <w:sz w:val="20"/>
                <w:szCs w:val="20"/>
                <w:lang w:val="ca-ES" w:eastAsia="zh-CN"/>
              </w:rPr>
              <w:t xml:space="preserve">si ofereixen o no </w:t>
            </w:r>
            <w:r>
              <w:rPr>
                <w:rFonts w:eastAsia="SimSun;宋体" w:ascii="Arial" w:hAnsi="Arial"/>
                <w:color w:val="000000"/>
                <w:sz w:val="20"/>
                <w:szCs w:val="20"/>
                <w:lang w:val="ca-ES" w:eastAsia="zh-CN"/>
              </w:rPr>
              <w:t>els productes ecològics que s’indiquen.</w:t>
            </w:r>
          </w:p>
          <w:p>
            <w:pPr>
              <w:pStyle w:val="Cosdeltext"/>
              <w:widowControl w:val="false"/>
              <w:ind w:left="0" w:right="328" w:hanging="0"/>
              <w:jc w:val="both"/>
              <w:rPr>
                <w:rFonts w:ascii="Arial" w:hAnsi="Arial" w:eastAsia="SimSun;宋体"/>
                <w:color w:val="000000"/>
                <w:sz w:val="22"/>
                <w:szCs w:val="22"/>
                <w:lang w:val="ca-ES" w:eastAsia="zh-CN"/>
              </w:rPr>
            </w:pPr>
            <w:r>
              <w:rPr>
                <w:rFonts w:eastAsia="SimSun;宋体" w:ascii="Arial" w:hAnsi="Arial"/>
                <w:color w:val="000000"/>
                <w:sz w:val="22"/>
                <w:szCs w:val="22"/>
                <w:lang w:val="ca-ES" w:eastAsia="zh-CN"/>
              </w:rPr>
            </w:r>
          </w:p>
        </w:tc>
      </w:tr>
      <w:tr>
        <w:trPr>
          <w:trHeight w:val="383" w:hRule="atLeast"/>
        </w:trPr>
        <w:tc>
          <w:tcPr>
            <w:tcW w:w="2613" w:type="dxa"/>
            <w:gridSpan w:val="2"/>
            <w:tcBorders>
              <w:top w:val="single" w:sz="8" w:space="0" w:color="FFFFFF"/>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b/>
              </w:rPr>
              <w:t>PRODUCTES</w:t>
            </w:r>
          </w:p>
        </w:tc>
        <w:tc>
          <w:tcPr>
            <w:tcW w:w="2082" w:type="dxa"/>
            <w:tcBorders>
              <w:top w:val="single" w:sz="8" w:space="0" w:color="FFFFFF"/>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b/>
              </w:rPr>
              <w:t xml:space="preserve">ESTACIONALITAT </w:t>
            </w:r>
            <w:r>
              <w:rPr/>
              <w:br/>
            </w:r>
            <w:r>
              <w:rPr>
                <w:b/>
              </w:rPr>
              <w:t>ECOLÒGIC</w:t>
            </w:r>
          </w:p>
        </w:tc>
        <w:tc>
          <w:tcPr>
            <w:tcW w:w="2269" w:type="dxa"/>
            <w:tcBorders>
              <w:top w:val="single" w:sz="8" w:space="0" w:color="FFFFFF"/>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b/>
              </w:rPr>
              <w:t xml:space="preserve">MESOS </w:t>
            </w:r>
            <w:r>
              <w:rPr/>
              <w:br/>
            </w:r>
            <w:r>
              <w:rPr>
                <w:b/>
              </w:rPr>
              <w:t>D'ESTACIONALITAT</w:t>
            </w:r>
          </w:p>
        </w:tc>
        <w:tc>
          <w:tcPr>
            <w:tcW w:w="1083" w:type="dxa"/>
            <w:tcBorders>
              <w:top w:val="single" w:sz="8" w:space="0" w:color="FFFFFF"/>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b/>
              </w:rPr>
              <w:t>PUNTS</w:t>
            </w:r>
          </w:p>
        </w:tc>
        <w:tc>
          <w:tcPr>
            <w:tcW w:w="1767" w:type="dxa"/>
            <w:tcBorders>
              <w:top w:val="single" w:sz="8" w:space="0" w:color="FFFFFF"/>
              <w:left w:val="single" w:sz="8" w:space="0" w:color="FFFFFF"/>
              <w:bottom w:val="single" w:sz="8" w:space="0" w:color="FFFFFF"/>
              <w:right w:val="single" w:sz="8" w:space="0" w:color="FFFFFF"/>
            </w:tcBorders>
            <w:shd w:fill="EEEEEE" w:val="clear"/>
            <w:vAlign w:val="center"/>
          </w:tcPr>
          <w:p>
            <w:pPr>
              <w:pStyle w:val="Normal"/>
              <w:widowControl w:val="false"/>
              <w:tabs>
                <w:tab w:val="clear" w:pos="720"/>
              </w:tabs>
              <w:jc w:val="center"/>
              <w:rPr>
                <w:i/>
                <w:i/>
                <w:sz w:val="22"/>
                <w:szCs w:val="22"/>
                <w:highlight w:val="green"/>
              </w:rPr>
            </w:pPr>
            <w:r>
              <w:rPr>
                <w:i/>
                <w:sz w:val="22"/>
                <w:szCs w:val="22"/>
                <w:highlight w:val="green"/>
              </w:rPr>
            </w:r>
          </w:p>
        </w:tc>
      </w:tr>
      <w:tr>
        <w:trPr>
          <w:trHeight w:val="256" w:hRule="atLeast"/>
        </w:trPr>
        <w:tc>
          <w:tcPr>
            <w:tcW w:w="2613" w:type="dxa"/>
            <w:gridSpan w:val="2"/>
            <w:tcBorders>
              <w:left w:val="single" w:sz="8" w:space="0" w:color="FFFFFF"/>
              <w:bottom w:val="single" w:sz="8" w:space="0" w:color="FFFFFF"/>
            </w:tcBorders>
            <w:shd w:fill="EEEEEE" w:val="clear"/>
            <w:vAlign w:val="bottom"/>
          </w:tcPr>
          <w:p>
            <w:pPr>
              <w:pStyle w:val="Normal"/>
              <w:widowControl w:val="false"/>
              <w:tabs>
                <w:tab w:val="clear" w:pos="720"/>
              </w:tabs>
              <w:jc w:val="left"/>
              <w:rPr>
                <w:i/>
                <w:i/>
                <w:sz w:val="22"/>
                <w:szCs w:val="22"/>
                <w:highlight w:val="green"/>
              </w:rPr>
            </w:pPr>
            <w:r>
              <w:rPr>
                <w:b/>
              </w:rPr>
              <w:t>VERDURES</w:t>
            </w:r>
          </w:p>
        </w:tc>
        <w:tc>
          <w:tcPr>
            <w:tcW w:w="2082" w:type="dxa"/>
            <w:tcBorders>
              <w:left w:val="single" w:sz="8" w:space="0" w:color="FFFFFF"/>
              <w:bottom w:val="single" w:sz="8" w:space="0" w:color="FFFFFF"/>
            </w:tcBorders>
            <w:shd w:fill="EEEEEE" w:val="clear"/>
            <w:vAlign w:val="bottom"/>
          </w:tcPr>
          <w:p>
            <w:pPr>
              <w:pStyle w:val="Normal"/>
              <w:widowControl w:val="false"/>
              <w:tabs>
                <w:tab w:val="clear" w:pos="720"/>
              </w:tabs>
              <w:jc w:val="left"/>
              <w:rPr>
                <w:i/>
                <w:i/>
                <w:sz w:val="22"/>
                <w:szCs w:val="22"/>
                <w:highlight w:val="green"/>
              </w:rPr>
            </w:pPr>
            <w:r>
              <w:rPr>
                <w:i/>
                <w:sz w:val="22"/>
                <w:szCs w:val="22"/>
                <w:highlight w:val="green"/>
              </w:rPr>
            </w:r>
          </w:p>
        </w:tc>
        <w:tc>
          <w:tcPr>
            <w:tcW w:w="2269" w:type="dxa"/>
            <w:tcBorders>
              <w:left w:val="single" w:sz="8" w:space="0" w:color="FFFFFF"/>
              <w:bottom w:val="single" w:sz="8" w:space="0" w:color="FFFFFF"/>
            </w:tcBorders>
            <w:shd w:fill="EEEEEE" w:val="clear"/>
            <w:vAlign w:val="bottom"/>
          </w:tcPr>
          <w:p>
            <w:pPr>
              <w:pStyle w:val="Normal"/>
              <w:widowControl w:val="false"/>
              <w:tabs>
                <w:tab w:val="clear" w:pos="720"/>
              </w:tabs>
              <w:jc w:val="left"/>
              <w:rPr>
                <w:i/>
                <w:i/>
                <w:sz w:val="22"/>
                <w:szCs w:val="22"/>
                <w:highlight w:val="green"/>
              </w:rPr>
            </w:pPr>
            <w:r>
              <w:rPr>
                <w:i/>
                <w:sz w:val="22"/>
                <w:szCs w:val="22"/>
                <w:highlight w:val="green"/>
              </w:rPr>
            </w:r>
          </w:p>
        </w:tc>
        <w:tc>
          <w:tcPr>
            <w:tcW w:w="1083" w:type="dxa"/>
            <w:tcBorders>
              <w:left w:val="single" w:sz="8" w:space="0" w:color="FFFFFF"/>
              <w:bottom w:val="single" w:sz="8" w:space="0" w:color="FFFFFF"/>
            </w:tcBorders>
            <w:shd w:fill="EEEEEE" w:val="clear"/>
            <w:vAlign w:val="bottom"/>
          </w:tcPr>
          <w:p>
            <w:pPr>
              <w:pStyle w:val="Normal"/>
              <w:widowControl w:val="false"/>
              <w:tabs>
                <w:tab w:val="clear" w:pos="720"/>
              </w:tabs>
              <w:jc w:val="left"/>
              <w:rPr>
                <w:i/>
                <w:i/>
                <w:sz w:val="22"/>
                <w:szCs w:val="22"/>
                <w:highlight w:val="green"/>
              </w:rPr>
            </w:pPr>
            <w:r>
              <w:rPr>
                <w:i/>
                <w:sz w:val="22"/>
                <w:szCs w:val="22"/>
                <w:highlight w:val="green"/>
              </w:rPr>
            </w:r>
          </w:p>
        </w:tc>
        <w:tc>
          <w:tcPr>
            <w:tcW w:w="1767" w:type="dxa"/>
            <w:tcBorders>
              <w:left w:val="single" w:sz="8" w:space="0" w:color="FFFFFF"/>
              <w:bottom w:val="single" w:sz="8" w:space="0" w:color="FFFFFF"/>
              <w:right w:val="single" w:sz="8" w:space="0" w:color="FFFFFF"/>
            </w:tcBorders>
            <w:shd w:fill="EEEEEE" w:val="clear"/>
            <w:vAlign w:val="bottom"/>
          </w:tcPr>
          <w:p>
            <w:pPr>
              <w:pStyle w:val="Normal"/>
              <w:widowControl w:val="false"/>
              <w:tabs>
                <w:tab w:val="clear" w:pos="720"/>
              </w:tabs>
              <w:jc w:val="left"/>
              <w:rPr>
                <w:i/>
                <w:i/>
                <w:sz w:val="22"/>
                <w:szCs w:val="22"/>
                <w:highlight w:val="green"/>
              </w:rPr>
            </w:pPr>
            <w:r>
              <w:rPr>
                <w:i/>
                <w:sz w:val="22"/>
                <w:szCs w:val="22"/>
                <w:highlight w:val="green"/>
              </w:rPr>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porros</w:t>
            </w:r>
          </w:p>
        </w:tc>
        <w:tc>
          <w:tcPr>
            <w:tcW w:w="2082"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octubre-març</w:t>
            </w:r>
          </w:p>
        </w:tc>
        <w:tc>
          <w:tcPr>
            <w:tcW w:w="2269"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6</w:t>
            </w:r>
          </w:p>
        </w:tc>
        <w:tc>
          <w:tcPr>
            <w:tcW w:w="1083"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w:t>
            </w:r>
          </w:p>
        </w:tc>
        <w:tc>
          <w:tcPr>
            <w:tcW w:w="1767" w:type="dxa"/>
            <w:tcBorders>
              <w:left w:val="single" w:sz="8" w:space="0" w:color="FFFFFF"/>
              <w:bottom w:val="single" w:sz="8" w:space="0" w:color="FFFFFF"/>
              <w:right w:val="single" w:sz="8" w:space="0" w:color="FFFFFF"/>
            </w:tcBorders>
            <w:shd w:fill="EEEEEE" w:val="clear"/>
            <w:vAlign w:val="bottom"/>
          </w:tcPr>
          <w:p>
            <w:pPr>
              <w:pStyle w:val="Normal"/>
              <w:widowControl w:val="false"/>
              <w:tabs>
                <w:tab w:val="clear" w:pos="720"/>
              </w:tabs>
              <w:jc w:val="center"/>
              <w:rPr>
                <w:i/>
                <w:i/>
                <w:sz w:val="22"/>
                <w:szCs w:val="22"/>
                <w:highlight w:val="green"/>
              </w:rPr>
            </w:pPr>
            <w:r>
              <w:rPr/>
              <w:t>OBLIGATORI</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cebes</w:t>
            </w:r>
          </w:p>
        </w:tc>
        <w:tc>
          <w:tcPr>
            <w:tcW w:w="2082"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w:t>
            </w:r>
          </w:p>
        </w:tc>
        <w:tc>
          <w:tcPr>
            <w:tcW w:w="1767" w:type="dxa"/>
            <w:tcBorders>
              <w:left w:val="single" w:sz="8" w:space="0" w:color="FFFFFF"/>
              <w:bottom w:val="single" w:sz="8" w:space="0" w:color="FFFFFF"/>
              <w:right w:val="single" w:sz="8" w:space="0" w:color="FFFFFF"/>
            </w:tcBorders>
            <w:shd w:fill="EEEEEE" w:val="clear"/>
            <w:vAlign w:val="bottom"/>
          </w:tcPr>
          <w:p>
            <w:pPr>
              <w:pStyle w:val="Normal"/>
              <w:widowControl w:val="false"/>
              <w:tabs>
                <w:tab w:val="clear" w:pos="720"/>
              </w:tabs>
              <w:jc w:val="center"/>
              <w:rPr>
                <w:i/>
                <w:i/>
                <w:sz w:val="22"/>
                <w:szCs w:val="22"/>
                <w:highlight w:val="green"/>
              </w:rPr>
            </w:pPr>
            <w:r>
              <w:rPr/>
              <w:t>OBLIGATORI</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carabassa</w:t>
            </w:r>
          </w:p>
        </w:tc>
        <w:tc>
          <w:tcPr>
            <w:tcW w:w="2082"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octubre-febrer</w:t>
            </w:r>
          </w:p>
        </w:tc>
        <w:tc>
          <w:tcPr>
            <w:tcW w:w="2269"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5</w:t>
            </w:r>
          </w:p>
        </w:tc>
        <w:tc>
          <w:tcPr>
            <w:tcW w:w="1083"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w:t>
            </w:r>
          </w:p>
        </w:tc>
        <w:tc>
          <w:tcPr>
            <w:tcW w:w="1767" w:type="dxa"/>
            <w:tcBorders>
              <w:left w:val="single" w:sz="8" w:space="0" w:color="FFFFFF"/>
              <w:bottom w:val="single" w:sz="8" w:space="0" w:color="FFFFFF"/>
              <w:right w:val="single" w:sz="8" w:space="0" w:color="FFFFFF"/>
            </w:tcBorders>
            <w:shd w:fill="EEEEEE" w:val="clear"/>
            <w:vAlign w:val="bottom"/>
          </w:tcPr>
          <w:p>
            <w:pPr>
              <w:pStyle w:val="Normal"/>
              <w:widowControl w:val="false"/>
              <w:tabs>
                <w:tab w:val="clear" w:pos="720"/>
              </w:tabs>
              <w:jc w:val="center"/>
              <w:rPr>
                <w:i/>
                <w:i/>
                <w:sz w:val="22"/>
                <w:szCs w:val="22"/>
                <w:highlight w:val="green"/>
              </w:rPr>
            </w:pPr>
            <w:r>
              <w:rPr/>
              <w:t>OBLIGATORI</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pastanaga</w:t>
            </w:r>
          </w:p>
        </w:tc>
        <w:tc>
          <w:tcPr>
            <w:tcW w:w="2082"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bottom"/>
          </w:tcPr>
          <w:p>
            <w:pPr>
              <w:pStyle w:val="Normal"/>
              <w:widowControl w:val="false"/>
              <w:tabs>
                <w:tab w:val="clear" w:pos="720"/>
              </w:tabs>
              <w:jc w:val="left"/>
              <w:rPr>
                <w:i/>
                <w:i/>
                <w:sz w:val="22"/>
                <w:szCs w:val="22"/>
                <w:highlight w:val="green"/>
              </w:rPr>
            </w:pPr>
            <w:r>
              <w:rPr>
                <w:i/>
                <w:sz w:val="22"/>
                <w:szCs w:val="22"/>
                <w:highlight w:val="green"/>
              </w:rPr>
            </w:r>
          </w:p>
        </w:tc>
        <w:tc>
          <w:tcPr>
            <w:tcW w:w="1767" w:type="dxa"/>
            <w:tcBorders>
              <w:left w:val="single" w:sz="8" w:space="0" w:color="FFFFFF"/>
              <w:bottom w:val="single" w:sz="8" w:space="0" w:color="FFFFFF"/>
              <w:right w:val="single" w:sz="8" w:space="0" w:color="FFFFFF"/>
            </w:tcBorders>
            <w:shd w:fill="EEEEEE" w:val="clear"/>
            <w:vAlign w:val="bottom"/>
          </w:tcPr>
          <w:p>
            <w:pPr>
              <w:pStyle w:val="Normal"/>
              <w:widowControl w:val="false"/>
              <w:tabs>
                <w:tab w:val="clear" w:pos="720"/>
              </w:tabs>
              <w:jc w:val="center"/>
              <w:rPr>
                <w:i/>
                <w:i/>
                <w:sz w:val="22"/>
                <w:szCs w:val="22"/>
                <w:highlight w:val="green"/>
              </w:rPr>
            </w:pPr>
            <w:r>
              <w:rPr/>
              <w:t>OBLIGATORI</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xampinyons</w:t>
            </w:r>
          </w:p>
        </w:tc>
        <w:tc>
          <w:tcPr>
            <w:tcW w:w="2082"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w:t>
            </w:r>
          </w:p>
        </w:tc>
        <w:tc>
          <w:tcPr>
            <w:tcW w:w="1767" w:type="dxa"/>
            <w:tcBorders>
              <w:left w:val="single" w:sz="8" w:space="0" w:color="FFFFFF"/>
              <w:bottom w:val="single" w:sz="8" w:space="0" w:color="FFFFFF"/>
              <w:right w:val="single" w:sz="8" w:space="0" w:color="FFFFFF"/>
            </w:tcBorders>
            <w:shd w:fill="EEEEEE" w:val="clear"/>
            <w:vAlign w:val="bottom"/>
          </w:tcPr>
          <w:p>
            <w:pPr>
              <w:pStyle w:val="Normal"/>
              <w:widowControl w:val="false"/>
              <w:tabs>
                <w:tab w:val="clear" w:pos="720"/>
              </w:tabs>
              <w:jc w:val="center"/>
              <w:rPr>
                <w:i/>
                <w:i/>
                <w:sz w:val="22"/>
                <w:szCs w:val="22"/>
                <w:highlight w:val="green"/>
              </w:rPr>
            </w:pPr>
            <w:r>
              <w:rPr/>
              <w:t>OBLIGATORI</w:t>
            </w:r>
          </w:p>
        </w:tc>
      </w:tr>
      <w:tr>
        <w:trPr>
          <w:trHeight w:val="383"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tomàquet per arnanida i pel pa amb tomàquet</w:t>
            </w:r>
          </w:p>
        </w:tc>
        <w:tc>
          <w:tcPr>
            <w:tcW w:w="2082"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w:t>
            </w:r>
          </w:p>
        </w:tc>
        <w:tc>
          <w:tcPr>
            <w:tcW w:w="1767" w:type="dxa"/>
            <w:tcBorders>
              <w:left w:val="single" w:sz="8" w:space="0" w:color="FFFFFF"/>
              <w:bottom w:val="single" w:sz="8" w:space="0" w:color="FFFFFF"/>
              <w:right w:val="single" w:sz="8" w:space="0" w:color="FFFFFF"/>
            </w:tcBorders>
            <w:shd w:fill="EEEEEE" w:val="clear"/>
            <w:vAlign w:val="bottom"/>
          </w:tcPr>
          <w:p>
            <w:pPr>
              <w:pStyle w:val="Normal"/>
              <w:widowControl w:val="false"/>
              <w:tabs>
                <w:tab w:val="clear" w:pos="720"/>
              </w:tabs>
              <w:jc w:val="center"/>
              <w:rPr>
                <w:i/>
                <w:i/>
                <w:sz w:val="22"/>
                <w:szCs w:val="22"/>
                <w:highlight w:val="green"/>
              </w:rPr>
            </w:pPr>
            <w:r>
              <w:rPr/>
              <w:t>De producció</w:t>
              <w:br/>
              <w:t>INTEGRADA</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tomàquet sofregit</w:t>
            </w:r>
          </w:p>
        </w:tc>
        <w:tc>
          <w:tcPr>
            <w:tcW w:w="2082"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w:t>
            </w:r>
          </w:p>
        </w:tc>
        <w:tc>
          <w:tcPr>
            <w:tcW w:w="1767" w:type="dxa"/>
            <w:tcBorders>
              <w:left w:val="single" w:sz="8" w:space="0" w:color="FFFFFF"/>
              <w:bottom w:val="single" w:sz="8" w:space="0" w:color="FFFFFF"/>
              <w:right w:val="single" w:sz="8" w:space="0" w:color="FFFFFF"/>
            </w:tcBorders>
            <w:shd w:fill="EEEEEE" w:val="clear"/>
            <w:vAlign w:val="bottom"/>
          </w:tcPr>
          <w:p>
            <w:pPr>
              <w:pStyle w:val="Normal"/>
              <w:widowControl w:val="false"/>
              <w:tabs>
                <w:tab w:val="clear" w:pos="720"/>
              </w:tabs>
              <w:jc w:val="center"/>
              <w:rPr>
                <w:i/>
                <w:i/>
                <w:sz w:val="22"/>
                <w:szCs w:val="22"/>
                <w:highlight w:val="green"/>
              </w:rPr>
            </w:pPr>
            <w:r>
              <w:rPr/>
              <w:t>OBLIGATORI</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mongeta tendra</w:t>
            </w:r>
          </w:p>
        </w:tc>
        <w:tc>
          <w:tcPr>
            <w:tcW w:w="2082"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w:t>
            </w:r>
          </w:p>
        </w:tc>
        <w:tc>
          <w:tcPr>
            <w:tcW w:w="1767" w:type="dxa"/>
            <w:tcBorders>
              <w:left w:val="single" w:sz="8" w:space="0" w:color="FFFFFF"/>
              <w:bottom w:val="single" w:sz="8" w:space="0" w:color="FFFFFF"/>
              <w:right w:val="single" w:sz="8" w:space="0" w:color="FFFFFF"/>
            </w:tcBorders>
            <w:shd w:fill="EEEEEE" w:val="clear"/>
            <w:vAlign w:val="bottom"/>
          </w:tcPr>
          <w:p>
            <w:pPr>
              <w:pStyle w:val="Normal"/>
              <w:widowControl w:val="false"/>
              <w:tabs>
                <w:tab w:val="clear" w:pos="720"/>
              </w:tabs>
              <w:jc w:val="center"/>
              <w:rPr>
                <w:i/>
                <w:i/>
                <w:sz w:val="22"/>
                <w:szCs w:val="22"/>
                <w:highlight w:val="green"/>
              </w:rPr>
            </w:pPr>
            <w:r>
              <w:rPr/>
              <w:t>-</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espinacs</w:t>
            </w:r>
          </w:p>
        </w:tc>
        <w:tc>
          <w:tcPr>
            <w:tcW w:w="2082"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novembre-febrer</w:t>
            </w:r>
          </w:p>
        </w:tc>
        <w:tc>
          <w:tcPr>
            <w:tcW w:w="2269"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4</w:t>
            </w:r>
          </w:p>
        </w:tc>
        <w:tc>
          <w:tcPr>
            <w:tcW w:w="1083" w:type="dxa"/>
            <w:tcBorders>
              <w:left w:val="single" w:sz="8" w:space="0" w:color="FFFFFF"/>
              <w:bottom w:val="single" w:sz="8" w:space="0" w:color="FFFFFF"/>
            </w:tcBorders>
            <w:shd w:fill="EEEEEE" w:val="clear"/>
            <w:vAlign w:val="bottom"/>
          </w:tcPr>
          <w:p>
            <w:pPr>
              <w:pStyle w:val="Normal"/>
              <w:widowControl w:val="false"/>
              <w:tabs>
                <w:tab w:val="clear" w:pos="720"/>
              </w:tabs>
              <w:jc w:val="left"/>
              <w:rPr>
                <w:i/>
                <w:i/>
                <w:sz w:val="22"/>
                <w:szCs w:val="22"/>
                <w:highlight w:val="green"/>
              </w:rPr>
            </w:pPr>
            <w:r>
              <w:rPr>
                <w:i/>
                <w:sz w:val="22"/>
                <w:szCs w:val="22"/>
                <w:highlight w:val="green"/>
              </w:rPr>
            </w:r>
          </w:p>
        </w:tc>
        <w:tc>
          <w:tcPr>
            <w:tcW w:w="1767" w:type="dxa"/>
            <w:tcBorders>
              <w:left w:val="single" w:sz="8" w:space="0" w:color="FFFFFF"/>
              <w:bottom w:val="single" w:sz="8" w:space="0" w:color="FFFFFF"/>
              <w:right w:val="single" w:sz="8" w:space="0" w:color="FFFFFF"/>
            </w:tcBorders>
            <w:shd w:fill="EEEEEE" w:val="clear"/>
            <w:vAlign w:val="bottom"/>
          </w:tcPr>
          <w:p>
            <w:pPr>
              <w:pStyle w:val="Normal"/>
              <w:widowControl w:val="false"/>
              <w:tabs>
                <w:tab w:val="clear" w:pos="720"/>
              </w:tabs>
              <w:jc w:val="center"/>
              <w:rPr>
                <w:i/>
                <w:i/>
                <w:sz w:val="22"/>
                <w:szCs w:val="22"/>
                <w:highlight w:val="green"/>
              </w:rPr>
            </w:pPr>
            <w:r>
              <w:rPr/>
              <w:t>OBLIGATORI</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carabassó</w:t>
            </w:r>
          </w:p>
        </w:tc>
        <w:tc>
          <w:tcPr>
            <w:tcW w:w="2082"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juny-juliol</w:t>
            </w:r>
          </w:p>
        </w:tc>
        <w:tc>
          <w:tcPr>
            <w:tcW w:w="2269"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1</w:t>
            </w:r>
          </w:p>
        </w:tc>
        <w:tc>
          <w:tcPr>
            <w:tcW w:w="1083"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w:t>
            </w:r>
          </w:p>
        </w:tc>
        <w:tc>
          <w:tcPr>
            <w:tcW w:w="1767" w:type="dxa"/>
            <w:tcBorders>
              <w:left w:val="single" w:sz="8" w:space="0" w:color="FFFFFF"/>
              <w:bottom w:val="single" w:sz="8" w:space="0" w:color="FFFFFF"/>
              <w:right w:val="single" w:sz="8" w:space="0" w:color="FFFFFF"/>
            </w:tcBorders>
            <w:shd w:fill="EEEEEE" w:val="clear"/>
            <w:vAlign w:val="bottom"/>
          </w:tcPr>
          <w:p>
            <w:pPr>
              <w:pStyle w:val="Normal"/>
              <w:widowControl w:val="false"/>
              <w:tabs>
                <w:tab w:val="clear" w:pos="720"/>
              </w:tabs>
              <w:jc w:val="center"/>
              <w:rPr>
                <w:i/>
                <w:i/>
                <w:sz w:val="22"/>
                <w:szCs w:val="22"/>
                <w:highlight w:val="green"/>
              </w:rPr>
            </w:pPr>
            <w:r>
              <w:rPr/>
              <w:t>OBLIGATORI</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bròquil</w:t>
            </w:r>
          </w:p>
        </w:tc>
        <w:tc>
          <w:tcPr>
            <w:tcW w:w="2082"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desembre-febrer</w:t>
            </w:r>
          </w:p>
        </w:tc>
        <w:tc>
          <w:tcPr>
            <w:tcW w:w="2269"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3</w:t>
            </w:r>
          </w:p>
        </w:tc>
        <w:tc>
          <w:tcPr>
            <w:tcW w:w="1083"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w:t>
            </w:r>
          </w:p>
        </w:tc>
        <w:tc>
          <w:tcPr>
            <w:tcW w:w="1767" w:type="dxa"/>
            <w:tcBorders>
              <w:left w:val="single" w:sz="8" w:space="0" w:color="FFFFFF"/>
              <w:bottom w:val="single" w:sz="8" w:space="0" w:color="FFFFFF"/>
              <w:right w:val="single" w:sz="8" w:space="0" w:color="FFFFFF"/>
            </w:tcBorders>
            <w:shd w:fill="EEEEEE" w:val="clear"/>
            <w:vAlign w:val="bottom"/>
          </w:tcPr>
          <w:p>
            <w:pPr>
              <w:pStyle w:val="Normal"/>
              <w:widowControl w:val="false"/>
              <w:tabs>
                <w:tab w:val="clear" w:pos="720"/>
              </w:tabs>
              <w:jc w:val="center"/>
              <w:rPr>
                <w:i/>
                <w:i/>
                <w:sz w:val="22"/>
                <w:szCs w:val="22"/>
                <w:highlight w:val="green"/>
              </w:rPr>
            </w:pPr>
            <w:r>
              <w:rPr/>
              <w:t>OBLIGATORI</w:t>
            </w:r>
          </w:p>
        </w:tc>
      </w:tr>
      <w:tr>
        <w:trPr>
          <w:trHeight w:val="373"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Enciam: romà: trocadero i meravella (no iceberg)</w:t>
            </w:r>
          </w:p>
        </w:tc>
        <w:tc>
          <w:tcPr>
            <w:tcW w:w="2082"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bottom"/>
          </w:tcPr>
          <w:p>
            <w:pPr>
              <w:pStyle w:val="Normal"/>
              <w:widowControl w:val="false"/>
              <w:tabs>
                <w:tab w:val="clear" w:pos="720"/>
              </w:tabs>
              <w:jc w:val="center"/>
              <w:rPr>
                <w:i/>
                <w:i/>
                <w:sz w:val="22"/>
                <w:szCs w:val="22"/>
                <w:highlight w:val="green"/>
              </w:rPr>
            </w:pPr>
            <w:r>
              <w:rPr/>
              <w:t>-</w:t>
            </w:r>
          </w:p>
        </w:tc>
        <w:tc>
          <w:tcPr>
            <w:tcW w:w="1767" w:type="dxa"/>
            <w:tcBorders>
              <w:left w:val="single" w:sz="8" w:space="0" w:color="FFFFFF"/>
              <w:bottom w:val="single" w:sz="8" w:space="0" w:color="FFFFFF"/>
              <w:right w:val="single" w:sz="8" w:space="0" w:color="FFFFFF"/>
            </w:tcBorders>
            <w:shd w:fill="EEEEEE" w:val="clear"/>
            <w:vAlign w:val="bottom"/>
          </w:tcPr>
          <w:p>
            <w:pPr>
              <w:pStyle w:val="Normal"/>
              <w:widowControl w:val="false"/>
              <w:tabs>
                <w:tab w:val="clear" w:pos="720"/>
              </w:tabs>
              <w:jc w:val="center"/>
              <w:rPr>
                <w:i/>
                <w:i/>
                <w:sz w:val="22"/>
                <w:szCs w:val="22"/>
                <w:highlight w:val="green"/>
              </w:rPr>
            </w:pPr>
            <w:r>
              <w:rPr/>
              <w:t>-</w:t>
            </w:r>
          </w:p>
        </w:tc>
      </w:tr>
      <w:tr>
        <w:trPr>
          <w:trHeight w:val="256" w:hRule="atLeast"/>
        </w:trPr>
        <w:tc>
          <w:tcPr>
            <w:tcW w:w="2613" w:type="dxa"/>
            <w:gridSpan w:val="2"/>
            <w:tcBorders>
              <w:left w:val="single" w:sz="8" w:space="0" w:color="FFFFFF"/>
              <w:bottom w:val="single" w:sz="8" w:space="0" w:color="FFFFFF"/>
            </w:tcBorders>
            <w:shd w:fill="EEEEEE" w:val="clear"/>
            <w:vAlign w:val="bottom"/>
          </w:tcPr>
          <w:p>
            <w:pPr>
              <w:pStyle w:val="Normal"/>
              <w:widowControl w:val="false"/>
              <w:tabs>
                <w:tab w:val="clear" w:pos="720"/>
              </w:tabs>
              <w:jc w:val="left"/>
              <w:rPr>
                <w:i/>
                <w:i/>
                <w:sz w:val="22"/>
                <w:szCs w:val="22"/>
                <w:highlight w:val="green"/>
              </w:rPr>
            </w:pPr>
            <w:r>
              <w:rPr>
                <w:b/>
              </w:rPr>
              <w:t>CEREALS, FÈCULES I LLEGUMS</w:t>
            </w:r>
          </w:p>
        </w:tc>
        <w:tc>
          <w:tcPr>
            <w:tcW w:w="2082" w:type="dxa"/>
            <w:tcBorders>
              <w:left w:val="single" w:sz="8" w:space="0" w:color="FFFFFF"/>
              <w:bottom w:val="single" w:sz="8" w:space="0" w:color="FFFFFF"/>
            </w:tcBorders>
            <w:shd w:fill="EEEEEE" w:val="clear"/>
            <w:vAlign w:val="bottom"/>
          </w:tcPr>
          <w:p>
            <w:pPr>
              <w:pStyle w:val="Normal"/>
              <w:widowControl w:val="false"/>
              <w:tabs>
                <w:tab w:val="clear" w:pos="720"/>
              </w:tabs>
              <w:jc w:val="left"/>
              <w:rPr>
                <w:i/>
                <w:i/>
                <w:sz w:val="22"/>
                <w:szCs w:val="22"/>
                <w:highlight w:val="green"/>
              </w:rPr>
            </w:pPr>
            <w:r>
              <w:rPr>
                <w:i/>
                <w:sz w:val="22"/>
                <w:szCs w:val="22"/>
                <w:highlight w:val="green"/>
              </w:rPr>
            </w:r>
          </w:p>
        </w:tc>
        <w:tc>
          <w:tcPr>
            <w:tcW w:w="2269" w:type="dxa"/>
            <w:tcBorders>
              <w:left w:val="single" w:sz="8" w:space="0" w:color="FFFFFF"/>
              <w:bottom w:val="single" w:sz="8" w:space="0" w:color="FFFFFF"/>
            </w:tcBorders>
            <w:shd w:fill="EEEEEE" w:val="clear"/>
            <w:vAlign w:val="bottom"/>
          </w:tcPr>
          <w:p>
            <w:pPr>
              <w:pStyle w:val="Normal"/>
              <w:widowControl w:val="false"/>
              <w:tabs>
                <w:tab w:val="clear" w:pos="720"/>
              </w:tabs>
              <w:jc w:val="left"/>
              <w:rPr>
                <w:i/>
                <w:i/>
                <w:sz w:val="22"/>
                <w:szCs w:val="22"/>
                <w:highlight w:val="green"/>
              </w:rPr>
            </w:pPr>
            <w:r>
              <w:rPr>
                <w:i/>
                <w:sz w:val="22"/>
                <w:szCs w:val="22"/>
                <w:highlight w:val="green"/>
              </w:rPr>
            </w:r>
          </w:p>
        </w:tc>
        <w:tc>
          <w:tcPr>
            <w:tcW w:w="1083" w:type="dxa"/>
            <w:tcBorders>
              <w:left w:val="single" w:sz="8" w:space="0" w:color="FFFFFF"/>
              <w:bottom w:val="single" w:sz="8" w:space="0" w:color="FFFFFF"/>
            </w:tcBorders>
            <w:shd w:fill="EEEEEE" w:val="clear"/>
            <w:vAlign w:val="bottom"/>
          </w:tcPr>
          <w:p>
            <w:pPr>
              <w:pStyle w:val="Normal"/>
              <w:widowControl w:val="false"/>
              <w:tabs>
                <w:tab w:val="clear" w:pos="720"/>
              </w:tabs>
              <w:jc w:val="left"/>
              <w:rPr>
                <w:i/>
                <w:i/>
                <w:sz w:val="22"/>
                <w:szCs w:val="22"/>
                <w:highlight w:val="green"/>
              </w:rPr>
            </w:pPr>
            <w:r>
              <w:rPr>
                <w:i/>
                <w:sz w:val="22"/>
                <w:szCs w:val="22"/>
                <w:highlight w:val="green"/>
              </w:rPr>
            </w:r>
          </w:p>
        </w:tc>
        <w:tc>
          <w:tcPr>
            <w:tcW w:w="1767" w:type="dxa"/>
            <w:tcBorders>
              <w:left w:val="single" w:sz="8" w:space="0" w:color="FFFFFF"/>
              <w:bottom w:val="single" w:sz="8" w:space="0" w:color="FFFFFF"/>
              <w:right w:val="single" w:sz="8" w:space="0" w:color="FFFFFF"/>
            </w:tcBorders>
            <w:shd w:fill="EEEEEE" w:val="clear"/>
            <w:vAlign w:val="bottom"/>
          </w:tcPr>
          <w:p>
            <w:pPr>
              <w:pStyle w:val="Normal"/>
              <w:widowControl w:val="false"/>
              <w:tabs>
                <w:tab w:val="clear" w:pos="720"/>
              </w:tabs>
              <w:jc w:val="center"/>
              <w:rPr>
                <w:i w:val="false"/>
                <w:i w:val="false"/>
                <w:iCs w:val="false"/>
                <w:sz w:val="28"/>
                <w:szCs w:val="28"/>
                <w:shd w:fill="auto" w:val="clear"/>
              </w:rPr>
            </w:pPr>
            <w:r>
              <w:rPr>
                <w:i w:val="false"/>
                <w:iCs w:val="false"/>
                <w:sz w:val="28"/>
                <w:szCs w:val="28"/>
                <w:shd w:fill="auto" w:val="clear"/>
              </w:rPr>
              <w:t>(SÍ / NO)</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patates</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1,22</w:t>
            </w:r>
          </w:p>
        </w:tc>
        <w:tc>
          <w:tcPr>
            <w:tcW w:w="1767" w:type="dxa"/>
            <w:tcBorders>
              <w:left w:val="single" w:sz="8" w:space="0" w:color="DDDDDD"/>
              <w:bottom w:val="single" w:sz="8" w:space="0" w:color="DDDDDD"/>
              <w:right w:val="single" w:sz="8" w:space="0" w:color="DDDDDD"/>
            </w:tcBorders>
            <w:shd w:fill="FFFFFF" w:val="clear"/>
            <w:vAlign w:val="bottom"/>
          </w:tcPr>
          <w:p>
            <w:pPr>
              <w:pStyle w:val="Normal"/>
              <w:widowControl w:val="false"/>
              <w:tabs>
                <w:tab w:val="clear" w:pos="720"/>
              </w:tabs>
              <w:jc w:val="center"/>
              <w:rPr>
                <w:i/>
                <w:i/>
                <w:sz w:val="22"/>
                <w:szCs w:val="22"/>
                <w:shd w:fill="auto" w:val="clear"/>
              </w:rPr>
            </w:pPr>
            <w:r>
              <w:rPr>
                <w:i/>
                <w:sz w:val="22"/>
                <w:szCs w:val="22"/>
                <w:shd w:fill="auto" w:val="clear"/>
              </w:rPr>
              <w:t>.........</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shd w:fill="auto" w:val="clear"/>
              </w:rPr>
            </w:pPr>
            <w:r>
              <w:rPr>
                <w:shd w:fill="auto" w:val="clear"/>
              </w:rPr>
              <w:t>pasta</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0,6</w:t>
            </w:r>
          </w:p>
        </w:tc>
        <w:tc>
          <w:tcPr>
            <w:tcW w:w="1767" w:type="dxa"/>
            <w:tcBorders>
              <w:left w:val="single" w:sz="8" w:space="0" w:color="DDDDDD"/>
              <w:bottom w:val="single" w:sz="8" w:space="0" w:color="DDDDDD"/>
              <w:right w:val="single" w:sz="8" w:space="0" w:color="DDDDDD"/>
            </w:tcBorders>
            <w:shd w:fill="FFFFFF" w:val="clear"/>
            <w:vAlign w:val="bottom"/>
          </w:tcPr>
          <w:p>
            <w:pPr>
              <w:pStyle w:val="Normal"/>
              <w:widowControl w:val="false"/>
              <w:tabs>
                <w:tab w:val="clear" w:pos="720"/>
              </w:tabs>
              <w:jc w:val="center"/>
              <w:rPr>
                <w:i/>
                <w:i/>
                <w:sz w:val="22"/>
                <w:szCs w:val="22"/>
                <w:highlight w:val="green"/>
              </w:rPr>
            </w:pPr>
            <w:r>
              <w:rPr>
                <w:i/>
                <w:sz w:val="22"/>
                <w:szCs w:val="22"/>
                <w:shd w:fill="auto" w:val="clear"/>
              </w:rPr>
              <w:t>.........</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arròs</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1,51</w:t>
            </w:r>
          </w:p>
        </w:tc>
        <w:tc>
          <w:tcPr>
            <w:tcW w:w="1767" w:type="dxa"/>
            <w:tcBorders>
              <w:left w:val="single" w:sz="8" w:space="0" w:color="DDDDDD"/>
              <w:bottom w:val="single" w:sz="8" w:space="0" w:color="DDDDDD"/>
              <w:right w:val="single" w:sz="8" w:space="0" w:color="DDDDDD"/>
            </w:tcBorders>
            <w:shd w:fill="FFFFFF" w:val="clear"/>
            <w:vAlign w:val="bottom"/>
          </w:tcPr>
          <w:p>
            <w:pPr>
              <w:pStyle w:val="Normal"/>
              <w:widowControl w:val="false"/>
              <w:tabs>
                <w:tab w:val="clear" w:pos="720"/>
              </w:tabs>
              <w:jc w:val="center"/>
              <w:rPr>
                <w:i/>
                <w:i/>
                <w:sz w:val="22"/>
                <w:szCs w:val="22"/>
                <w:highlight w:val="green"/>
              </w:rPr>
            </w:pPr>
            <w:r>
              <w:rPr>
                <w:i/>
                <w:sz w:val="22"/>
                <w:szCs w:val="22"/>
                <w:shd w:fill="auto" w:val="clear"/>
              </w:rPr>
              <w:t>.........</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cigrons</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0,36</w:t>
            </w:r>
          </w:p>
        </w:tc>
        <w:tc>
          <w:tcPr>
            <w:tcW w:w="1767" w:type="dxa"/>
            <w:tcBorders>
              <w:left w:val="single" w:sz="8" w:space="0" w:color="DDDDDD"/>
              <w:bottom w:val="single" w:sz="8" w:space="0" w:color="DDDDDD"/>
              <w:right w:val="single" w:sz="8" w:space="0" w:color="DDDDDD"/>
            </w:tcBorders>
            <w:shd w:fill="FFFFFF" w:val="clear"/>
            <w:vAlign w:val="bottom"/>
          </w:tcPr>
          <w:p>
            <w:pPr>
              <w:pStyle w:val="Normal"/>
              <w:widowControl w:val="false"/>
              <w:tabs>
                <w:tab w:val="clear" w:pos="720"/>
              </w:tabs>
              <w:jc w:val="center"/>
              <w:rPr>
                <w:i/>
                <w:i/>
                <w:sz w:val="22"/>
                <w:szCs w:val="22"/>
                <w:highlight w:val="green"/>
              </w:rPr>
            </w:pPr>
            <w:r>
              <w:rPr>
                <w:i/>
                <w:sz w:val="22"/>
                <w:szCs w:val="22"/>
                <w:shd w:fill="auto" w:val="clear"/>
              </w:rPr>
              <w:t>.........</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llenties</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0,67</w:t>
            </w:r>
          </w:p>
        </w:tc>
        <w:tc>
          <w:tcPr>
            <w:tcW w:w="1767" w:type="dxa"/>
            <w:tcBorders>
              <w:left w:val="single" w:sz="8" w:space="0" w:color="DDDDDD"/>
              <w:bottom w:val="single" w:sz="8" w:space="0" w:color="DDDDDD"/>
              <w:right w:val="single" w:sz="8" w:space="0" w:color="DDDDDD"/>
            </w:tcBorders>
            <w:shd w:fill="FFFFFF" w:val="clear"/>
            <w:vAlign w:val="bottom"/>
          </w:tcPr>
          <w:p>
            <w:pPr>
              <w:pStyle w:val="Normal"/>
              <w:widowControl w:val="false"/>
              <w:tabs>
                <w:tab w:val="clear" w:pos="720"/>
              </w:tabs>
              <w:jc w:val="center"/>
              <w:rPr>
                <w:i/>
                <w:i/>
                <w:sz w:val="22"/>
                <w:szCs w:val="22"/>
                <w:highlight w:val="green"/>
              </w:rPr>
            </w:pPr>
            <w:r>
              <w:rPr>
                <w:i/>
                <w:sz w:val="22"/>
                <w:szCs w:val="22"/>
                <w:shd w:fill="auto" w:val="clear"/>
              </w:rPr>
              <w:t>.........</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pa</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7,86</w:t>
            </w:r>
          </w:p>
        </w:tc>
        <w:tc>
          <w:tcPr>
            <w:tcW w:w="1767" w:type="dxa"/>
            <w:tcBorders>
              <w:left w:val="single" w:sz="8" w:space="0" w:color="DDDDDD"/>
              <w:bottom w:val="single" w:sz="8" w:space="0" w:color="DDDDDD"/>
              <w:right w:val="single" w:sz="8" w:space="0" w:color="DDDDDD"/>
            </w:tcBorders>
            <w:shd w:fill="FFFFFF" w:val="clear"/>
            <w:vAlign w:val="bottom"/>
          </w:tcPr>
          <w:p>
            <w:pPr>
              <w:pStyle w:val="Normal"/>
              <w:widowControl w:val="false"/>
              <w:tabs>
                <w:tab w:val="clear" w:pos="720"/>
              </w:tabs>
              <w:jc w:val="center"/>
              <w:rPr>
                <w:i/>
                <w:i/>
                <w:sz w:val="22"/>
                <w:szCs w:val="22"/>
                <w:highlight w:val="green"/>
              </w:rPr>
            </w:pPr>
            <w:r>
              <w:rPr>
                <w:i/>
                <w:sz w:val="22"/>
                <w:szCs w:val="22"/>
                <w:shd w:fill="auto" w:val="clear"/>
              </w:rPr>
              <w:t>.........</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b/>
              </w:rPr>
              <w:t>FRUITES</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i/>
                <w:sz w:val="22"/>
                <w:szCs w:val="22"/>
                <w:highlight w:val="green"/>
              </w:rPr>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i/>
                <w:sz w:val="22"/>
                <w:szCs w:val="22"/>
                <w:highlight w:val="green"/>
              </w:rPr>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i/>
                <w:sz w:val="22"/>
                <w:szCs w:val="22"/>
                <w:highlight w:val="green"/>
              </w:rPr>
            </w:r>
          </w:p>
        </w:tc>
        <w:tc>
          <w:tcPr>
            <w:tcW w:w="1767" w:type="dxa"/>
            <w:tcBorders>
              <w:left w:val="single" w:sz="8" w:space="0" w:color="FFFFFF"/>
              <w:bottom w:val="single" w:sz="8" w:space="0" w:color="FFFFFF"/>
              <w:right w:val="single" w:sz="8" w:space="0" w:color="FFFFFF"/>
            </w:tcBorders>
            <w:shd w:fill="EEEEEE" w:val="clear"/>
            <w:vAlign w:val="center"/>
          </w:tcPr>
          <w:p>
            <w:pPr>
              <w:pStyle w:val="Normal"/>
              <w:widowControl w:val="false"/>
              <w:tabs>
                <w:tab w:val="clear" w:pos="720"/>
              </w:tabs>
              <w:jc w:val="center"/>
              <w:rPr>
                <w:i/>
                <w:i/>
                <w:sz w:val="22"/>
                <w:szCs w:val="22"/>
                <w:highlight w:val="green"/>
              </w:rPr>
            </w:pPr>
            <w:r>
              <w:rPr>
                <w:i w:val="false"/>
                <w:iCs w:val="false"/>
                <w:sz w:val="28"/>
                <w:szCs w:val="28"/>
                <w:shd w:fill="auto" w:val="clear"/>
              </w:rPr>
              <w:t>(SÍ / NO)</w:t>
            </w:r>
          </w:p>
        </w:tc>
      </w:tr>
      <w:tr>
        <w:trPr>
          <w:trHeight w:val="383"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taronja</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i/>
                <w:sz w:val="22"/>
                <w:szCs w:val="22"/>
                <w:highlight w:val="green"/>
              </w:rPr>
            </w:r>
          </w:p>
        </w:tc>
        <w:tc>
          <w:tcPr>
            <w:tcW w:w="1767" w:type="dxa"/>
            <w:tcBorders>
              <w:left w:val="single" w:sz="8" w:space="0" w:color="FFFFFF"/>
              <w:bottom w:val="single" w:sz="8" w:space="0" w:color="FFFFFF"/>
              <w:right w:val="single" w:sz="8" w:space="0" w:color="FFFFFF"/>
            </w:tcBorders>
            <w:shd w:fill="EEEEEE" w:val="clear"/>
            <w:vAlign w:val="center"/>
          </w:tcPr>
          <w:p>
            <w:pPr>
              <w:pStyle w:val="Normal"/>
              <w:widowControl w:val="false"/>
              <w:tabs>
                <w:tab w:val="clear" w:pos="720"/>
              </w:tabs>
              <w:jc w:val="center"/>
              <w:rPr>
                <w:i/>
                <w:i/>
                <w:sz w:val="22"/>
                <w:szCs w:val="22"/>
                <w:highlight w:val="green"/>
              </w:rPr>
            </w:pPr>
            <w:r>
              <w:rPr/>
              <w:t>De producció</w:t>
              <w:br/>
              <w:t>INTEGRADA</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poma</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setembre-febrer</w:t>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5,5</w:t>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1,64</w:t>
            </w:r>
          </w:p>
        </w:tc>
        <w:tc>
          <w:tcPr>
            <w:tcW w:w="1767" w:type="dxa"/>
            <w:tcBorders>
              <w:left w:val="single" w:sz="8" w:space="0" w:color="DDDDDD"/>
              <w:bottom w:val="single" w:sz="8" w:space="0" w:color="DDDDDD"/>
              <w:right w:val="single" w:sz="8" w:space="0" w:color="DDDDDD"/>
            </w:tcBorders>
            <w:shd w:fill="FFFFFF" w:val="clear"/>
            <w:vAlign w:val="center"/>
          </w:tcPr>
          <w:p>
            <w:pPr>
              <w:pStyle w:val="Normal"/>
              <w:widowControl w:val="false"/>
              <w:tabs>
                <w:tab w:val="clear" w:pos="720"/>
              </w:tabs>
              <w:jc w:val="center"/>
              <w:rPr>
                <w:i/>
                <w:i/>
                <w:sz w:val="22"/>
                <w:szCs w:val="22"/>
                <w:shd w:fill="auto" w:val="clear"/>
              </w:rPr>
            </w:pPr>
            <w:r>
              <w:rPr>
                <w:i/>
                <w:sz w:val="22"/>
                <w:szCs w:val="22"/>
                <w:shd w:fill="auto" w:val="clear"/>
              </w:rPr>
              <w:t>.........</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pera</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setembre-gener</w:t>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4,5</w:t>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1,86</w:t>
            </w:r>
          </w:p>
        </w:tc>
        <w:tc>
          <w:tcPr>
            <w:tcW w:w="1767" w:type="dxa"/>
            <w:tcBorders>
              <w:left w:val="single" w:sz="8" w:space="0" w:color="DDDDDD"/>
              <w:bottom w:val="single" w:sz="8" w:space="0" w:color="DDDDDD"/>
              <w:right w:val="single" w:sz="8" w:space="0" w:color="DDDDDD"/>
            </w:tcBorders>
            <w:shd w:fill="FFFFFF" w:val="clear"/>
            <w:vAlign w:val="center"/>
          </w:tcPr>
          <w:p>
            <w:pPr>
              <w:pStyle w:val="Normal"/>
              <w:widowControl w:val="false"/>
              <w:tabs>
                <w:tab w:val="clear" w:pos="720"/>
              </w:tabs>
              <w:jc w:val="center"/>
              <w:rPr>
                <w:i/>
                <w:i/>
                <w:sz w:val="22"/>
                <w:szCs w:val="22"/>
                <w:highlight w:val="green"/>
              </w:rPr>
            </w:pPr>
            <w:r>
              <w:rPr>
                <w:i/>
                <w:sz w:val="22"/>
                <w:szCs w:val="22"/>
                <w:shd w:fill="auto" w:val="clear"/>
              </w:rPr>
              <w:t>.........</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plàtan</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1,46</w:t>
            </w:r>
          </w:p>
        </w:tc>
        <w:tc>
          <w:tcPr>
            <w:tcW w:w="1767" w:type="dxa"/>
            <w:tcBorders>
              <w:left w:val="single" w:sz="8" w:space="0" w:color="DDDDDD"/>
              <w:bottom w:val="single" w:sz="8" w:space="0" w:color="DDDDDD"/>
              <w:right w:val="single" w:sz="8" w:space="0" w:color="DDDDDD"/>
            </w:tcBorders>
            <w:shd w:fill="FFFFFF" w:val="clear"/>
            <w:vAlign w:val="center"/>
          </w:tcPr>
          <w:p>
            <w:pPr>
              <w:pStyle w:val="Normal"/>
              <w:widowControl w:val="false"/>
              <w:tabs>
                <w:tab w:val="clear" w:pos="720"/>
              </w:tabs>
              <w:jc w:val="center"/>
              <w:rPr>
                <w:i/>
                <w:i/>
                <w:sz w:val="22"/>
                <w:szCs w:val="22"/>
                <w:highlight w:val="green"/>
              </w:rPr>
            </w:pPr>
            <w:r>
              <w:rPr>
                <w:i/>
                <w:sz w:val="22"/>
                <w:szCs w:val="22"/>
                <w:shd w:fill="auto" w:val="clear"/>
              </w:rPr>
              <w:t>.........</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b/>
              </w:rPr>
              <w:t>PROTEÏNA ANIMAL</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i/>
                <w:sz w:val="22"/>
                <w:szCs w:val="22"/>
                <w:highlight w:val="green"/>
              </w:rPr>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i/>
                <w:sz w:val="22"/>
                <w:szCs w:val="22"/>
                <w:highlight w:val="green"/>
              </w:rPr>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i/>
                <w:sz w:val="22"/>
                <w:szCs w:val="22"/>
                <w:highlight w:val="green"/>
              </w:rPr>
            </w:r>
          </w:p>
        </w:tc>
        <w:tc>
          <w:tcPr>
            <w:tcW w:w="1767" w:type="dxa"/>
            <w:tcBorders>
              <w:left w:val="single" w:sz="8" w:space="0" w:color="DDDDDD"/>
              <w:bottom w:val="single" w:sz="8" w:space="0" w:color="DDDDDD"/>
              <w:right w:val="single" w:sz="8" w:space="0" w:color="DDDDDD"/>
            </w:tcBorders>
            <w:shd w:fill="EEEEEE" w:val="clear"/>
            <w:vAlign w:val="center"/>
          </w:tcPr>
          <w:p>
            <w:pPr>
              <w:pStyle w:val="Normal"/>
              <w:widowControl w:val="false"/>
              <w:tabs>
                <w:tab w:val="clear" w:pos="720"/>
              </w:tabs>
              <w:jc w:val="center"/>
              <w:rPr>
                <w:i/>
                <w:i/>
                <w:sz w:val="22"/>
                <w:szCs w:val="22"/>
                <w:highlight w:val="green"/>
              </w:rPr>
            </w:pPr>
            <w:r>
              <w:rPr>
                <w:i w:val="false"/>
                <w:iCs w:val="false"/>
                <w:sz w:val="28"/>
                <w:szCs w:val="28"/>
                <w:shd w:fill="auto" w:val="clear"/>
              </w:rPr>
              <w:t>(SÍ / NO)</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pollastre</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10,48</w:t>
            </w:r>
          </w:p>
        </w:tc>
        <w:tc>
          <w:tcPr>
            <w:tcW w:w="1767" w:type="dxa"/>
            <w:tcBorders>
              <w:left w:val="single" w:sz="8" w:space="0" w:color="DDDDDD"/>
              <w:bottom w:val="single" w:sz="8" w:space="0" w:color="DDDDDD"/>
              <w:right w:val="single" w:sz="8" w:space="0" w:color="DDDDDD"/>
            </w:tcBorders>
            <w:shd w:fill="FFFFFF" w:val="clear"/>
            <w:vAlign w:val="center"/>
          </w:tcPr>
          <w:p>
            <w:pPr>
              <w:pStyle w:val="Normal"/>
              <w:widowControl w:val="false"/>
              <w:tabs>
                <w:tab w:val="clear" w:pos="720"/>
              </w:tabs>
              <w:jc w:val="center"/>
              <w:rPr>
                <w:i/>
                <w:i/>
                <w:sz w:val="22"/>
                <w:szCs w:val="22"/>
                <w:shd w:fill="auto" w:val="clear"/>
              </w:rPr>
            </w:pPr>
            <w:r>
              <w:rPr>
                <w:i/>
                <w:sz w:val="22"/>
                <w:szCs w:val="22"/>
                <w:shd w:fill="auto" w:val="clear"/>
              </w:rPr>
              <w:t>.........</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vedella</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5,65</w:t>
            </w:r>
          </w:p>
        </w:tc>
        <w:tc>
          <w:tcPr>
            <w:tcW w:w="1767" w:type="dxa"/>
            <w:tcBorders>
              <w:left w:val="single" w:sz="8" w:space="0" w:color="DDDDDD"/>
              <w:bottom w:val="single" w:sz="8" w:space="0" w:color="DDDDDD"/>
              <w:right w:val="single" w:sz="8" w:space="0" w:color="DDDDDD"/>
            </w:tcBorders>
            <w:shd w:fill="FFFFFF" w:val="clear"/>
            <w:vAlign w:val="center"/>
          </w:tcPr>
          <w:p>
            <w:pPr>
              <w:pStyle w:val="Normal"/>
              <w:widowControl w:val="false"/>
              <w:tabs>
                <w:tab w:val="clear" w:pos="720"/>
              </w:tabs>
              <w:jc w:val="center"/>
              <w:rPr>
                <w:i/>
                <w:i/>
                <w:sz w:val="22"/>
                <w:szCs w:val="22"/>
                <w:highlight w:val="green"/>
              </w:rPr>
            </w:pPr>
            <w:r>
              <w:rPr>
                <w:i/>
                <w:sz w:val="22"/>
                <w:szCs w:val="22"/>
                <w:shd w:fill="auto" w:val="clear"/>
              </w:rPr>
              <w:t>.........</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b/>
              </w:rPr>
              <w:t>LÀCTICS</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i/>
                <w:sz w:val="22"/>
                <w:szCs w:val="22"/>
                <w:highlight w:val="green"/>
              </w:rPr>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i/>
                <w:sz w:val="22"/>
                <w:szCs w:val="22"/>
                <w:highlight w:val="green"/>
              </w:rPr>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i/>
                <w:sz w:val="22"/>
                <w:szCs w:val="22"/>
                <w:highlight w:val="green"/>
              </w:rPr>
            </w:r>
          </w:p>
        </w:tc>
        <w:tc>
          <w:tcPr>
            <w:tcW w:w="1767" w:type="dxa"/>
            <w:tcBorders>
              <w:left w:val="single" w:sz="8" w:space="0" w:color="DDDDDD"/>
              <w:bottom w:val="single" w:sz="8" w:space="0" w:color="DDDDDD"/>
              <w:right w:val="single" w:sz="8" w:space="0" w:color="DDDDDD"/>
            </w:tcBorders>
            <w:shd w:fill="EEEEEE" w:val="clear"/>
            <w:vAlign w:val="center"/>
          </w:tcPr>
          <w:p>
            <w:pPr>
              <w:pStyle w:val="Normal"/>
              <w:widowControl w:val="false"/>
              <w:tabs>
                <w:tab w:val="clear" w:pos="720"/>
              </w:tabs>
              <w:jc w:val="center"/>
              <w:rPr>
                <w:i/>
                <w:i/>
                <w:sz w:val="22"/>
                <w:szCs w:val="22"/>
                <w:highlight w:val="green"/>
              </w:rPr>
            </w:pPr>
            <w:r>
              <w:rPr>
                <w:i w:val="false"/>
                <w:iCs w:val="false"/>
                <w:sz w:val="28"/>
                <w:szCs w:val="28"/>
                <w:shd w:fill="auto" w:val="clear"/>
              </w:rPr>
              <w:t>(SÍ / NO)</w:t>
            </w:r>
          </w:p>
        </w:tc>
      </w:tr>
      <w:tr>
        <w:trPr>
          <w:trHeight w:val="256" w:hRule="atLeast"/>
        </w:trPr>
        <w:tc>
          <w:tcPr>
            <w:tcW w:w="2613" w:type="dxa"/>
            <w:gridSpan w:val="2"/>
            <w:tcBorders>
              <w:left w:val="single" w:sz="8" w:space="0" w:color="FFFFFF"/>
              <w:bottom w:val="single" w:sz="8" w:space="0" w:color="FFFFFF"/>
            </w:tcBorders>
            <w:shd w:fill="EEEEEE" w:val="clear"/>
            <w:vAlign w:val="center"/>
          </w:tcPr>
          <w:p>
            <w:pPr>
              <w:pStyle w:val="Normal"/>
              <w:widowControl w:val="false"/>
              <w:tabs>
                <w:tab w:val="clear" w:pos="720"/>
              </w:tabs>
              <w:jc w:val="left"/>
              <w:rPr>
                <w:i/>
                <w:i/>
                <w:sz w:val="22"/>
                <w:szCs w:val="22"/>
                <w:highlight w:val="green"/>
              </w:rPr>
            </w:pPr>
            <w:r>
              <w:rPr/>
              <w:t>llet</w:t>
            </w:r>
          </w:p>
        </w:tc>
        <w:tc>
          <w:tcPr>
            <w:tcW w:w="2082"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tot l'any</w:t>
            </w:r>
          </w:p>
        </w:tc>
        <w:tc>
          <w:tcPr>
            <w:tcW w:w="2269"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10</w:t>
            </w:r>
          </w:p>
        </w:tc>
        <w:tc>
          <w:tcPr>
            <w:tcW w:w="1083" w:type="dxa"/>
            <w:tcBorders>
              <w:left w:val="single" w:sz="8" w:space="0" w:color="FFFFFF"/>
              <w:bottom w:val="single" w:sz="8" w:space="0" w:color="FFFFFF"/>
            </w:tcBorders>
            <w:shd w:fill="EEEEEE" w:val="clear"/>
            <w:vAlign w:val="center"/>
          </w:tcPr>
          <w:p>
            <w:pPr>
              <w:pStyle w:val="Normal"/>
              <w:widowControl w:val="false"/>
              <w:tabs>
                <w:tab w:val="clear" w:pos="720"/>
              </w:tabs>
              <w:jc w:val="center"/>
              <w:rPr>
                <w:i/>
                <w:i/>
                <w:sz w:val="22"/>
                <w:szCs w:val="22"/>
                <w:highlight w:val="green"/>
              </w:rPr>
            </w:pPr>
            <w:r>
              <w:rPr/>
              <w:t>1,69</w:t>
            </w:r>
          </w:p>
        </w:tc>
        <w:tc>
          <w:tcPr>
            <w:tcW w:w="1767" w:type="dxa"/>
            <w:tcBorders>
              <w:left w:val="single" w:sz="8" w:space="0" w:color="DDDDDD"/>
              <w:bottom w:val="single" w:sz="8" w:space="0" w:color="DDDDDD"/>
              <w:right w:val="single" w:sz="8" w:space="0" w:color="DDDDDD"/>
            </w:tcBorders>
            <w:shd w:fill="FFFFFF" w:val="clear"/>
            <w:vAlign w:val="center"/>
          </w:tcPr>
          <w:p>
            <w:pPr>
              <w:pStyle w:val="Normal"/>
              <w:widowControl w:val="false"/>
              <w:tabs>
                <w:tab w:val="clear" w:pos="720"/>
              </w:tabs>
              <w:jc w:val="center"/>
              <w:rPr>
                <w:i/>
                <w:i/>
                <w:sz w:val="22"/>
                <w:szCs w:val="22"/>
                <w:highlight w:val="green"/>
              </w:rPr>
            </w:pPr>
            <w:r>
              <w:rPr>
                <w:i/>
                <w:sz w:val="22"/>
                <w:szCs w:val="22"/>
                <w:shd w:fill="auto" w:val="clear"/>
              </w:rPr>
              <w:t>.........</w:t>
            </w:r>
          </w:p>
        </w:tc>
      </w:tr>
    </w:tbl>
    <w:p>
      <w:pPr>
        <w:pStyle w:val="Normal"/>
        <w:jc w:val="both"/>
        <w:rPr>
          <w:i/>
          <w:i/>
          <w:sz w:val="22"/>
          <w:szCs w:val="22"/>
          <w:highlight w:val="green"/>
        </w:rPr>
      </w:pPr>
      <w:r>
        <w:rPr>
          <w:i/>
          <w:sz w:val="22"/>
          <w:szCs w:val="22"/>
          <w:highlight w:val="green"/>
        </w:rPr>
      </w:r>
    </w:p>
    <w:p>
      <w:pPr>
        <w:pStyle w:val="Normal"/>
        <w:jc w:val="both"/>
        <w:rPr/>
      </w:pPr>
      <w:r>
        <w:rPr/>
      </w:r>
    </w:p>
    <w:p>
      <w:pPr>
        <w:pStyle w:val="Normal"/>
        <w:jc w:val="both"/>
        <w:rPr/>
      </w:pPr>
      <w:r>
        <w:rPr/>
      </w:r>
    </w:p>
    <w:tbl>
      <w:tblPr>
        <w:tblW w:w="9814" w:type="dxa"/>
        <w:jc w:val="left"/>
        <w:tblInd w:w="30" w:type="dxa"/>
        <w:tblLayout w:type="fixed"/>
        <w:tblCellMar>
          <w:top w:w="85" w:type="dxa"/>
          <w:left w:w="85" w:type="dxa"/>
          <w:bottom w:w="85" w:type="dxa"/>
          <w:right w:w="85" w:type="dxa"/>
        </w:tblCellMar>
        <w:tblLook w:val="01e0"/>
      </w:tblPr>
      <w:tblGrid>
        <w:gridCol w:w="1475"/>
        <w:gridCol w:w="1024"/>
        <w:gridCol w:w="3738"/>
        <w:gridCol w:w="1763"/>
        <w:gridCol w:w="1813"/>
      </w:tblGrid>
      <w:tr>
        <w:trPr>
          <w:trHeight w:val="383" w:hRule="atLeast"/>
        </w:trPr>
        <w:tc>
          <w:tcPr>
            <w:tcW w:w="1475" w:type="dxa"/>
            <w:tcBorders>
              <w:top w:val="single" w:sz="8" w:space="0" w:color="FFFFFF"/>
              <w:left w:val="single" w:sz="8" w:space="0" w:color="FFFFFF"/>
              <w:bottom w:val="single" w:sz="8" w:space="0" w:color="FFFFFF"/>
            </w:tcBorders>
            <w:shd w:fill="EEEEEE" w:val="clear"/>
            <w:vAlign w:val="center"/>
          </w:tcPr>
          <w:p>
            <w:pPr>
              <w:pStyle w:val="Normal"/>
              <w:widowControl w:val="false"/>
              <w:tabs>
                <w:tab w:val="clear" w:pos="720"/>
              </w:tabs>
              <w:jc w:val="center"/>
              <w:rPr>
                <w:rFonts w:ascii="Arial" w:hAnsi="Arial" w:eastAsia="SimSun;宋体" w:cs="Arial"/>
                <w:b w:val="false"/>
                <w:b w:val="false"/>
                <w:bCs w:val="false"/>
                <w:color w:val="00000A"/>
                <w:kern w:val="0"/>
                <w:sz w:val="20"/>
                <w:szCs w:val="20"/>
                <w:lang w:val="ca-ES" w:eastAsia="zh-CN" w:bidi="ar-SA"/>
              </w:rPr>
            </w:pPr>
            <w:r>
              <w:rPr>
                <w:rFonts w:eastAsia="SimSun;宋体" w:cs="Arial"/>
                <w:b w:val="false"/>
                <w:bCs w:val="false"/>
                <w:color w:val="00000A"/>
                <w:kern w:val="0"/>
                <w:sz w:val="20"/>
                <w:szCs w:val="20"/>
                <w:lang w:val="ca-ES" w:eastAsia="zh-CN" w:bidi="ar-SA"/>
              </w:rPr>
              <w:t>15.1.1.2</w:t>
            </w:r>
          </w:p>
        </w:tc>
        <w:tc>
          <w:tcPr>
            <w:tcW w:w="8338" w:type="dxa"/>
            <w:gridSpan w:val="4"/>
            <w:tcBorders>
              <w:top w:val="single" w:sz="8" w:space="0" w:color="FFFFFF"/>
              <w:left w:val="single" w:sz="8" w:space="0" w:color="FFFFFF"/>
              <w:bottom w:val="single" w:sz="8" w:space="0" w:color="FFFFFF"/>
              <w:right w:val="single" w:sz="8" w:space="0" w:color="FFFFFF"/>
            </w:tcBorders>
            <w:shd w:fill="EEEEEE" w:val="clear"/>
            <w:vAlign w:val="center"/>
          </w:tcPr>
          <w:p>
            <w:pPr>
              <w:pStyle w:val="Normal"/>
              <w:widowControl w:val="false"/>
              <w:tabs>
                <w:tab w:val="clear" w:pos="720"/>
              </w:tabs>
              <w:jc w:val="left"/>
              <w:rPr/>
            </w:pPr>
            <w:r>
              <w:rPr/>
              <w:t>Incorporació dr productes de proximitat en l'elaboració del menú, fins a un màxim de 10 punts</w:t>
            </w:r>
          </w:p>
        </w:tc>
      </w:tr>
      <w:tr>
        <w:trPr>
          <w:trHeight w:val="383" w:hRule="atLeast"/>
        </w:trPr>
        <w:tc>
          <w:tcPr>
            <w:tcW w:w="9813" w:type="dxa"/>
            <w:gridSpan w:val="5"/>
            <w:tcBorders>
              <w:left w:val="single" w:sz="8" w:space="0" w:color="FFFFFF"/>
              <w:bottom w:val="single" w:sz="8" w:space="0" w:color="FFFFFF"/>
              <w:right w:val="single" w:sz="8" w:space="0" w:color="FFFFFF"/>
            </w:tcBorders>
            <w:shd w:fill="EEEEEE" w:val="clear"/>
            <w:tcMar>
              <w:top w:w="28" w:type="dxa"/>
              <w:left w:w="28" w:type="dxa"/>
              <w:bottom w:w="28" w:type="dxa"/>
              <w:right w:w="28" w:type="dxa"/>
            </w:tcMar>
            <w:vAlign w:val="center"/>
          </w:tcPr>
          <w:p>
            <w:pPr>
              <w:pStyle w:val="Normal"/>
              <w:widowControl w:val="false"/>
              <w:jc w:val="both"/>
              <w:rPr>
                <w:sz w:val="20"/>
                <w:szCs w:val="20"/>
              </w:rPr>
            </w:pPr>
            <w:r>
              <w:rPr>
                <w:rFonts w:eastAsia="SimSun;宋体"/>
                <w:color w:val="000000"/>
                <w:sz w:val="20"/>
                <w:szCs w:val="20"/>
                <w:lang w:val="ca-ES" w:eastAsia="zh-CN"/>
              </w:rPr>
              <w:t>Es valorarà l’oferta de productes de proximitat per part de les empreses licitadores.</w:t>
            </w:r>
          </w:p>
          <w:p>
            <w:pPr>
              <w:pStyle w:val="Normal"/>
              <w:widowControl w:val="false"/>
              <w:jc w:val="both"/>
              <w:rPr>
                <w:rFonts w:ascii="Arial" w:hAnsi="Arial" w:eastAsia="SimSun;宋体"/>
                <w:color w:val="000000"/>
                <w:lang w:val="ca-ES" w:eastAsia="zh-CN"/>
              </w:rPr>
            </w:pPr>
            <w:r>
              <w:rPr>
                <w:rFonts w:eastAsia="SimSun;宋体"/>
                <w:color w:val="000000"/>
                <w:lang w:val="ca-ES" w:eastAsia="zh-CN"/>
              </w:rPr>
            </w:r>
          </w:p>
          <w:p>
            <w:pPr>
              <w:pStyle w:val="Normal"/>
              <w:widowControl w:val="false"/>
              <w:jc w:val="both"/>
              <w:rPr>
                <w:sz w:val="20"/>
                <w:szCs w:val="20"/>
              </w:rPr>
            </w:pPr>
            <w:r>
              <w:rPr>
                <w:rFonts w:eastAsia="SimSun;宋体"/>
                <w:color w:val="000000"/>
                <w:sz w:val="20"/>
                <w:szCs w:val="20"/>
                <w:lang w:val="ca-ES" w:eastAsia="zh-CN"/>
              </w:rPr>
              <w:t>L'Ajuntament té la voluntat de promoure els productes de proximitat que contribueixen, entre d'altres, a rebaixar la petjada ecològica. Per aquest motiu es valora la inclusió d'aquests productes dins dels menús diaris.</w:t>
            </w:r>
          </w:p>
          <w:p>
            <w:pPr>
              <w:pStyle w:val="Normal"/>
              <w:widowControl w:val="false"/>
              <w:jc w:val="both"/>
              <w:rPr>
                <w:rFonts w:ascii="Arial" w:hAnsi="Arial" w:eastAsia="SimSun;宋体"/>
                <w:color w:val="000000"/>
                <w:lang w:val="ca-ES" w:eastAsia="zh-CN"/>
              </w:rPr>
            </w:pPr>
            <w:r>
              <w:rPr>
                <w:rFonts w:eastAsia="SimSun;宋体"/>
                <w:color w:val="000000"/>
                <w:lang w:val="ca-ES" w:eastAsia="zh-CN"/>
              </w:rPr>
            </w:r>
          </w:p>
          <w:p>
            <w:pPr>
              <w:pStyle w:val="Normal"/>
              <w:widowControl w:val="false"/>
              <w:jc w:val="both"/>
              <w:rPr>
                <w:sz w:val="20"/>
                <w:szCs w:val="20"/>
              </w:rPr>
            </w:pPr>
            <w:r>
              <w:rPr>
                <w:rFonts w:eastAsia="SimSun;宋体"/>
                <w:color w:val="000000"/>
                <w:sz w:val="20"/>
                <w:szCs w:val="20"/>
                <w:lang w:val="ca-ES" w:eastAsia="zh-CN"/>
              </w:rPr>
              <w:t>L'oferta de productes de proximitat  implica que el producte s'ha de subministrar en tot el període vegetatiu (estacionalitat) indicat i per a tot el producte que requereixi l'escola (en tots els tipus de menús) i amb la freqüència detallada a la graella.</w:t>
            </w:r>
          </w:p>
          <w:p>
            <w:pPr>
              <w:pStyle w:val="Normal"/>
              <w:widowControl w:val="false"/>
              <w:jc w:val="both"/>
              <w:rPr>
                <w:rFonts w:ascii="Arial" w:hAnsi="Arial" w:eastAsia="SimSun;宋体"/>
                <w:color w:val="000000"/>
                <w:lang w:val="ca-ES" w:eastAsia="zh-CN"/>
              </w:rPr>
            </w:pPr>
            <w:r>
              <w:rPr>
                <w:rFonts w:eastAsia="SimSun;宋体"/>
                <w:color w:val="000000"/>
                <w:lang w:val="ca-ES" w:eastAsia="zh-CN"/>
              </w:rPr>
            </w:r>
          </w:p>
          <w:p>
            <w:pPr>
              <w:pStyle w:val="Normal"/>
              <w:widowControl w:val="false"/>
              <w:jc w:val="both"/>
              <w:rPr>
                <w:sz w:val="20"/>
                <w:szCs w:val="20"/>
              </w:rPr>
            </w:pPr>
            <w:r>
              <w:rPr>
                <w:rFonts w:eastAsia="SimSun;宋体"/>
                <w:color w:val="000000"/>
                <w:sz w:val="20"/>
                <w:szCs w:val="20"/>
                <w:lang w:val="ca-ES" w:eastAsia="zh-CN"/>
              </w:rPr>
              <w:t>La procedència haurà ser acreditat pels mitjans establerts en el Decret 24/2013, de 8 de gener, sobre l'acreditació de la venda de proximitat de productes agroalimentaris, modificat pel Decret 254/2019, de 3 de desembre.</w:t>
            </w:r>
          </w:p>
          <w:p>
            <w:pPr>
              <w:pStyle w:val="Normal"/>
              <w:widowControl w:val="false"/>
              <w:jc w:val="both"/>
              <w:rPr>
                <w:rFonts w:ascii="Arial" w:hAnsi="Arial" w:eastAsia="SimSun;宋体"/>
                <w:color w:val="000000"/>
                <w:lang w:val="ca-ES" w:eastAsia="zh-CN"/>
              </w:rPr>
            </w:pPr>
            <w:r>
              <w:rPr>
                <w:rFonts w:eastAsia="SimSun;宋体"/>
                <w:color w:val="000000"/>
                <w:lang w:val="ca-ES" w:eastAsia="zh-CN"/>
              </w:rPr>
            </w:r>
          </w:p>
          <w:p>
            <w:pPr>
              <w:pStyle w:val="Normal"/>
              <w:widowControl w:val="false"/>
              <w:jc w:val="both"/>
              <w:rPr>
                <w:sz w:val="20"/>
                <w:szCs w:val="20"/>
              </w:rPr>
            </w:pPr>
            <w:r>
              <w:rPr>
                <w:rFonts w:eastAsia="SimSun;宋体"/>
                <w:color w:val="000000"/>
                <w:sz w:val="20"/>
                <w:szCs w:val="20"/>
                <w:lang w:val="ca-ES" w:eastAsia="zh-CN"/>
              </w:rPr>
              <w:t xml:space="preserve">Els licitadores indicaran en la seva oferta </w:t>
            </w:r>
            <w:r>
              <w:rPr>
                <w:rFonts w:eastAsia="SimSun;宋体"/>
                <w:b/>
                <w:bCs/>
                <w:color w:val="000000"/>
                <w:sz w:val="20"/>
                <w:szCs w:val="20"/>
                <w:lang w:val="ca-ES" w:eastAsia="zh-CN"/>
              </w:rPr>
              <w:t xml:space="preserve">si ofereixen o no </w:t>
            </w:r>
            <w:r>
              <w:rPr>
                <w:rFonts w:eastAsia="SimSun;宋体"/>
                <w:color w:val="000000"/>
                <w:sz w:val="20"/>
                <w:szCs w:val="20"/>
                <w:lang w:val="ca-ES" w:eastAsia="zh-CN"/>
              </w:rPr>
              <w:t>els productes de proximitat que s’indiquen.</w:t>
            </w:r>
          </w:p>
          <w:p>
            <w:pPr>
              <w:pStyle w:val="Cosdeltext"/>
              <w:widowControl w:val="false"/>
              <w:ind w:left="0" w:right="328" w:hanging="0"/>
              <w:jc w:val="both"/>
              <w:rPr>
                <w:rFonts w:ascii="Arial" w:hAnsi="Arial" w:eastAsia="SimSun;宋体"/>
                <w:color w:val="000000"/>
                <w:sz w:val="22"/>
                <w:szCs w:val="22"/>
                <w:lang w:val="ca-ES" w:eastAsia="zh-CN"/>
              </w:rPr>
            </w:pPr>
            <w:r>
              <w:rPr>
                <w:rFonts w:eastAsia="SimSun;宋体" w:ascii="Arial" w:hAnsi="Arial"/>
                <w:color w:val="000000"/>
                <w:sz w:val="22"/>
                <w:szCs w:val="22"/>
                <w:lang w:val="ca-ES" w:eastAsia="zh-CN"/>
              </w:rPr>
            </w:r>
          </w:p>
        </w:tc>
      </w:tr>
      <w:tr>
        <w:trPr>
          <w:trHeight w:val="743" w:hRule="atLeast"/>
        </w:trPr>
        <w:tc>
          <w:tcPr>
            <w:tcW w:w="2499" w:type="dxa"/>
            <w:gridSpan w:val="2"/>
            <w:tcBorders>
              <w:top w:val="single" w:sz="2" w:space="0" w:color="FFFFFF"/>
              <w:left w:val="single" w:sz="2" w:space="0" w:color="FFFFFF"/>
              <w:bottom w:val="single" w:sz="2" w:space="0" w:color="FFFFFF"/>
            </w:tcBorders>
            <w:shd w:fill="EEEEEE" w:val="clear"/>
            <w:tcMar>
              <w:top w:w="28" w:type="dxa"/>
              <w:left w:w="28" w:type="dxa"/>
              <w:bottom w:w="28" w:type="dxa"/>
              <w:right w:w="28" w:type="dxa"/>
            </w:tcMar>
            <w:vAlign w:val="center"/>
          </w:tcPr>
          <w:p>
            <w:pPr>
              <w:pStyle w:val="TableParagraph"/>
              <w:widowControl w:val="false"/>
              <w:spacing w:before="59" w:after="0"/>
              <w:ind w:left="542" w:right="0" w:hanging="0"/>
              <w:rPr>
                <w:rFonts w:ascii="Arial" w:hAnsi="Arial"/>
                <w:sz w:val="22"/>
                <w:szCs w:val="22"/>
              </w:rPr>
            </w:pPr>
            <w:r>
              <w:rPr>
                <w:rFonts w:ascii="Arial" w:hAnsi="Arial"/>
                <w:spacing w:val="-2"/>
                <w:sz w:val="22"/>
                <w:szCs w:val="22"/>
              </w:rPr>
              <w:t>PRODUCTE</w:t>
            </w:r>
          </w:p>
        </w:tc>
        <w:tc>
          <w:tcPr>
            <w:tcW w:w="3738" w:type="dxa"/>
            <w:tcBorders>
              <w:top w:val="single" w:sz="2" w:space="0" w:color="FFFFFF"/>
              <w:left w:val="single" w:sz="2" w:space="0" w:color="FFFFFF"/>
              <w:bottom w:val="single" w:sz="2" w:space="0" w:color="FFFFFF"/>
            </w:tcBorders>
            <w:shd w:fill="EEEEEE" w:val="clear"/>
            <w:tcMar>
              <w:top w:w="28" w:type="dxa"/>
              <w:left w:w="28" w:type="dxa"/>
              <w:bottom w:w="28" w:type="dxa"/>
              <w:right w:w="28" w:type="dxa"/>
            </w:tcMar>
            <w:vAlign w:val="center"/>
          </w:tcPr>
          <w:p>
            <w:pPr>
              <w:pStyle w:val="TableParagraph"/>
              <w:widowControl w:val="false"/>
              <w:spacing w:before="59" w:after="0"/>
              <w:ind w:left="606" w:right="0" w:hanging="0"/>
              <w:rPr>
                <w:rFonts w:ascii="Arial" w:hAnsi="Arial"/>
                <w:shd w:fill="auto" w:val="clear"/>
              </w:rPr>
            </w:pPr>
            <w:r>
              <w:rPr>
                <w:rFonts w:ascii="Arial" w:hAnsi="Arial"/>
                <w:sz w:val="22"/>
                <w:szCs w:val="22"/>
                <w:shd w:fill="auto" w:val="clear"/>
              </w:rPr>
              <w:t>FREQÜÈNCIA</w:t>
            </w:r>
            <w:r>
              <w:rPr>
                <w:rFonts w:ascii="Arial" w:hAnsi="Arial"/>
                <w:spacing w:val="-5"/>
                <w:sz w:val="22"/>
                <w:szCs w:val="22"/>
                <w:shd w:fill="auto" w:val="clear"/>
              </w:rPr>
              <w:t xml:space="preserve"> </w:t>
            </w:r>
            <w:r>
              <w:rPr>
                <w:rFonts w:ascii="Arial" w:hAnsi="Arial"/>
                <w:spacing w:val="-2"/>
                <w:sz w:val="22"/>
                <w:szCs w:val="22"/>
                <w:shd w:fill="auto" w:val="clear"/>
              </w:rPr>
              <w:t>MÍNIMA</w:t>
            </w:r>
          </w:p>
        </w:tc>
        <w:tc>
          <w:tcPr>
            <w:tcW w:w="1763" w:type="dxa"/>
            <w:tcBorders>
              <w:top w:val="single" w:sz="2" w:space="0" w:color="FFFFFF"/>
              <w:left w:val="single" w:sz="2" w:space="0" w:color="FFFFFF"/>
              <w:bottom w:val="single" w:sz="2" w:space="0" w:color="FFFFFF"/>
            </w:tcBorders>
            <w:shd w:fill="EEEEEE" w:val="clear"/>
            <w:tcMar>
              <w:top w:w="28" w:type="dxa"/>
              <w:left w:w="28" w:type="dxa"/>
              <w:bottom w:w="28" w:type="dxa"/>
              <w:right w:w="28" w:type="dxa"/>
            </w:tcMar>
            <w:vAlign w:val="center"/>
          </w:tcPr>
          <w:p>
            <w:pPr>
              <w:pStyle w:val="TableParagraph"/>
              <w:widowControl w:val="false"/>
              <w:spacing w:before="59" w:after="0"/>
              <w:ind w:left="6" w:right="0" w:hanging="0"/>
              <w:jc w:val="center"/>
              <w:rPr>
                <w:rFonts w:ascii="Arial" w:hAnsi="Arial"/>
                <w:sz w:val="22"/>
                <w:szCs w:val="22"/>
              </w:rPr>
            </w:pPr>
            <w:r>
              <w:rPr>
                <w:rFonts w:ascii="Arial" w:hAnsi="Arial"/>
                <w:spacing w:val="-2"/>
                <w:sz w:val="22"/>
                <w:szCs w:val="22"/>
              </w:rPr>
              <w:t>PUNTS</w:t>
            </w:r>
          </w:p>
        </w:tc>
        <w:tc>
          <w:tcPr>
            <w:tcW w:w="1813" w:type="dxa"/>
            <w:tcBorders>
              <w:top w:val="single" w:sz="2" w:space="0" w:color="FFFFFF"/>
              <w:left w:val="single" w:sz="2" w:space="0" w:color="FFFFFF"/>
              <w:bottom w:val="single" w:sz="2" w:space="0" w:color="FFFFFF"/>
              <w:right w:val="single" w:sz="2" w:space="0" w:color="FFFFFF"/>
            </w:tcBorders>
            <w:shd w:fill="EEEEEE" w:val="clear"/>
            <w:tcMar>
              <w:top w:w="28" w:type="dxa"/>
              <w:left w:w="28" w:type="dxa"/>
              <w:bottom w:w="28" w:type="dxa"/>
              <w:right w:w="28" w:type="dxa"/>
            </w:tcMar>
            <w:vAlign w:val="center"/>
          </w:tcPr>
          <w:p>
            <w:pPr>
              <w:pStyle w:val="Normal"/>
              <w:widowControl w:val="false"/>
              <w:tabs>
                <w:tab w:val="clear" w:pos="720"/>
              </w:tabs>
              <w:jc w:val="center"/>
              <w:rPr>
                <w:i/>
                <w:i/>
                <w:sz w:val="22"/>
                <w:szCs w:val="22"/>
                <w:highlight w:val="green"/>
              </w:rPr>
            </w:pPr>
            <w:r>
              <w:rPr>
                <w:i w:val="false"/>
                <w:iCs w:val="false"/>
                <w:sz w:val="28"/>
                <w:szCs w:val="28"/>
                <w:shd w:fill="auto" w:val="clear"/>
              </w:rPr>
              <w:t>(SÍ / NO)</w:t>
            </w:r>
          </w:p>
        </w:tc>
      </w:tr>
      <w:tr>
        <w:trPr>
          <w:trHeight w:val="282" w:hRule="atLeast"/>
        </w:trPr>
        <w:tc>
          <w:tcPr>
            <w:tcW w:w="2499" w:type="dxa"/>
            <w:gridSpan w:val="2"/>
            <w:tcBorders>
              <w:left w:val="single" w:sz="2" w:space="0" w:color="FFFFFF"/>
              <w:bottom w:val="single" w:sz="2" w:space="0" w:color="FFFFFF"/>
            </w:tcBorders>
            <w:shd w:fill="EEEEEE" w:val="clear"/>
            <w:tcMar>
              <w:top w:w="142" w:type="dxa"/>
              <w:left w:w="142" w:type="dxa"/>
              <w:bottom w:w="142" w:type="dxa"/>
              <w:right w:w="142" w:type="dxa"/>
            </w:tcMar>
            <w:vAlign w:val="center"/>
          </w:tcPr>
          <w:p>
            <w:pPr>
              <w:pStyle w:val="TableParagraph"/>
              <w:widowControl w:val="false"/>
              <w:spacing w:before="59" w:after="0"/>
              <w:ind w:left="28" w:right="0" w:hanging="0"/>
              <w:rPr>
                <w:rFonts w:ascii="Arial" w:hAnsi="Arial"/>
                <w:sz w:val="22"/>
                <w:szCs w:val="22"/>
              </w:rPr>
            </w:pPr>
            <w:r>
              <w:rPr>
                <w:rFonts w:ascii="Arial" w:hAnsi="Arial"/>
                <w:spacing w:val="-2"/>
                <w:sz w:val="22"/>
                <w:szCs w:val="22"/>
              </w:rPr>
              <w:t>vedella</w:t>
            </w:r>
          </w:p>
        </w:tc>
        <w:tc>
          <w:tcPr>
            <w:tcW w:w="3738" w:type="dxa"/>
            <w:tcBorders>
              <w:left w:val="single" w:sz="2" w:space="0" w:color="FFFFFF"/>
              <w:bottom w:val="single" w:sz="2" w:space="0" w:color="FFFFFF"/>
            </w:tcBorders>
            <w:shd w:fill="EEEEEE" w:val="clear"/>
            <w:tcMar>
              <w:top w:w="142" w:type="dxa"/>
              <w:left w:w="142" w:type="dxa"/>
              <w:bottom w:w="142" w:type="dxa"/>
              <w:right w:w="142" w:type="dxa"/>
            </w:tcMar>
            <w:vAlign w:val="center"/>
          </w:tcPr>
          <w:p>
            <w:pPr>
              <w:pStyle w:val="TableParagraph"/>
              <w:widowControl w:val="false"/>
              <w:spacing w:before="59" w:after="0"/>
              <w:ind w:left="28" w:right="0" w:hanging="0"/>
              <w:rPr>
                <w:rFonts w:ascii="Arial" w:hAnsi="Arial"/>
                <w:shd w:fill="auto" w:val="clear"/>
              </w:rPr>
            </w:pPr>
            <w:r>
              <w:rPr>
                <w:rFonts w:ascii="Arial" w:hAnsi="Arial"/>
                <w:sz w:val="22"/>
                <w:szCs w:val="22"/>
                <w:shd w:fill="auto" w:val="clear"/>
              </w:rPr>
              <w:t>1</w:t>
            </w:r>
            <w:r>
              <w:rPr>
                <w:rFonts w:ascii="Arial" w:hAnsi="Arial"/>
                <w:spacing w:val="-2"/>
                <w:sz w:val="22"/>
                <w:szCs w:val="22"/>
                <w:shd w:fill="auto" w:val="clear"/>
              </w:rPr>
              <w:t xml:space="preserve"> </w:t>
            </w:r>
            <w:r>
              <w:rPr>
                <w:rFonts w:ascii="Arial" w:hAnsi="Arial"/>
                <w:sz w:val="22"/>
                <w:szCs w:val="22"/>
                <w:shd w:fill="auto" w:val="clear"/>
              </w:rPr>
              <w:t>cop</w:t>
            </w:r>
            <w:r>
              <w:rPr>
                <w:rFonts w:ascii="Arial" w:hAnsi="Arial"/>
                <w:spacing w:val="-2"/>
                <w:sz w:val="22"/>
                <w:szCs w:val="22"/>
                <w:shd w:fill="auto" w:val="clear"/>
              </w:rPr>
              <w:t xml:space="preserve"> </w:t>
            </w:r>
            <w:r>
              <w:rPr>
                <w:rFonts w:ascii="Arial" w:hAnsi="Arial"/>
                <w:sz w:val="22"/>
                <w:szCs w:val="22"/>
                <w:shd w:fill="auto" w:val="clear"/>
              </w:rPr>
              <w:t>per</w:t>
            </w:r>
            <w:r>
              <w:rPr>
                <w:rFonts w:ascii="Arial" w:hAnsi="Arial"/>
                <w:spacing w:val="-3"/>
                <w:sz w:val="22"/>
                <w:szCs w:val="22"/>
                <w:shd w:fill="auto" w:val="clear"/>
              </w:rPr>
              <w:t xml:space="preserve"> </w:t>
            </w:r>
            <w:r>
              <w:rPr>
                <w:rFonts w:ascii="Arial" w:hAnsi="Arial"/>
                <w:sz w:val="22"/>
                <w:szCs w:val="22"/>
                <w:shd w:fill="auto" w:val="clear"/>
              </w:rPr>
              <w:t>setmana</w:t>
            </w:r>
            <w:r>
              <w:rPr>
                <w:rFonts w:ascii="Arial" w:hAnsi="Arial"/>
                <w:spacing w:val="-1"/>
                <w:sz w:val="22"/>
                <w:szCs w:val="22"/>
                <w:shd w:fill="auto" w:val="clear"/>
              </w:rPr>
              <w:t xml:space="preserve"> </w:t>
            </w:r>
            <w:r>
              <w:rPr>
                <w:rFonts w:ascii="Arial" w:hAnsi="Arial"/>
                <w:sz w:val="22"/>
                <w:szCs w:val="22"/>
                <w:shd w:fill="auto" w:val="clear"/>
              </w:rPr>
              <w:t>com</w:t>
            </w:r>
            <w:r>
              <w:rPr>
                <w:rFonts w:ascii="Arial" w:hAnsi="Arial"/>
                <w:spacing w:val="-3"/>
                <w:sz w:val="22"/>
                <w:szCs w:val="22"/>
                <w:shd w:fill="auto" w:val="clear"/>
              </w:rPr>
              <w:t xml:space="preserve"> </w:t>
            </w:r>
            <w:r>
              <w:rPr>
                <w:rFonts w:ascii="Arial" w:hAnsi="Arial"/>
                <w:sz w:val="22"/>
                <w:szCs w:val="22"/>
                <w:shd w:fill="auto" w:val="clear"/>
              </w:rPr>
              <w:t>a</w:t>
            </w:r>
            <w:r>
              <w:rPr>
                <w:rFonts w:ascii="Arial" w:hAnsi="Arial"/>
                <w:spacing w:val="-3"/>
                <w:sz w:val="22"/>
                <w:szCs w:val="22"/>
                <w:shd w:fill="auto" w:val="clear"/>
              </w:rPr>
              <w:t xml:space="preserve"> </w:t>
            </w:r>
            <w:r>
              <w:rPr>
                <w:rFonts w:ascii="Arial" w:hAnsi="Arial"/>
                <w:sz w:val="22"/>
                <w:szCs w:val="22"/>
                <w:shd w:fill="auto" w:val="clear"/>
              </w:rPr>
              <w:t>2n</w:t>
            </w:r>
            <w:r>
              <w:rPr>
                <w:rFonts w:ascii="Arial" w:hAnsi="Arial"/>
                <w:spacing w:val="-1"/>
                <w:sz w:val="22"/>
                <w:szCs w:val="22"/>
                <w:shd w:fill="auto" w:val="clear"/>
              </w:rPr>
              <w:t xml:space="preserve"> </w:t>
            </w:r>
            <w:r>
              <w:rPr>
                <w:rFonts w:ascii="Arial" w:hAnsi="Arial"/>
                <w:spacing w:val="-4"/>
                <w:sz w:val="22"/>
                <w:szCs w:val="22"/>
                <w:shd w:fill="auto" w:val="clear"/>
              </w:rPr>
              <w:t>plat</w:t>
            </w:r>
          </w:p>
        </w:tc>
        <w:tc>
          <w:tcPr>
            <w:tcW w:w="1763" w:type="dxa"/>
            <w:tcBorders>
              <w:left w:val="single" w:sz="2" w:space="0" w:color="FFFFFF"/>
              <w:bottom w:val="single" w:sz="2" w:space="0" w:color="FFFFFF"/>
            </w:tcBorders>
            <w:shd w:fill="EEEEEE" w:val="clear"/>
            <w:tcMar>
              <w:top w:w="142" w:type="dxa"/>
              <w:left w:w="142" w:type="dxa"/>
              <w:bottom w:w="142" w:type="dxa"/>
              <w:right w:w="142" w:type="dxa"/>
            </w:tcMar>
            <w:vAlign w:val="center"/>
          </w:tcPr>
          <w:p>
            <w:pPr>
              <w:pStyle w:val="TableParagraph"/>
              <w:widowControl w:val="false"/>
              <w:spacing w:before="59" w:after="0"/>
              <w:ind w:left="6" w:right="1" w:hanging="0"/>
              <w:jc w:val="center"/>
              <w:rPr>
                <w:rFonts w:ascii="Arial" w:hAnsi="Arial"/>
                <w:sz w:val="22"/>
                <w:szCs w:val="22"/>
              </w:rPr>
            </w:pPr>
            <w:r>
              <w:rPr>
                <w:rFonts w:ascii="Arial" w:hAnsi="Arial"/>
                <w:spacing w:val="-10"/>
                <w:sz w:val="22"/>
                <w:szCs w:val="22"/>
              </w:rPr>
              <w:t>4</w:t>
            </w:r>
          </w:p>
        </w:tc>
        <w:tc>
          <w:tcPr>
            <w:tcW w:w="1813" w:type="dxa"/>
            <w:tcBorders>
              <w:top w:val="single" w:sz="10" w:space="0" w:color="DDDDDD"/>
              <w:left w:val="single" w:sz="10" w:space="0" w:color="DDDDDD"/>
              <w:bottom w:val="single" w:sz="10" w:space="0" w:color="DDDDDD"/>
              <w:right w:val="single" w:sz="10" w:space="0" w:color="DDDDDD"/>
            </w:tcBorders>
            <w:shd w:fill="FFFFFF" w:val="clear"/>
            <w:tcMar>
              <w:top w:w="142" w:type="dxa"/>
              <w:left w:w="142" w:type="dxa"/>
              <w:bottom w:w="142" w:type="dxa"/>
              <w:right w:w="142" w:type="dxa"/>
            </w:tcMar>
            <w:vAlign w:val="center"/>
          </w:tcPr>
          <w:p>
            <w:pPr>
              <w:pStyle w:val="Normal"/>
              <w:widowControl w:val="false"/>
              <w:tabs>
                <w:tab w:val="clear" w:pos="720"/>
              </w:tabs>
              <w:jc w:val="center"/>
              <w:rPr>
                <w:i/>
                <w:i/>
                <w:sz w:val="22"/>
                <w:szCs w:val="22"/>
                <w:highlight w:val="green"/>
              </w:rPr>
            </w:pPr>
            <w:r>
              <w:rPr>
                <w:i/>
                <w:sz w:val="22"/>
                <w:szCs w:val="22"/>
                <w:shd w:fill="auto" w:val="clear"/>
              </w:rPr>
              <w:t>.........</w:t>
            </w:r>
          </w:p>
        </w:tc>
      </w:tr>
      <w:tr>
        <w:trPr>
          <w:trHeight w:val="282" w:hRule="atLeast"/>
        </w:trPr>
        <w:tc>
          <w:tcPr>
            <w:tcW w:w="2499" w:type="dxa"/>
            <w:gridSpan w:val="2"/>
            <w:tcBorders>
              <w:left w:val="single" w:sz="2" w:space="0" w:color="FFFFFF"/>
              <w:bottom w:val="single" w:sz="2" w:space="0" w:color="FFFFFF"/>
            </w:tcBorders>
            <w:shd w:fill="EEEEEE" w:val="clear"/>
            <w:tcMar>
              <w:top w:w="142" w:type="dxa"/>
              <w:left w:w="142" w:type="dxa"/>
              <w:bottom w:w="142" w:type="dxa"/>
              <w:right w:w="142" w:type="dxa"/>
            </w:tcMar>
            <w:vAlign w:val="center"/>
          </w:tcPr>
          <w:p>
            <w:pPr>
              <w:pStyle w:val="TableParagraph"/>
              <w:widowControl w:val="false"/>
              <w:spacing w:before="59" w:after="0"/>
              <w:ind w:left="28" w:right="0" w:hanging="0"/>
              <w:rPr>
                <w:rFonts w:ascii="Arial" w:hAnsi="Arial"/>
                <w:sz w:val="22"/>
                <w:szCs w:val="22"/>
              </w:rPr>
            </w:pPr>
            <w:r>
              <w:rPr>
                <w:rFonts w:ascii="Arial" w:hAnsi="Arial"/>
                <w:sz w:val="22"/>
                <w:szCs w:val="22"/>
              </w:rPr>
              <w:t>pollastre</w:t>
            </w:r>
            <w:r>
              <w:rPr>
                <w:rFonts w:ascii="Arial" w:hAnsi="Arial"/>
                <w:spacing w:val="-4"/>
                <w:sz w:val="22"/>
                <w:szCs w:val="22"/>
              </w:rPr>
              <w:t xml:space="preserve"> </w:t>
            </w:r>
            <w:r>
              <w:rPr>
                <w:rFonts w:ascii="Arial" w:hAnsi="Arial"/>
                <w:sz w:val="22"/>
                <w:szCs w:val="22"/>
              </w:rPr>
              <w:t>o</w:t>
            </w:r>
            <w:r>
              <w:rPr>
                <w:rFonts w:ascii="Arial" w:hAnsi="Arial"/>
                <w:spacing w:val="-3"/>
                <w:sz w:val="22"/>
                <w:szCs w:val="22"/>
              </w:rPr>
              <w:t xml:space="preserve"> </w:t>
            </w:r>
            <w:r>
              <w:rPr>
                <w:rFonts w:ascii="Arial" w:hAnsi="Arial"/>
                <w:sz w:val="22"/>
                <w:szCs w:val="22"/>
              </w:rPr>
              <w:t>carn</w:t>
            </w:r>
            <w:r>
              <w:rPr>
                <w:rFonts w:ascii="Arial" w:hAnsi="Arial"/>
                <w:spacing w:val="-3"/>
                <w:sz w:val="22"/>
                <w:szCs w:val="22"/>
              </w:rPr>
              <w:t xml:space="preserve"> </w:t>
            </w:r>
            <w:r>
              <w:rPr>
                <w:rFonts w:ascii="Arial" w:hAnsi="Arial"/>
                <w:spacing w:val="-2"/>
                <w:sz w:val="22"/>
                <w:szCs w:val="22"/>
              </w:rPr>
              <w:t>blanca</w:t>
            </w:r>
          </w:p>
        </w:tc>
        <w:tc>
          <w:tcPr>
            <w:tcW w:w="3738" w:type="dxa"/>
            <w:tcBorders>
              <w:left w:val="single" w:sz="2" w:space="0" w:color="FFFFFF"/>
              <w:bottom w:val="single" w:sz="2" w:space="0" w:color="FFFFFF"/>
            </w:tcBorders>
            <w:shd w:fill="EEEEEE" w:val="clear"/>
            <w:tcMar>
              <w:top w:w="142" w:type="dxa"/>
              <w:left w:w="142" w:type="dxa"/>
              <w:bottom w:w="142" w:type="dxa"/>
              <w:right w:w="142" w:type="dxa"/>
            </w:tcMar>
            <w:vAlign w:val="center"/>
          </w:tcPr>
          <w:p>
            <w:pPr>
              <w:pStyle w:val="TableParagraph"/>
              <w:widowControl w:val="false"/>
              <w:spacing w:before="59" w:after="0"/>
              <w:ind w:left="28" w:right="0" w:hanging="0"/>
              <w:rPr>
                <w:rFonts w:ascii="Arial" w:hAnsi="Arial"/>
                <w:shd w:fill="auto" w:val="clear"/>
              </w:rPr>
            </w:pPr>
            <w:r>
              <w:rPr>
                <w:rFonts w:ascii="Arial" w:hAnsi="Arial"/>
                <w:sz w:val="22"/>
                <w:szCs w:val="22"/>
                <w:shd w:fill="auto" w:val="clear"/>
              </w:rPr>
              <w:t>1</w:t>
            </w:r>
            <w:r>
              <w:rPr>
                <w:rFonts w:ascii="Arial" w:hAnsi="Arial"/>
                <w:spacing w:val="-2"/>
                <w:sz w:val="22"/>
                <w:szCs w:val="22"/>
                <w:shd w:fill="auto" w:val="clear"/>
              </w:rPr>
              <w:t xml:space="preserve"> </w:t>
            </w:r>
            <w:r>
              <w:rPr>
                <w:rFonts w:ascii="Arial" w:hAnsi="Arial"/>
                <w:sz w:val="22"/>
                <w:szCs w:val="22"/>
                <w:shd w:fill="auto" w:val="clear"/>
              </w:rPr>
              <w:t>cop</w:t>
            </w:r>
            <w:r>
              <w:rPr>
                <w:rFonts w:ascii="Arial" w:hAnsi="Arial"/>
                <w:spacing w:val="-2"/>
                <w:sz w:val="22"/>
                <w:szCs w:val="22"/>
                <w:shd w:fill="auto" w:val="clear"/>
              </w:rPr>
              <w:t xml:space="preserve"> </w:t>
            </w:r>
            <w:r>
              <w:rPr>
                <w:rFonts w:ascii="Arial" w:hAnsi="Arial"/>
                <w:sz w:val="22"/>
                <w:szCs w:val="22"/>
                <w:shd w:fill="auto" w:val="clear"/>
              </w:rPr>
              <w:t>per</w:t>
            </w:r>
            <w:r>
              <w:rPr>
                <w:rFonts w:ascii="Arial" w:hAnsi="Arial"/>
                <w:spacing w:val="-3"/>
                <w:sz w:val="22"/>
                <w:szCs w:val="22"/>
                <w:shd w:fill="auto" w:val="clear"/>
              </w:rPr>
              <w:t xml:space="preserve"> </w:t>
            </w:r>
            <w:r>
              <w:rPr>
                <w:rFonts w:ascii="Arial" w:hAnsi="Arial"/>
                <w:sz w:val="22"/>
                <w:szCs w:val="22"/>
                <w:shd w:fill="auto" w:val="clear"/>
              </w:rPr>
              <w:t>setmana</w:t>
            </w:r>
            <w:r>
              <w:rPr>
                <w:rFonts w:ascii="Arial" w:hAnsi="Arial"/>
                <w:spacing w:val="-1"/>
                <w:sz w:val="22"/>
                <w:szCs w:val="22"/>
                <w:shd w:fill="auto" w:val="clear"/>
              </w:rPr>
              <w:t xml:space="preserve"> </w:t>
            </w:r>
            <w:r>
              <w:rPr>
                <w:rFonts w:ascii="Arial" w:hAnsi="Arial"/>
                <w:sz w:val="22"/>
                <w:szCs w:val="22"/>
                <w:shd w:fill="auto" w:val="clear"/>
              </w:rPr>
              <w:t>com</w:t>
            </w:r>
            <w:r>
              <w:rPr>
                <w:rFonts w:ascii="Arial" w:hAnsi="Arial"/>
                <w:spacing w:val="-3"/>
                <w:sz w:val="22"/>
                <w:szCs w:val="22"/>
                <w:shd w:fill="auto" w:val="clear"/>
              </w:rPr>
              <w:t xml:space="preserve"> </w:t>
            </w:r>
            <w:r>
              <w:rPr>
                <w:rFonts w:ascii="Arial" w:hAnsi="Arial"/>
                <w:sz w:val="22"/>
                <w:szCs w:val="22"/>
                <w:shd w:fill="auto" w:val="clear"/>
              </w:rPr>
              <w:t>a</w:t>
            </w:r>
            <w:r>
              <w:rPr>
                <w:rFonts w:ascii="Arial" w:hAnsi="Arial"/>
                <w:spacing w:val="-3"/>
                <w:sz w:val="22"/>
                <w:szCs w:val="22"/>
                <w:shd w:fill="auto" w:val="clear"/>
              </w:rPr>
              <w:t xml:space="preserve"> </w:t>
            </w:r>
            <w:r>
              <w:rPr>
                <w:rFonts w:ascii="Arial" w:hAnsi="Arial"/>
                <w:sz w:val="22"/>
                <w:szCs w:val="22"/>
                <w:shd w:fill="auto" w:val="clear"/>
              </w:rPr>
              <w:t>2n</w:t>
            </w:r>
            <w:r>
              <w:rPr>
                <w:rFonts w:ascii="Arial" w:hAnsi="Arial"/>
                <w:spacing w:val="-1"/>
                <w:sz w:val="22"/>
                <w:szCs w:val="22"/>
                <w:shd w:fill="auto" w:val="clear"/>
              </w:rPr>
              <w:t xml:space="preserve"> </w:t>
            </w:r>
            <w:r>
              <w:rPr>
                <w:rFonts w:ascii="Arial" w:hAnsi="Arial"/>
                <w:spacing w:val="-4"/>
                <w:sz w:val="22"/>
                <w:szCs w:val="22"/>
                <w:shd w:fill="auto" w:val="clear"/>
              </w:rPr>
              <w:t>plat</w:t>
            </w:r>
          </w:p>
        </w:tc>
        <w:tc>
          <w:tcPr>
            <w:tcW w:w="1763" w:type="dxa"/>
            <w:tcBorders>
              <w:left w:val="single" w:sz="2" w:space="0" w:color="FFFFFF"/>
              <w:bottom w:val="single" w:sz="2" w:space="0" w:color="FFFFFF"/>
            </w:tcBorders>
            <w:shd w:fill="EEEEEE" w:val="clear"/>
            <w:tcMar>
              <w:top w:w="142" w:type="dxa"/>
              <w:left w:w="142" w:type="dxa"/>
              <w:bottom w:w="142" w:type="dxa"/>
              <w:right w:w="142" w:type="dxa"/>
            </w:tcMar>
            <w:vAlign w:val="center"/>
          </w:tcPr>
          <w:p>
            <w:pPr>
              <w:pStyle w:val="TableParagraph"/>
              <w:widowControl w:val="false"/>
              <w:spacing w:before="59" w:after="0"/>
              <w:ind w:left="6" w:right="1" w:hanging="0"/>
              <w:jc w:val="center"/>
              <w:rPr>
                <w:rFonts w:ascii="Arial" w:hAnsi="Arial"/>
                <w:sz w:val="22"/>
                <w:szCs w:val="22"/>
              </w:rPr>
            </w:pPr>
            <w:r>
              <w:rPr>
                <w:rFonts w:ascii="Arial" w:hAnsi="Arial"/>
                <w:spacing w:val="-10"/>
                <w:sz w:val="22"/>
                <w:szCs w:val="22"/>
              </w:rPr>
              <w:t>4</w:t>
            </w:r>
          </w:p>
        </w:tc>
        <w:tc>
          <w:tcPr>
            <w:tcW w:w="1813" w:type="dxa"/>
            <w:tcBorders>
              <w:left w:val="single" w:sz="10" w:space="0" w:color="DDDDDD"/>
              <w:bottom w:val="single" w:sz="10" w:space="0" w:color="DDDDDD"/>
              <w:right w:val="single" w:sz="10" w:space="0" w:color="DDDDDD"/>
            </w:tcBorders>
            <w:shd w:fill="FFFFFF" w:val="clear"/>
            <w:tcMar>
              <w:top w:w="142" w:type="dxa"/>
              <w:left w:w="142" w:type="dxa"/>
              <w:bottom w:w="142" w:type="dxa"/>
              <w:right w:w="142" w:type="dxa"/>
            </w:tcMar>
            <w:vAlign w:val="center"/>
          </w:tcPr>
          <w:p>
            <w:pPr>
              <w:pStyle w:val="Normal"/>
              <w:widowControl w:val="false"/>
              <w:tabs>
                <w:tab w:val="clear" w:pos="720"/>
              </w:tabs>
              <w:spacing w:before="59" w:after="0"/>
              <w:ind w:left="6" w:right="1" w:hanging="0"/>
              <w:jc w:val="center"/>
              <w:rPr>
                <w:i/>
                <w:i/>
                <w:sz w:val="22"/>
                <w:szCs w:val="22"/>
                <w:highlight w:val="green"/>
              </w:rPr>
            </w:pPr>
            <w:r>
              <w:rPr>
                <w:i/>
                <w:sz w:val="22"/>
                <w:szCs w:val="22"/>
                <w:shd w:fill="auto" w:val="clear"/>
              </w:rPr>
              <w:t>.........</w:t>
            </w:r>
          </w:p>
        </w:tc>
      </w:tr>
      <w:tr>
        <w:trPr>
          <w:trHeight w:val="283" w:hRule="atLeast"/>
        </w:trPr>
        <w:tc>
          <w:tcPr>
            <w:tcW w:w="2499" w:type="dxa"/>
            <w:gridSpan w:val="2"/>
            <w:tcBorders>
              <w:left w:val="single" w:sz="2" w:space="0" w:color="FFFFFF"/>
              <w:bottom w:val="single" w:sz="2" w:space="0" w:color="FFFFFF"/>
            </w:tcBorders>
            <w:shd w:fill="EEEEEE" w:val="clear"/>
            <w:tcMar>
              <w:top w:w="142" w:type="dxa"/>
              <w:left w:w="142" w:type="dxa"/>
              <w:bottom w:w="142" w:type="dxa"/>
              <w:right w:w="142" w:type="dxa"/>
            </w:tcMar>
            <w:vAlign w:val="center"/>
          </w:tcPr>
          <w:p>
            <w:pPr>
              <w:pStyle w:val="TableParagraph"/>
              <w:widowControl w:val="false"/>
              <w:spacing w:before="59" w:after="0"/>
              <w:ind w:left="28" w:right="0" w:hanging="0"/>
              <w:rPr>
                <w:rFonts w:ascii="Arial" w:hAnsi="Arial"/>
                <w:sz w:val="22"/>
                <w:szCs w:val="22"/>
              </w:rPr>
            </w:pPr>
            <w:r>
              <w:rPr>
                <w:rFonts w:ascii="Arial" w:hAnsi="Arial"/>
                <w:sz w:val="22"/>
                <w:szCs w:val="22"/>
              </w:rPr>
              <w:t>fruites</w:t>
            </w:r>
            <w:r>
              <w:rPr>
                <w:rFonts w:ascii="Arial" w:hAnsi="Arial"/>
                <w:spacing w:val="-3"/>
                <w:sz w:val="22"/>
                <w:szCs w:val="22"/>
              </w:rPr>
              <w:t xml:space="preserve"> </w:t>
            </w:r>
            <w:r>
              <w:rPr>
                <w:rFonts w:ascii="Arial" w:hAnsi="Arial"/>
                <w:sz w:val="22"/>
                <w:szCs w:val="22"/>
              </w:rPr>
              <w:t>de</w:t>
            </w:r>
            <w:r>
              <w:rPr>
                <w:rFonts w:ascii="Arial" w:hAnsi="Arial"/>
                <w:spacing w:val="-3"/>
                <w:sz w:val="22"/>
                <w:szCs w:val="22"/>
              </w:rPr>
              <w:t xml:space="preserve"> </w:t>
            </w:r>
            <w:r>
              <w:rPr>
                <w:rFonts w:ascii="Arial" w:hAnsi="Arial"/>
                <w:spacing w:val="-2"/>
                <w:sz w:val="22"/>
                <w:szCs w:val="22"/>
              </w:rPr>
              <w:t>temporada</w:t>
            </w:r>
          </w:p>
        </w:tc>
        <w:tc>
          <w:tcPr>
            <w:tcW w:w="3738" w:type="dxa"/>
            <w:tcBorders>
              <w:left w:val="single" w:sz="2" w:space="0" w:color="FFFFFF"/>
              <w:bottom w:val="single" w:sz="2" w:space="0" w:color="FFFFFF"/>
            </w:tcBorders>
            <w:shd w:fill="EEEEEE" w:val="clear"/>
            <w:tcMar>
              <w:top w:w="142" w:type="dxa"/>
              <w:left w:w="142" w:type="dxa"/>
              <w:bottom w:w="142" w:type="dxa"/>
              <w:right w:w="142" w:type="dxa"/>
            </w:tcMar>
            <w:vAlign w:val="center"/>
          </w:tcPr>
          <w:p>
            <w:pPr>
              <w:pStyle w:val="TableParagraph"/>
              <w:widowControl w:val="false"/>
              <w:spacing w:before="59" w:after="0"/>
              <w:ind w:left="28" w:right="0" w:hanging="0"/>
              <w:rPr>
                <w:rFonts w:ascii="Arial" w:hAnsi="Arial"/>
                <w:shd w:fill="auto" w:val="clear"/>
              </w:rPr>
            </w:pPr>
            <w:r>
              <w:rPr>
                <w:rFonts w:ascii="Arial" w:hAnsi="Arial"/>
                <w:sz w:val="22"/>
                <w:szCs w:val="22"/>
                <w:shd w:fill="auto" w:val="clear"/>
              </w:rPr>
              <w:t>3</w:t>
            </w:r>
            <w:r>
              <w:rPr>
                <w:rFonts w:ascii="Arial" w:hAnsi="Arial"/>
                <w:spacing w:val="-2"/>
                <w:sz w:val="22"/>
                <w:szCs w:val="22"/>
                <w:shd w:fill="auto" w:val="clear"/>
              </w:rPr>
              <w:t xml:space="preserve"> </w:t>
            </w:r>
            <w:r>
              <w:rPr>
                <w:rFonts w:ascii="Arial" w:hAnsi="Arial"/>
                <w:sz w:val="22"/>
                <w:szCs w:val="22"/>
                <w:shd w:fill="auto" w:val="clear"/>
              </w:rPr>
              <w:t>cops</w:t>
            </w:r>
            <w:r>
              <w:rPr>
                <w:rFonts w:ascii="Arial" w:hAnsi="Arial"/>
                <w:spacing w:val="-2"/>
                <w:sz w:val="22"/>
                <w:szCs w:val="22"/>
                <w:shd w:fill="auto" w:val="clear"/>
              </w:rPr>
              <w:t xml:space="preserve"> </w:t>
            </w:r>
            <w:r>
              <w:rPr>
                <w:rFonts w:ascii="Arial" w:hAnsi="Arial"/>
                <w:sz w:val="22"/>
                <w:szCs w:val="22"/>
                <w:shd w:fill="auto" w:val="clear"/>
              </w:rPr>
              <w:t>per</w:t>
            </w:r>
            <w:r>
              <w:rPr>
                <w:rFonts w:ascii="Arial" w:hAnsi="Arial"/>
                <w:spacing w:val="-3"/>
                <w:sz w:val="22"/>
                <w:szCs w:val="22"/>
                <w:shd w:fill="auto" w:val="clear"/>
              </w:rPr>
              <w:t xml:space="preserve"> </w:t>
            </w:r>
            <w:r>
              <w:rPr>
                <w:rFonts w:ascii="Arial" w:hAnsi="Arial"/>
                <w:sz w:val="22"/>
                <w:szCs w:val="22"/>
                <w:shd w:fill="auto" w:val="clear"/>
              </w:rPr>
              <w:t>setmana</w:t>
            </w:r>
            <w:r>
              <w:rPr>
                <w:rFonts w:ascii="Arial" w:hAnsi="Arial"/>
                <w:spacing w:val="-1"/>
                <w:sz w:val="22"/>
                <w:szCs w:val="22"/>
                <w:shd w:fill="auto" w:val="clear"/>
              </w:rPr>
              <w:t xml:space="preserve"> </w:t>
            </w:r>
            <w:r>
              <w:rPr>
                <w:rFonts w:ascii="Arial" w:hAnsi="Arial"/>
                <w:sz w:val="22"/>
                <w:szCs w:val="22"/>
                <w:shd w:fill="auto" w:val="clear"/>
              </w:rPr>
              <w:t>com</w:t>
            </w:r>
            <w:r>
              <w:rPr>
                <w:rFonts w:ascii="Arial" w:hAnsi="Arial"/>
                <w:spacing w:val="-3"/>
                <w:sz w:val="22"/>
                <w:szCs w:val="22"/>
                <w:shd w:fill="auto" w:val="clear"/>
              </w:rPr>
              <w:t xml:space="preserve"> </w:t>
            </w:r>
            <w:r>
              <w:rPr>
                <w:rFonts w:ascii="Arial" w:hAnsi="Arial"/>
                <w:sz w:val="22"/>
                <w:szCs w:val="22"/>
                <w:shd w:fill="auto" w:val="clear"/>
              </w:rPr>
              <w:t>a</w:t>
            </w:r>
            <w:r>
              <w:rPr>
                <w:rFonts w:ascii="Arial" w:hAnsi="Arial"/>
                <w:spacing w:val="-2"/>
                <w:sz w:val="22"/>
                <w:szCs w:val="22"/>
                <w:shd w:fill="auto" w:val="clear"/>
              </w:rPr>
              <w:t xml:space="preserve"> postre</w:t>
            </w:r>
          </w:p>
        </w:tc>
        <w:tc>
          <w:tcPr>
            <w:tcW w:w="1763" w:type="dxa"/>
            <w:tcBorders>
              <w:left w:val="single" w:sz="2" w:space="0" w:color="FFFFFF"/>
              <w:bottom w:val="single" w:sz="2" w:space="0" w:color="FFFFFF"/>
            </w:tcBorders>
            <w:shd w:fill="EEEEEE" w:val="clear"/>
            <w:tcMar>
              <w:top w:w="142" w:type="dxa"/>
              <w:left w:w="142" w:type="dxa"/>
              <w:bottom w:w="142" w:type="dxa"/>
              <w:right w:w="142" w:type="dxa"/>
            </w:tcMar>
            <w:vAlign w:val="center"/>
          </w:tcPr>
          <w:p>
            <w:pPr>
              <w:pStyle w:val="TableParagraph"/>
              <w:widowControl w:val="false"/>
              <w:spacing w:before="59" w:after="0"/>
              <w:ind w:left="6" w:right="1" w:hanging="0"/>
              <w:jc w:val="center"/>
              <w:rPr>
                <w:rFonts w:ascii="Arial" w:hAnsi="Arial"/>
                <w:sz w:val="22"/>
                <w:szCs w:val="22"/>
              </w:rPr>
            </w:pPr>
            <w:r>
              <w:rPr>
                <w:rFonts w:ascii="Arial" w:hAnsi="Arial"/>
                <w:spacing w:val="-10"/>
                <w:sz w:val="22"/>
                <w:szCs w:val="22"/>
              </w:rPr>
              <w:t>2</w:t>
            </w:r>
          </w:p>
        </w:tc>
        <w:tc>
          <w:tcPr>
            <w:tcW w:w="1813" w:type="dxa"/>
            <w:tcBorders>
              <w:left w:val="single" w:sz="10" w:space="0" w:color="DDDDDD"/>
              <w:bottom w:val="single" w:sz="10" w:space="0" w:color="DDDDDD"/>
              <w:right w:val="single" w:sz="10" w:space="0" w:color="DDDDDD"/>
            </w:tcBorders>
            <w:shd w:fill="FFFFFF" w:val="clear"/>
            <w:tcMar>
              <w:top w:w="142" w:type="dxa"/>
              <w:left w:w="142" w:type="dxa"/>
              <w:bottom w:w="142" w:type="dxa"/>
              <w:right w:w="142" w:type="dxa"/>
            </w:tcMar>
            <w:vAlign w:val="center"/>
          </w:tcPr>
          <w:p>
            <w:pPr>
              <w:pStyle w:val="Normal"/>
              <w:widowControl w:val="false"/>
              <w:tabs>
                <w:tab w:val="clear" w:pos="720"/>
              </w:tabs>
              <w:spacing w:before="59" w:after="0"/>
              <w:ind w:left="6" w:right="1" w:hanging="0"/>
              <w:jc w:val="center"/>
              <w:rPr>
                <w:i/>
                <w:i/>
                <w:sz w:val="22"/>
                <w:szCs w:val="22"/>
                <w:highlight w:val="green"/>
              </w:rPr>
            </w:pPr>
            <w:r>
              <w:rPr>
                <w:i/>
                <w:sz w:val="22"/>
                <w:szCs w:val="22"/>
                <w:shd w:fill="auto" w:val="clear"/>
              </w:rPr>
              <w:t>.........</w:t>
            </w:r>
          </w:p>
        </w:tc>
      </w:tr>
    </w:tbl>
    <w:p>
      <w:pPr>
        <w:pStyle w:val="Cosdeltext"/>
        <w:spacing w:before="251" w:after="0"/>
        <w:jc w:val="both"/>
        <w:rPr>
          <w:color w:val="000000"/>
          <w:sz w:val="22"/>
          <w:szCs w:val="22"/>
          <w:shd w:fill="auto" w:val="clear"/>
        </w:rPr>
      </w:pPr>
      <w:r>
        <w:rPr>
          <w:color w:val="000000"/>
          <w:sz w:val="22"/>
          <w:szCs w:val="22"/>
          <w:shd w:fill="auto" w:val="clear"/>
        </w:rPr>
      </w:r>
    </w:p>
    <w:p>
      <w:pPr>
        <w:pStyle w:val="Normal"/>
        <w:jc w:val="both"/>
        <w:rPr/>
      </w:pPr>
      <w:r>
        <w:rPr/>
      </w:r>
    </w:p>
    <w:tbl>
      <w:tblPr>
        <w:tblW w:w="9816" w:type="dxa"/>
        <w:jc w:val="left"/>
        <w:tblInd w:w="87" w:type="dxa"/>
        <w:tblLayout w:type="fixed"/>
        <w:tblCellMar>
          <w:top w:w="142" w:type="dxa"/>
          <w:left w:w="142" w:type="dxa"/>
          <w:bottom w:w="142" w:type="dxa"/>
          <w:right w:w="142" w:type="dxa"/>
        </w:tblCellMar>
        <w:tblLook w:val="01e0"/>
      </w:tblPr>
      <w:tblGrid>
        <w:gridCol w:w="1475"/>
        <w:gridCol w:w="4674"/>
        <w:gridCol w:w="3666"/>
      </w:tblGrid>
      <w:tr>
        <w:trPr>
          <w:trHeight w:val="383" w:hRule="atLeast"/>
        </w:trPr>
        <w:tc>
          <w:tcPr>
            <w:tcW w:w="1475" w:type="dxa"/>
            <w:tcBorders>
              <w:top w:val="single" w:sz="8" w:space="0" w:color="FFFFFF"/>
              <w:left w:val="single" w:sz="8" w:space="0" w:color="FFFFFF"/>
              <w:bottom w:val="single" w:sz="8" w:space="0" w:color="FFFFFF"/>
            </w:tcBorders>
            <w:shd w:fill="EEEEEE" w:val="clear"/>
            <w:vAlign w:val="center"/>
          </w:tcPr>
          <w:p>
            <w:pPr>
              <w:pStyle w:val="Normal"/>
              <w:widowControl w:val="false"/>
              <w:tabs>
                <w:tab w:val="clear" w:pos="720"/>
              </w:tabs>
              <w:jc w:val="center"/>
              <w:rPr>
                <w:rFonts w:ascii="Arial" w:hAnsi="Arial" w:eastAsia="SimSun;宋体" w:cs="Arial"/>
                <w:b w:val="false"/>
                <w:b w:val="false"/>
                <w:bCs w:val="false"/>
                <w:color w:val="00000A"/>
                <w:kern w:val="0"/>
                <w:sz w:val="20"/>
                <w:szCs w:val="20"/>
                <w:lang w:val="ca-ES" w:eastAsia="zh-CN" w:bidi="ar-SA"/>
              </w:rPr>
            </w:pPr>
            <w:r>
              <w:rPr>
                <w:rFonts w:eastAsia="SimSun;宋体" w:cs="Arial"/>
                <w:b w:val="false"/>
                <w:bCs w:val="false"/>
                <w:color w:val="00000A"/>
                <w:kern w:val="0"/>
                <w:sz w:val="20"/>
                <w:szCs w:val="20"/>
                <w:lang w:val="ca-ES" w:eastAsia="zh-CN" w:bidi="ar-SA"/>
              </w:rPr>
              <w:t>15.1.1.3</w:t>
            </w:r>
          </w:p>
        </w:tc>
        <w:tc>
          <w:tcPr>
            <w:tcW w:w="8340" w:type="dxa"/>
            <w:gridSpan w:val="2"/>
            <w:tcBorders>
              <w:top w:val="single" w:sz="8" w:space="0" w:color="FFFFFF"/>
              <w:left w:val="single" w:sz="8" w:space="0" w:color="FFFFFF"/>
              <w:bottom w:val="single" w:sz="8" w:space="0" w:color="FFFFFF"/>
              <w:right w:val="single" w:sz="8" w:space="0" w:color="FFFFFF"/>
            </w:tcBorders>
            <w:shd w:fill="EEEEEE" w:val="clear"/>
            <w:vAlign w:val="center"/>
          </w:tcPr>
          <w:p>
            <w:pPr>
              <w:pStyle w:val="Normal"/>
              <w:widowControl w:val="false"/>
              <w:tabs>
                <w:tab w:val="clear" w:pos="720"/>
              </w:tabs>
              <w:jc w:val="left"/>
              <w:rPr/>
            </w:pPr>
            <w:r>
              <w:rPr/>
              <w:t>Incorporació d'aliments d'economia social en l'elaboració del menú, fins a un màxim de 10 punts</w:t>
            </w:r>
          </w:p>
        </w:tc>
      </w:tr>
      <w:tr>
        <w:trPr>
          <w:trHeight w:val="383" w:hRule="atLeast"/>
        </w:trPr>
        <w:tc>
          <w:tcPr>
            <w:tcW w:w="9815" w:type="dxa"/>
            <w:gridSpan w:val="3"/>
            <w:tcBorders>
              <w:left w:val="single" w:sz="8" w:space="0" w:color="FFFFFF"/>
              <w:bottom w:val="single" w:sz="8" w:space="0" w:color="FFFFFF"/>
              <w:right w:val="single" w:sz="8" w:space="0" w:color="FFFFFF"/>
            </w:tcBorders>
            <w:shd w:fill="EEEEEE" w:val="clear"/>
            <w:vAlign w:val="center"/>
          </w:tcPr>
          <w:p>
            <w:pPr>
              <w:pStyle w:val="Normal"/>
              <w:widowControl w:val="false"/>
              <w:jc w:val="both"/>
              <w:rPr>
                <w:sz w:val="20"/>
                <w:szCs w:val="20"/>
              </w:rPr>
            </w:pPr>
            <w:r>
              <w:rPr>
                <w:rFonts w:eastAsia="SimSun;宋体"/>
                <w:color w:val="000000"/>
                <w:sz w:val="20"/>
                <w:szCs w:val="20"/>
                <w:lang w:val="ca-ES" w:eastAsia="zh-CN"/>
              </w:rPr>
              <w:t>Es valorarà l’oferta de productes d’economia social per part de les empreses licitadores.</w:t>
            </w:r>
          </w:p>
          <w:p>
            <w:pPr>
              <w:pStyle w:val="Normal"/>
              <w:widowControl w:val="false"/>
              <w:jc w:val="both"/>
              <w:rPr>
                <w:rFonts w:ascii="Arial" w:hAnsi="Arial" w:eastAsia="SimSun;宋体"/>
                <w:color w:val="000000"/>
                <w:lang w:val="ca-ES" w:eastAsia="zh-CN"/>
              </w:rPr>
            </w:pPr>
            <w:r>
              <w:rPr>
                <w:rFonts w:eastAsia="SimSun;宋体"/>
                <w:color w:val="000000"/>
                <w:lang w:val="ca-ES" w:eastAsia="zh-CN"/>
              </w:rPr>
            </w:r>
          </w:p>
          <w:p>
            <w:pPr>
              <w:pStyle w:val="Normal"/>
              <w:widowControl w:val="false"/>
              <w:jc w:val="both"/>
              <w:rPr/>
            </w:pPr>
            <w:r>
              <w:rPr>
                <w:rFonts w:eastAsia="SimSun;宋体"/>
                <w:color w:val="000000"/>
                <w:sz w:val="20"/>
                <w:szCs w:val="20"/>
                <w:lang w:val="ca-ES" w:eastAsia="zh-CN"/>
              </w:rPr>
              <w:t>En les seves ofertes les licitadores hauran de determinar els productes d'economia social concrets oferts (fins a un màxim de quatre) d'entre els aliments que formaran part dels menús escolars setmanalment i indicant l'empresa proveïdora i acreditant que aquesta empresa és un Centre Especial de Treball o una Empresa d'Inserció.</w:t>
            </w:r>
          </w:p>
          <w:p>
            <w:pPr>
              <w:pStyle w:val="Normal"/>
              <w:widowControl w:val="false"/>
              <w:jc w:val="both"/>
              <w:rPr>
                <w:rFonts w:ascii="Arial" w:hAnsi="Arial" w:eastAsia="SimSun;宋体"/>
                <w:color w:val="000000"/>
                <w:sz w:val="20"/>
                <w:szCs w:val="20"/>
                <w:lang w:val="ca-ES" w:eastAsia="zh-CN"/>
              </w:rPr>
            </w:pPr>
            <w:r>
              <w:rPr>
                <w:rFonts w:eastAsia="SimSun;宋体"/>
                <w:color w:val="000000"/>
                <w:sz w:val="20"/>
                <w:szCs w:val="20"/>
                <w:lang w:val="ca-ES" w:eastAsia="zh-CN"/>
              </w:rPr>
            </w:r>
          </w:p>
          <w:p>
            <w:pPr>
              <w:pStyle w:val="Normal"/>
              <w:widowControl w:val="false"/>
              <w:jc w:val="both"/>
              <w:rPr/>
            </w:pPr>
            <w:r>
              <w:rPr>
                <w:rFonts w:eastAsia="SimSun;宋体"/>
                <w:color w:val="000000"/>
                <w:sz w:val="20"/>
                <w:szCs w:val="20"/>
                <w:lang w:val="ca-ES" w:eastAsia="zh-CN"/>
              </w:rPr>
              <w:t>No s'admeten productes (o derivats) que no compleixen les condicions definides al PPT (ex. io- gurts ensucrats). L'oferta de productes d'economia social implica que el producte s'ha de submi- nistrar en tot el període vegetatiu (estacionalitat) indicat i per a tot el producte que requereixi l'es- cola (en tots els tipus de menús).</w:t>
            </w:r>
          </w:p>
        </w:tc>
      </w:tr>
      <w:tr>
        <w:trPr>
          <w:trHeight w:val="512" w:hRule="atLeast"/>
        </w:trPr>
        <w:tc>
          <w:tcPr>
            <w:tcW w:w="6149" w:type="dxa"/>
            <w:gridSpan w:val="2"/>
            <w:tcBorders>
              <w:top w:val="single" w:sz="10" w:space="0" w:color="DDDDDD"/>
              <w:left w:val="single" w:sz="10" w:space="0" w:color="DDDDDD"/>
              <w:bottom w:val="single" w:sz="10" w:space="0" w:color="DDDDDD"/>
            </w:tcBorders>
            <w:shd w:fill="DDDDDD" w:val="clear"/>
          </w:tcPr>
          <w:p>
            <w:pPr>
              <w:pStyle w:val="TableParagraph"/>
              <w:widowControl w:val="false"/>
              <w:spacing w:before="27" w:after="0"/>
              <w:ind w:left="1632" w:right="0" w:hanging="0"/>
              <w:rPr>
                <w:rFonts w:ascii="Arial" w:hAnsi="Arial"/>
                <w:sz w:val="20"/>
              </w:rPr>
            </w:pPr>
            <w:r>
              <w:rPr>
                <w:rFonts w:ascii="Arial" w:hAnsi="Arial"/>
                <w:sz w:val="20"/>
              </w:rPr>
              <w:t>CET/Empresa</w:t>
            </w:r>
            <w:r>
              <w:rPr>
                <w:rFonts w:ascii="Arial" w:hAnsi="Arial"/>
                <w:spacing w:val="-9"/>
                <w:sz w:val="20"/>
              </w:rPr>
              <w:t xml:space="preserve"> </w:t>
            </w:r>
            <w:r>
              <w:rPr>
                <w:rFonts w:ascii="Arial" w:hAnsi="Arial"/>
                <w:sz w:val="20"/>
              </w:rPr>
              <w:t>d'inserció</w:t>
            </w:r>
            <w:r>
              <w:rPr>
                <w:rFonts w:ascii="Arial" w:hAnsi="Arial"/>
                <w:spacing w:val="-7"/>
                <w:sz w:val="20"/>
              </w:rPr>
              <w:t xml:space="preserve"> </w:t>
            </w:r>
            <w:r>
              <w:rPr>
                <w:rFonts w:ascii="Arial" w:hAnsi="Arial"/>
                <w:spacing w:val="-2"/>
                <w:sz w:val="20"/>
              </w:rPr>
              <w:t>social</w:t>
            </w:r>
          </w:p>
        </w:tc>
        <w:tc>
          <w:tcPr>
            <w:tcW w:w="3666" w:type="dxa"/>
            <w:tcBorders>
              <w:top w:val="single" w:sz="10" w:space="0" w:color="DDDDDD"/>
              <w:left w:val="single" w:sz="10" w:space="0" w:color="DDDDDD"/>
              <w:bottom w:val="single" w:sz="10" w:space="0" w:color="DDDDDD"/>
              <w:right w:val="single" w:sz="10" w:space="0" w:color="DDDDDD"/>
            </w:tcBorders>
            <w:shd w:fill="DDDDDD" w:val="clear"/>
          </w:tcPr>
          <w:p>
            <w:pPr>
              <w:pStyle w:val="TableParagraph"/>
              <w:widowControl w:val="false"/>
              <w:spacing w:before="27" w:after="0"/>
              <w:ind w:left="2" w:right="0" w:hanging="0"/>
              <w:jc w:val="center"/>
              <w:rPr>
                <w:rFonts w:ascii="Arial" w:hAnsi="Arial"/>
                <w:sz w:val="20"/>
              </w:rPr>
            </w:pPr>
            <w:r>
              <w:rPr>
                <w:rFonts w:ascii="Arial" w:hAnsi="Arial"/>
                <w:spacing w:val="-2"/>
                <w:sz w:val="20"/>
              </w:rPr>
              <w:t>PRODUCTE</w:t>
            </w:r>
          </w:p>
        </w:tc>
      </w:tr>
      <w:tr>
        <w:trPr>
          <w:trHeight w:val="283" w:hRule="atLeast"/>
        </w:trPr>
        <w:tc>
          <w:tcPr>
            <w:tcW w:w="6149" w:type="dxa"/>
            <w:gridSpan w:val="2"/>
            <w:tcBorders>
              <w:left w:val="single" w:sz="10" w:space="0" w:color="DDDDDD"/>
              <w:bottom w:val="single" w:sz="10" w:space="0" w:color="DDDDDD"/>
            </w:tcBorders>
            <w:vAlign w:val="bottom"/>
          </w:tcPr>
          <w:p>
            <w:pPr>
              <w:pStyle w:val="TableParagraph"/>
              <w:widowControl w:val="false"/>
              <w:spacing w:before="0" w:after="0"/>
              <w:jc w:val="center"/>
              <w:rPr>
                <w:rFonts w:ascii="Times New Roman" w:hAnsi="Times New Roman"/>
                <w:sz w:val="20"/>
              </w:rPr>
            </w:pPr>
            <w:r>
              <w:rPr>
                <w:rFonts w:ascii="Times New Roman" w:hAnsi="Times New Roman"/>
                <w:sz w:val="20"/>
              </w:rPr>
              <w:t>...............</w:t>
            </w:r>
          </w:p>
        </w:tc>
        <w:tc>
          <w:tcPr>
            <w:tcW w:w="3666" w:type="dxa"/>
            <w:tcBorders>
              <w:left w:val="single" w:sz="10" w:space="0" w:color="DDDDDD"/>
              <w:bottom w:val="single" w:sz="10" w:space="0" w:color="DDDDDD"/>
              <w:right w:val="single" w:sz="10" w:space="0" w:color="DDDDDD"/>
            </w:tcBorders>
            <w:vAlign w:val="bottom"/>
          </w:tcPr>
          <w:p>
            <w:pPr>
              <w:pStyle w:val="TableParagraph"/>
              <w:widowControl w:val="false"/>
              <w:spacing w:before="0" w:after="0"/>
              <w:jc w:val="center"/>
              <w:rPr>
                <w:rFonts w:ascii="Times New Roman" w:hAnsi="Times New Roman"/>
                <w:sz w:val="20"/>
              </w:rPr>
            </w:pPr>
            <w:r>
              <w:rPr>
                <w:rFonts w:ascii="Times New Roman" w:hAnsi="Times New Roman"/>
                <w:sz w:val="20"/>
              </w:rPr>
              <w:t>...............</w:t>
            </w:r>
          </w:p>
        </w:tc>
      </w:tr>
      <w:tr>
        <w:trPr>
          <w:trHeight w:val="282" w:hRule="atLeast"/>
        </w:trPr>
        <w:tc>
          <w:tcPr>
            <w:tcW w:w="6149" w:type="dxa"/>
            <w:gridSpan w:val="2"/>
            <w:tcBorders>
              <w:left w:val="single" w:sz="10" w:space="0" w:color="DDDDDD"/>
              <w:bottom w:val="single" w:sz="10" w:space="0" w:color="DDDDDD"/>
            </w:tcBorders>
            <w:vAlign w:val="bottom"/>
          </w:tcPr>
          <w:p>
            <w:pPr>
              <w:pStyle w:val="TableParagraph"/>
              <w:widowControl w:val="false"/>
              <w:spacing w:before="0" w:after="0"/>
              <w:jc w:val="center"/>
              <w:rPr>
                <w:rFonts w:ascii="Times New Roman" w:hAnsi="Times New Roman"/>
                <w:sz w:val="20"/>
              </w:rPr>
            </w:pPr>
            <w:r>
              <w:rPr>
                <w:rFonts w:ascii="Times New Roman" w:hAnsi="Times New Roman"/>
                <w:sz w:val="20"/>
              </w:rPr>
              <w:t>...............</w:t>
            </w:r>
          </w:p>
        </w:tc>
        <w:tc>
          <w:tcPr>
            <w:tcW w:w="3666" w:type="dxa"/>
            <w:tcBorders>
              <w:left w:val="single" w:sz="10" w:space="0" w:color="DDDDDD"/>
              <w:bottom w:val="single" w:sz="10" w:space="0" w:color="DDDDDD"/>
              <w:right w:val="single" w:sz="10" w:space="0" w:color="DDDDDD"/>
            </w:tcBorders>
            <w:vAlign w:val="bottom"/>
          </w:tcPr>
          <w:p>
            <w:pPr>
              <w:pStyle w:val="TableParagraph"/>
              <w:widowControl w:val="false"/>
              <w:spacing w:before="0" w:after="0"/>
              <w:jc w:val="center"/>
              <w:rPr>
                <w:rFonts w:ascii="Times New Roman" w:hAnsi="Times New Roman"/>
                <w:sz w:val="20"/>
              </w:rPr>
            </w:pPr>
            <w:r>
              <w:rPr>
                <w:rFonts w:ascii="Times New Roman" w:hAnsi="Times New Roman"/>
                <w:sz w:val="20"/>
              </w:rPr>
              <w:t>...............</w:t>
            </w:r>
          </w:p>
        </w:tc>
      </w:tr>
      <w:tr>
        <w:trPr>
          <w:trHeight w:val="282" w:hRule="atLeast"/>
        </w:trPr>
        <w:tc>
          <w:tcPr>
            <w:tcW w:w="6149" w:type="dxa"/>
            <w:gridSpan w:val="2"/>
            <w:tcBorders>
              <w:left w:val="single" w:sz="10" w:space="0" w:color="DDDDDD"/>
              <w:bottom w:val="single" w:sz="10" w:space="0" w:color="DDDDDD"/>
            </w:tcBorders>
            <w:vAlign w:val="bottom"/>
          </w:tcPr>
          <w:p>
            <w:pPr>
              <w:pStyle w:val="TableParagraph"/>
              <w:widowControl w:val="false"/>
              <w:spacing w:before="0" w:after="0"/>
              <w:jc w:val="center"/>
              <w:rPr>
                <w:rFonts w:ascii="Times New Roman" w:hAnsi="Times New Roman"/>
                <w:sz w:val="20"/>
              </w:rPr>
            </w:pPr>
            <w:r>
              <w:rPr>
                <w:rFonts w:ascii="Times New Roman" w:hAnsi="Times New Roman"/>
                <w:sz w:val="20"/>
              </w:rPr>
              <w:t>...............</w:t>
            </w:r>
          </w:p>
        </w:tc>
        <w:tc>
          <w:tcPr>
            <w:tcW w:w="3666" w:type="dxa"/>
            <w:tcBorders>
              <w:left w:val="single" w:sz="10" w:space="0" w:color="DDDDDD"/>
              <w:bottom w:val="single" w:sz="10" w:space="0" w:color="DDDDDD"/>
              <w:right w:val="single" w:sz="10" w:space="0" w:color="DDDDDD"/>
            </w:tcBorders>
            <w:vAlign w:val="bottom"/>
          </w:tcPr>
          <w:p>
            <w:pPr>
              <w:pStyle w:val="TableParagraph"/>
              <w:widowControl w:val="false"/>
              <w:spacing w:before="0" w:after="0"/>
              <w:jc w:val="center"/>
              <w:rPr>
                <w:rFonts w:ascii="Times New Roman" w:hAnsi="Times New Roman"/>
                <w:sz w:val="20"/>
              </w:rPr>
            </w:pPr>
            <w:r>
              <w:rPr>
                <w:rFonts w:ascii="Times New Roman" w:hAnsi="Times New Roman"/>
                <w:sz w:val="20"/>
              </w:rPr>
              <w:t>...............</w:t>
            </w:r>
          </w:p>
        </w:tc>
      </w:tr>
      <w:tr>
        <w:trPr>
          <w:trHeight w:val="282" w:hRule="atLeast"/>
        </w:trPr>
        <w:tc>
          <w:tcPr>
            <w:tcW w:w="6149" w:type="dxa"/>
            <w:gridSpan w:val="2"/>
            <w:tcBorders>
              <w:left w:val="single" w:sz="10" w:space="0" w:color="DDDDDD"/>
              <w:bottom w:val="single" w:sz="10" w:space="0" w:color="DDDDDD"/>
            </w:tcBorders>
            <w:vAlign w:val="bottom"/>
          </w:tcPr>
          <w:p>
            <w:pPr>
              <w:pStyle w:val="TableParagraph"/>
              <w:widowControl w:val="false"/>
              <w:spacing w:before="0" w:after="0"/>
              <w:jc w:val="center"/>
              <w:rPr>
                <w:rFonts w:ascii="Times New Roman" w:hAnsi="Times New Roman"/>
                <w:sz w:val="20"/>
              </w:rPr>
            </w:pPr>
            <w:r>
              <w:rPr>
                <w:rFonts w:ascii="Times New Roman" w:hAnsi="Times New Roman"/>
                <w:sz w:val="20"/>
              </w:rPr>
              <w:t>...............</w:t>
            </w:r>
          </w:p>
        </w:tc>
        <w:tc>
          <w:tcPr>
            <w:tcW w:w="3666" w:type="dxa"/>
            <w:tcBorders>
              <w:left w:val="single" w:sz="10" w:space="0" w:color="DDDDDD"/>
              <w:bottom w:val="single" w:sz="10" w:space="0" w:color="DDDDDD"/>
              <w:right w:val="single" w:sz="10" w:space="0" w:color="DDDDDD"/>
            </w:tcBorders>
            <w:vAlign w:val="bottom"/>
          </w:tcPr>
          <w:p>
            <w:pPr>
              <w:pStyle w:val="TableParagraph"/>
              <w:widowControl w:val="false"/>
              <w:spacing w:before="0" w:after="0"/>
              <w:jc w:val="center"/>
              <w:rPr>
                <w:rFonts w:ascii="Times New Roman" w:hAnsi="Times New Roman"/>
                <w:sz w:val="20"/>
              </w:rPr>
            </w:pPr>
            <w:r>
              <w:rPr>
                <w:rFonts w:ascii="Times New Roman" w:hAnsi="Times New Roman"/>
                <w:sz w:val="20"/>
              </w:rPr>
              <w:t>...............</w:t>
            </w:r>
          </w:p>
        </w:tc>
      </w:tr>
    </w:tbl>
    <w:p>
      <w:pPr>
        <w:pStyle w:val="Normal"/>
        <w:jc w:val="both"/>
        <w:rPr>
          <w:rFonts w:ascii="Arial" w:hAnsi="Arial"/>
          <w:sz w:val="22"/>
          <w:szCs w:val="22"/>
          <w:lang w:val="ca-ES" w:eastAsia="zh-CN"/>
        </w:rPr>
      </w:pPr>
      <w:r>
        <w:rPr>
          <w:sz w:val="22"/>
          <w:szCs w:val="22"/>
          <w:lang w:val="ca-ES" w:eastAsia="zh-CN"/>
        </w:rPr>
      </w:r>
    </w:p>
    <w:p>
      <w:pPr>
        <w:pStyle w:val="Cosdeltext"/>
        <w:jc w:val="both"/>
        <w:rPr>
          <w:b/>
          <w:b/>
          <w:bCs/>
        </w:rPr>
      </w:pPr>
      <w:r>
        <w:rPr>
          <w:rFonts w:ascii="Arial" w:hAnsi="Arial"/>
          <w:b/>
          <w:bCs/>
          <w:sz w:val="22"/>
          <w:szCs w:val="22"/>
          <w:lang w:val="ca-ES" w:eastAsia="zh-CN"/>
        </w:rPr>
        <w:t xml:space="preserve">Les licitadores inclouran en la seva oferta la documentació acreditativa corresponent a què les empreses proveïdores són un Centre Especial de Treball o una Empresa d'Inserció. </w:t>
      </w:r>
    </w:p>
    <w:p>
      <w:pPr>
        <w:pStyle w:val="Cosdeltext"/>
        <w:jc w:val="both"/>
        <w:rPr>
          <w:rFonts w:ascii="Arial" w:hAnsi="Arial"/>
          <w:sz w:val="22"/>
          <w:szCs w:val="22"/>
          <w:lang w:val="ca-ES" w:eastAsia="zh-CN"/>
        </w:rPr>
      </w:pPr>
      <w:r>
        <w:rPr>
          <w:rFonts w:ascii="Arial" w:hAnsi="Arial"/>
          <w:sz w:val="22"/>
          <w:szCs w:val="22"/>
          <w:lang w:val="ca-ES" w:eastAsia="zh-CN"/>
        </w:rPr>
      </w:r>
    </w:p>
    <w:p>
      <w:pPr>
        <w:pStyle w:val="Normal"/>
        <w:jc w:val="both"/>
        <w:rPr/>
      </w:pPr>
      <w:r>
        <w:rPr/>
      </w:r>
      <w:r>
        <w:br w:type="page"/>
      </w:r>
    </w:p>
    <w:tbl>
      <w:tblPr>
        <w:tblW w:w="9750" w:type="dxa"/>
        <w:jc w:val="left"/>
        <w:tblInd w:w="93" w:type="dxa"/>
        <w:tblLayout w:type="fixed"/>
        <w:tblCellMar>
          <w:top w:w="108" w:type="dxa"/>
          <w:left w:w="108" w:type="dxa"/>
          <w:bottom w:w="108" w:type="dxa"/>
          <w:right w:w="108" w:type="dxa"/>
        </w:tblCellMar>
      </w:tblPr>
      <w:tblGrid>
        <w:gridCol w:w="1170"/>
        <w:gridCol w:w="2531"/>
        <w:gridCol w:w="1842"/>
        <w:gridCol w:w="1843"/>
        <w:gridCol w:w="2363"/>
      </w:tblGrid>
      <w:tr>
        <w:trPr>
          <w:trHeight w:val="675" w:hRule="atLeast"/>
        </w:trPr>
        <w:tc>
          <w:tcPr>
            <w:tcW w:w="1170" w:type="dxa"/>
            <w:tcBorders>
              <w:top w:val="single" w:sz="4" w:space="0" w:color="FFFFFF"/>
              <w:left w:val="single" w:sz="4" w:space="0" w:color="FFFFFF"/>
              <w:bottom w:val="single" w:sz="4" w:space="0" w:color="FFFFFF"/>
              <w:right w:val="single" w:sz="4" w:space="0" w:color="FFFFFF"/>
            </w:tcBorders>
            <w:shd w:fill="F2F2F2" w:val="clear"/>
            <w:vAlign w:val="center"/>
          </w:tcPr>
          <w:p>
            <w:pPr>
              <w:pStyle w:val="Normal"/>
              <w:pageBreakBefore/>
              <w:widowControl w:val="false"/>
              <w:tabs>
                <w:tab w:val="clear" w:pos="720"/>
                <w:tab w:val="left" w:pos="567" w:leader="none"/>
              </w:tabs>
              <w:rPr>
                <w:rFonts w:eastAsia="SimSun;宋体"/>
                <w:color w:val="000000"/>
                <w:sz w:val="20"/>
                <w:szCs w:val="20"/>
              </w:rPr>
            </w:pPr>
            <w:r>
              <w:rPr>
                <w:rFonts w:eastAsia="SimSun;宋体"/>
                <w:color w:val="000000"/>
                <w:sz w:val="20"/>
                <w:szCs w:val="20"/>
              </w:rPr>
              <w:t>15.1.2.</w:t>
            </w:r>
          </w:p>
        </w:tc>
        <w:tc>
          <w:tcPr>
            <w:tcW w:w="8579" w:type="dxa"/>
            <w:gridSpan w:val="4"/>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suppressAutoHyphens w:val="false"/>
              <w:rPr>
                <w:rFonts w:eastAsia="SimSun;宋体"/>
                <w:color w:val="000000"/>
                <w:sz w:val="20"/>
                <w:szCs w:val="20"/>
              </w:rPr>
            </w:pPr>
            <w:r>
              <w:rPr>
                <w:rFonts w:eastAsia="SimSun;宋体"/>
                <w:color w:val="000000"/>
                <w:sz w:val="20"/>
                <w:szCs w:val="20"/>
              </w:rPr>
              <w:t xml:space="preserve">Preu, fins a </w:t>
            </w:r>
            <w:r>
              <w:rPr>
                <w:rFonts w:eastAsia="SimSun;宋体" w:cs="Arial"/>
                <w:color w:val="000000"/>
                <w:kern w:val="0"/>
                <w:sz w:val="20"/>
                <w:szCs w:val="20"/>
                <w:lang w:val="ca-ES" w:eastAsia="zh-CN" w:bidi="ar-SA"/>
              </w:rPr>
              <w:t>36</w:t>
            </w:r>
            <w:r>
              <w:rPr>
                <w:rFonts w:eastAsia="SimSun;宋体"/>
                <w:color w:val="000000"/>
                <w:sz w:val="20"/>
                <w:szCs w:val="20"/>
              </w:rPr>
              <w:t xml:space="preserve"> punts</w:t>
            </w:r>
          </w:p>
        </w:tc>
      </w:tr>
      <w:tr>
        <w:trPr>
          <w:trHeight w:val="675" w:hRule="atLeast"/>
        </w:trPr>
        <w:tc>
          <w:tcPr>
            <w:tcW w:w="9749" w:type="dxa"/>
            <w:gridSpan w:val="5"/>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tabs>
                <w:tab w:val="clear" w:pos="720"/>
                <w:tab w:val="left" w:pos="731" w:leader="none"/>
                <w:tab w:val="left" w:pos="788" w:leader="none"/>
              </w:tabs>
              <w:jc w:val="both"/>
              <w:rPr>
                <w:rFonts w:eastAsia="SimSun;宋体"/>
                <w:sz w:val="20"/>
                <w:szCs w:val="20"/>
              </w:rPr>
            </w:pPr>
            <w:r>
              <w:rPr>
                <w:rFonts w:eastAsia="SimSun;宋体"/>
                <w:color w:val="000000"/>
                <w:sz w:val="20"/>
                <w:szCs w:val="20"/>
              </w:rPr>
              <w:t xml:space="preserve">Les empreses licitadores ompliran una declaració econòmica i concretaran el preu unitari ofert. </w:t>
            </w:r>
            <w:r>
              <w:rPr>
                <w:rFonts w:eastAsia="SimSun;宋体"/>
                <w:sz w:val="20"/>
                <w:szCs w:val="20"/>
              </w:rPr>
              <w:t>Presentar una oferta de preu unitari superior al preu unitari màxim serà motiu d’exclusió del procediment d’adjudicació del contracte</w:t>
            </w:r>
          </w:p>
        </w:tc>
      </w:tr>
      <w:tr>
        <w:trPr>
          <w:trHeight w:val="675" w:hRule="atLeast"/>
        </w:trPr>
        <w:tc>
          <w:tcPr>
            <w:tcW w:w="3701" w:type="dxa"/>
            <w:gridSpan w:val="2"/>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snapToGrid w:val="false"/>
              <w:spacing w:before="60" w:after="60"/>
              <w:jc w:val="center"/>
              <w:rPr>
                <w:sz w:val="22"/>
                <w:szCs w:val="22"/>
              </w:rPr>
            </w:pPr>
            <w:r>
              <w:rPr>
                <w:sz w:val="22"/>
                <w:szCs w:val="22"/>
              </w:rPr>
              <w:t>Servei</w:t>
            </w:r>
          </w:p>
        </w:tc>
        <w:tc>
          <w:tcPr>
            <w:tcW w:w="1842" w:type="dxa"/>
            <w:tcBorders>
              <w:top w:val="single" w:sz="4" w:space="0" w:color="FFFFFF"/>
              <w:left w:val="single" w:sz="4" w:space="0" w:color="FFFFFF"/>
              <w:bottom w:val="single" w:sz="4" w:space="0" w:color="FFFFFF"/>
              <w:right w:val="single" w:sz="4" w:space="0" w:color="FFFFFF"/>
            </w:tcBorders>
            <w:shd w:fill="F2F2F2" w:val="clear"/>
          </w:tcPr>
          <w:p>
            <w:pPr>
              <w:pStyle w:val="Normal"/>
              <w:widowControl w:val="false"/>
              <w:spacing w:before="60" w:after="60"/>
              <w:jc w:val="center"/>
              <w:rPr/>
            </w:pPr>
            <w:r>
              <w:rPr>
                <w:rStyle w:val="Mfasifort"/>
                <w:b w:val="false"/>
                <w:color w:val="000000"/>
                <w:sz w:val="22"/>
                <w:szCs w:val="22"/>
              </w:rPr>
              <w:t>Volumetria anual estimada</w:t>
            </w:r>
          </w:p>
        </w:tc>
        <w:tc>
          <w:tcPr>
            <w:tcW w:w="1843" w:type="dxa"/>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spacing w:before="60" w:after="60"/>
              <w:jc w:val="center"/>
              <w:rPr/>
            </w:pPr>
            <w:r>
              <w:rPr>
                <w:rStyle w:val="Mfasifort"/>
                <w:b w:val="false"/>
                <w:color w:val="000000"/>
                <w:sz w:val="22"/>
                <w:szCs w:val="22"/>
              </w:rPr>
              <w:t>Preu unitari màxim, exclòs l’IVA</w:t>
            </w:r>
          </w:p>
        </w:tc>
        <w:tc>
          <w:tcPr>
            <w:tcW w:w="2363" w:type="dxa"/>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suppressAutoHyphens w:val="false"/>
              <w:jc w:val="center"/>
              <w:rPr>
                <w:rFonts w:eastAsia="Times New Roman"/>
                <w:bCs/>
                <w:color w:val="000000"/>
                <w:sz w:val="22"/>
                <w:szCs w:val="22"/>
                <w:lang w:eastAsia="es-ES"/>
              </w:rPr>
            </w:pPr>
            <w:r>
              <w:rPr>
                <w:rFonts w:eastAsia="Times New Roman"/>
                <w:bCs/>
                <w:color w:val="000000"/>
                <w:sz w:val="22"/>
                <w:szCs w:val="22"/>
                <w:lang w:eastAsia="es-ES"/>
              </w:rPr>
              <w:t>Preu unitari ofert,</w:t>
            </w:r>
          </w:p>
          <w:p>
            <w:pPr>
              <w:pStyle w:val="Normal"/>
              <w:widowControl w:val="false"/>
              <w:suppressAutoHyphens w:val="false"/>
              <w:jc w:val="center"/>
              <w:rPr>
                <w:rFonts w:eastAsia="Times New Roman"/>
                <w:bCs/>
                <w:color w:val="000000"/>
                <w:sz w:val="22"/>
                <w:szCs w:val="22"/>
                <w:lang w:eastAsia="es-ES"/>
              </w:rPr>
            </w:pPr>
            <w:r>
              <w:rPr>
                <w:rFonts w:eastAsia="Times New Roman"/>
                <w:bCs/>
                <w:color w:val="000000"/>
                <w:sz w:val="22"/>
                <w:szCs w:val="22"/>
                <w:lang w:eastAsia="es-ES"/>
              </w:rPr>
              <w:t>exclòs l’IVA</w:t>
            </w:r>
          </w:p>
        </w:tc>
      </w:tr>
      <w:tr>
        <w:trPr>
          <w:trHeight w:val="255" w:hRule="atLeast"/>
        </w:trPr>
        <w:tc>
          <w:tcPr>
            <w:tcW w:w="3701" w:type="dxa"/>
            <w:gridSpan w:val="2"/>
            <w:tcBorders>
              <w:top w:val="single" w:sz="4" w:space="0" w:color="FFFFFF"/>
              <w:left w:val="single" w:sz="4" w:space="0" w:color="FFFFFF"/>
              <w:bottom w:val="single" w:sz="4" w:space="0" w:color="FFFFFF"/>
              <w:right w:val="single" w:sz="4" w:space="0" w:color="FFFFFF"/>
            </w:tcBorders>
            <w:shd w:fill="F2F2F2" w:val="clear"/>
            <w:vAlign w:val="bottom"/>
          </w:tcPr>
          <w:p>
            <w:pPr>
              <w:pStyle w:val="Normal"/>
              <w:widowControl w:val="false"/>
              <w:spacing w:before="60" w:after="60"/>
              <w:jc w:val="center"/>
              <w:rPr>
                <w:rFonts w:ascii="Arial" w:hAnsi="Arial" w:eastAsia="SimSun;宋体" w:cs="Arial"/>
                <w:b w:val="false"/>
                <w:b w:val="false"/>
                <w:color w:val="000000"/>
                <w:kern w:val="0"/>
                <w:sz w:val="22"/>
                <w:szCs w:val="22"/>
                <w:lang w:val="ca-ES" w:eastAsia="zh-CN" w:bidi="ar-SA"/>
              </w:rPr>
            </w:pPr>
            <w:r>
              <w:rPr>
                <w:rStyle w:val="Mfasifort"/>
                <w:rFonts w:eastAsia="SimSun;宋体" w:cs="Arial"/>
                <w:b w:val="false"/>
                <w:bCs w:val="false"/>
                <w:color w:val="000000"/>
                <w:kern w:val="0"/>
                <w:sz w:val="22"/>
                <w:szCs w:val="22"/>
                <w:lang w:val="ca-ES" w:eastAsia="zh-CN" w:bidi="ar-SA"/>
              </w:rPr>
              <w:t>Menú escoloar</w:t>
            </w:r>
          </w:p>
        </w:tc>
        <w:tc>
          <w:tcPr>
            <w:tcW w:w="1842" w:type="dxa"/>
            <w:tcBorders>
              <w:top w:val="single" w:sz="4" w:space="0" w:color="FFFFFF"/>
              <w:left w:val="single" w:sz="4" w:space="0" w:color="FFFFFF"/>
              <w:bottom w:val="single" w:sz="4" w:space="0" w:color="FFFFFF"/>
              <w:right w:val="single" w:sz="4" w:space="0" w:color="FFFFFF"/>
            </w:tcBorders>
            <w:shd w:fill="F2F2F2" w:val="clear"/>
            <w:vAlign w:val="bottom"/>
          </w:tcPr>
          <w:p>
            <w:pPr>
              <w:pStyle w:val="TableParagraph"/>
              <w:widowControl w:val="false"/>
              <w:suppressAutoHyphens w:val="false"/>
              <w:spacing w:before="59" w:after="0"/>
              <w:jc w:val="center"/>
              <w:rPr>
                <w:rFonts w:ascii="Arial" w:hAnsi="Arial"/>
                <w:sz w:val="22"/>
                <w:szCs w:val="22"/>
              </w:rPr>
            </w:pPr>
            <w:r>
              <w:rPr>
                <w:rStyle w:val="Mfasifort"/>
                <w:rFonts w:ascii="Arial" w:hAnsi="Arial"/>
                <w:b w:val="false"/>
                <w:color w:val="000000"/>
                <w:sz w:val="22"/>
                <w:szCs w:val="22"/>
              </w:rPr>
              <w:t>348.880 u</w:t>
            </w:r>
          </w:p>
        </w:tc>
        <w:tc>
          <w:tcPr>
            <w:tcW w:w="1843" w:type="dxa"/>
            <w:tcBorders>
              <w:top w:val="single" w:sz="4" w:space="0" w:color="FFFFFF"/>
              <w:left w:val="single" w:sz="4" w:space="0" w:color="FFFFFF"/>
              <w:bottom w:val="single" w:sz="4" w:space="0" w:color="FFFFFF"/>
              <w:right w:val="single" w:sz="4" w:space="0" w:color="FFFFFF"/>
            </w:tcBorders>
            <w:shd w:fill="F2F2F2" w:val="clear"/>
            <w:vAlign w:val="bottom"/>
          </w:tcPr>
          <w:p>
            <w:pPr>
              <w:pStyle w:val="Normal"/>
              <w:widowControl w:val="false"/>
              <w:spacing w:before="60" w:after="60"/>
              <w:jc w:val="center"/>
              <w:rPr/>
            </w:pPr>
            <w:r>
              <w:rPr>
                <w:rStyle w:val="Mfasifort"/>
                <w:b w:val="false"/>
                <w:color w:val="000000"/>
                <w:sz w:val="22"/>
                <w:szCs w:val="22"/>
              </w:rPr>
              <w:t>5,43 €/u</w:t>
            </w:r>
          </w:p>
        </w:tc>
        <w:tc>
          <w:tcPr>
            <w:tcW w:w="2363" w:type="dxa"/>
            <w:tcBorders>
              <w:top w:val="single" w:sz="4" w:space="0" w:color="B2B2B2"/>
              <w:left w:val="single" w:sz="4" w:space="0" w:color="B2B2B2"/>
              <w:bottom w:val="single" w:sz="4" w:space="0" w:color="B2B2B2"/>
              <w:right w:val="single" w:sz="4" w:space="0" w:color="B2B2B2"/>
            </w:tcBorders>
            <w:shd w:fill="FFFFFF" w:val="clear"/>
            <w:vAlign w:val="bottom"/>
          </w:tcPr>
          <w:p>
            <w:pPr>
              <w:pStyle w:val="Normal"/>
              <w:widowControl w:val="false"/>
              <w:suppressAutoHyphens w:val="false"/>
              <w:jc w:val="center"/>
              <w:rPr>
                <w:rStyle w:val="Mfasifort"/>
                <w:b w:val="false"/>
                <w:b w:val="false"/>
                <w:color w:val="000000"/>
                <w:sz w:val="22"/>
                <w:szCs w:val="22"/>
              </w:rPr>
            </w:pPr>
            <w:r>
              <w:rPr>
                <w:b w:val="false"/>
                <w:color w:val="000000"/>
                <w:sz w:val="22"/>
                <w:szCs w:val="22"/>
              </w:rPr>
            </w:r>
          </w:p>
          <w:p>
            <w:pPr>
              <w:pStyle w:val="Normal"/>
              <w:widowControl w:val="false"/>
              <w:suppressAutoHyphens w:val="false"/>
              <w:jc w:val="center"/>
              <w:rPr/>
            </w:pPr>
            <w:r>
              <w:rPr>
                <w:rStyle w:val="Mfasifort"/>
                <w:b w:val="false"/>
                <w:color w:val="000000"/>
                <w:sz w:val="22"/>
                <w:szCs w:val="22"/>
              </w:rPr>
              <w:t>..... €/u</w:t>
            </w:r>
          </w:p>
        </w:tc>
      </w:tr>
    </w:tbl>
    <w:p>
      <w:pPr>
        <w:pStyle w:val="Normal"/>
        <w:jc w:val="both"/>
        <w:rPr/>
      </w:pPr>
      <w:r>
        <w:rPr/>
      </w:r>
    </w:p>
    <w:p>
      <w:pPr>
        <w:pStyle w:val="Normal"/>
        <w:jc w:val="both"/>
        <w:rPr/>
      </w:pPr>
      <w:r>
        <w:rPr/>
      </w:r>
    </w:p>
    <w:p>
      <w:pPr>
        <w:pStyle w:val="Normal"/>
        <w:jc w:val="both"/>
        <w:rPr/>
      </w:pPr>
      <w:r>
        <w:rPr/>
      </w:r>
    </w:p>
    <w:tbl>
      <w:tblPr>
        <w:tblW w:w="9750" w:type="dxa"/>
        <w:jc w:val="left"/>
        <w:tblInd w:w="93" w:type="dxa"/>
        <w:tblLayout w:type="fixed"/>
        <w:tblCellMar>
          <w:top w:w="108" w:type="dxa"/>
          <w:left w:w="108" w:type="dxa"/>
          <w:bottom w:w="108" w:type="dxa"/>
          <w:right w:w="108" w:type="dxa"/>
        </w:tblCellMar>
      </w:tblPr>
      <w:tblGrid>
        <w:gridCol w:w="1170"/>
        <w:gridCol w:w="4954"/>
        <w:gridCol w:w="3625"/>
      </w:tblGrid>
      <w:tr>
        <w:trPr>
          <w:trHeight w:val="675" w:hRule="atLeast"/>
        </w:trPr>
        <w:tc>
          <w:tcPr>
            <w:tcW w:w="1170" w:type="dxa"/>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tabs>
                <w:tab w:val="clear" w:pos="720"/>
                <w:tab w:val="left" w:pos="567" w:leader="none"/>
              </w:tabs>
              <w:rPr>
                <w:rFonts w:eastAsia="SimSun;宋体"/>
                <w:color w:val="000000"/>
                <w:sz w:val="20"/>
                <w:szCs w:val="20"/>
              </w:rPr>
            </w:pPr>
            <w:r>
              <w:rPr>
                <w:rFonts w:eastAsia="SimSun;宋体"/>
                <w:color w:val="000000"/>
                <w:sz w:val="20"/>
                <w:szCs w:val="20"/>
              </w:rPr>
              <w:t>15.1.3.</w:t>
            </w:r>
          </w:p>
        </w:tc>
        <w:tc>
          <w:tcPr>
            <w:tcW w:w="8579" w:type="dxa"/>
            <w:gridSpan w:val="2"/>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tabs>
                <w:tab w:val="clear" w:pos="720"/>
                <w:tab w:val="left" w:pos="993" w:leader="none"/>
              </w:tabs>
              <w:jc w:val="both"/>
              <w:rPr>
                <w:sz w:val="20"/>
                <w:szCs w:val="20"/>
              </w:rPr>
            </w:pPr>
            <w:r>
              <w:rPr>
                <w:sz w:val="20"/>
                <w:szCs w:val="20"/>
              </w:rPr>
              <w:t>Pel compromís d'increment de les hores de formació destinades als professionals de cuina sobre les contemplades en el conveni corresponent, fins a un màxim de 5 punts</w:t>
            </w:r>
          </w:p>
        </w:tc>
      </w:tr>
      <w:tr>
        <w:trPr>
          <w:trHeight w:val="675" w:hRule="atLeast"/>
        </w:trPr>
        <w:tc>
          <w:tcPr>
            <w:tcW w:w="9749" w:type="dxa"/>
            <w:gridSpan w:val="3"/>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suppressAutoHyphens w:val="false"/>
              <w:jc w:val="both"/>
              <w:rPr>
                <w:sz w:val="20"/>
                <w:szCs w:val="20"/>
              </w:rPr>
            </w:pPr>
            <w:r>
              <w:rPr>
                <w:sz w:val="20"/>
                <w:szCs w:val="20"/>
                <w:lang w:eastAsia="es-ES"/>
              </w:rPr>
              <w:t>Es valorarà formació específica destinada als professionals de cuina (cuiner/a i ajudant de cuina), en els àmbits que a continuació es relacionen.</w:t>
            </w:r>
          </w:p>
          <w:p>
            <w:pPr>
              <w:pStyle w:val="Normal"/>
              <w:widowControl w:val="false"/>
              <w:suppressAutoHyphens w:val="false"/>
              <w:jc w:val="both"/>
              <w:rPr>
                <w:lang w:eastAsia="es-ES"/>
              </w:rPr>
            </w:pPr>
            <w:r>
              <w:rPr>
                <w:lang w:eastAsia="es-ES"/>
              </w:rPr>
            </w:r>
          </w:p>
          <w:p>
            <w:pPr>
              <w:pStyle w:val="Normal"/>
              <w:widowControl w:val="false"/>
              <w:suppressAutoHyphens w:val="false"/>
              <w:jc w:val="both"/>
              <w:rPr>
                <w:sz w:val="20"/>
                <w:szCs w:val="20"/>
              </w:rPr>
            </w:pPr>
            <w:r>
              <w:rPr>
                <w:sz w:val="20"/>
                <w:szCs w:val="20"/>
                <w:lang w:eastAsia="es-ES"/>
              </w:rPr>
              <w:t xml:space="preserve">    </w:t>
            </w:r>
            <w:r>
              <w:rPr>
                <w:sz w:val="18"/>
                <w:szCs w:val="18"/>
                <w:lang w:eastAsia="es-ES"/>
              </w:rPr>
              <w:t xml:space="preserve">• </w:t>
            </w:r>
            <w:r>
              <w:rPr>
                <w:sz w:val="18"/>
                <w:szCs w:val="18"/>
                <w:lang w:eastAsia="es-ES"/>
              </w:rPr>
              <w:t>Hàbits d’alimentació saludable</w:t>
            </w:r>
          </w:p>
          <w:p>
            <w:pPr>
              <w:pStyle w:val="Normal"/>
              <w:widowControl w:val="false"/>
              <w:suppressAutoHyphens w:val="false"/>
              <w:jc w:val="both"/>
              <w:rPr>
                <w:sz w:val="18"/>
                <w:szCs w:val="18"/>
              </w:rPr>
            </w:pPr>
            <w:r>
              <w:rPr>
                <w:sz w:val="18"/>
                <w:szCs w:val="18"/>
                <w:lang w:eastAsia="es-ES"/>
              </w:rPr>
              <w:t xml:space="preserve">    • </w:t>
            </w:r>
            <w:r>
              <w:rPr>
                <w:sz w:val="18"/>
                <w:szCs w:val="18"/>
                <w:lang w:eastAsia="es-ES"/>
              </w:rPr>
              <w:t>Gestió d’al·lèrgies</w:t>
            </w:r>
          </w:p>
          <w:p>
            <w:pPr>
              <w:pStyle w:val="Normal"/>
              <w:widowControl w:val="false"/>
              <w:suppressAutoHyphens w:val="false"/>
              <w:jc w:val="both"/>
              <w:rPr>
                <w:sz w:val="18"/>
                <w:szCs w:val="18"/>
              </w:rPr>
            </w:pPr>
            <w:r>
              <w:rPr>
                <w:sz w:val="18"/>
                <w:szCs w:val="18"/>
                <w:lang w:eastAsia="es-ES"/>
              </w:rPr>
              <w:t xml:space="preserve">    • </w:t>
            </w:r>
            <w:r>
              <w:rPr>
                <w:sz w:val="18"/>
                <w:szCs w:val="18"/>
                <w:lang w:eastAsia="es-ES"/>
              </w:rPr>
              <w:t>Bones pràctiques de manipulació de càrregues i higiene postural</w:t>
            </w:r>
          </w:p>
          <w:p>
            <w:pPr>
              <w:pStyle w:val="Normal"/>
              <w:widowControl w:val="false"/>
              <w:suppressAutoHyphens w:val="false"/>
              <w:jc w:val="both"/>
              <w:rPr>
                <w:sz w:val="18"/>
                <w:szCs w:val="18"/>
              </w:rPr>
            </w:pPr>
            <w:r>
              <w:rPr>
                <w:sz w:val="18"/>
                <w:szCs w:val="18"/>
                <w:lang w:eastAsia="es-ES"/>
              </w:rPr>
              <w:t xml:space="preserve">    • </w:t>
            </w:r>
            <w:r>
              <w:rPr>
                <w:sz w:val="18"/>
                <w:szCs w:val="18"/>
                <w:lang w:eastAsia="es-ES"/>
              </w:rPr>
              <w:t>Tècniques culinàries i nova alimentació</w:t>
            </w:r>
          </w:p>
          <w:p>
            <w:pPr>
              <w:pStyle w:val="Normal"/>
              <w:widowControl w:val="false"/>
              <w:suppressAutoHyphens w:val="false"/>
              <w:jc w:val="both"/>
              <w:rPr>
                <w:sz w:val="18"/>
                <w:szCs w:val="18"/>
              </w:rPr>
            </w:pPr>
            <w:r>
              <w:rPr>
                <w:sz w:val="18"/>
                <w:szCs w:val="18"/>
                <w:lang w:eastAsia="es-ES"/>
              </w:rPr>
              <w:t xml:space="preserve">    • </w:t>
            </w:r>
            <w:r>
              <w:rPr>
                <w:sz w:val="18"/>
                <w:szCs w:val="18"/>
                <w:lang w:eastAsia="es-ES"/>
              </w:rPr>
              <w:t>Origen i qualitat ambiental dels aliments</w:t>
            </w:r>
          </w:p>
          <w:p>
            <w:pPr>
              <w:pStyle w:val="Normal"/>
              <w:widowControl w:val="false"/>
              <w:suppressAutoHyphens w:val="false"/>
              <w:jc w:val="both"/>
              <w:rPr>
                <w:sz w:val="18"/>
                <w:szCs w:val="18"/>
              </w:rPr>
            </w:pPr>
            <w:r>
              <w:rPr>
                <w:sz w:val="18"/>
                <w:szCs w:val="18"/>
                <w:lang w:eastAsia="es-ES"/>
              </w:rPr>
              <w:t xml:space="preserve">    • </w:t>
            </w:r>
            <w:r>
              <w:rPr>
                <w:sz w:val="18"/>
                <w:szCs w:val="18"/>
                <w:lang w:eastAsia="es-ES"/>
              </w:rPr>
              <w:t>Maquinària eficient, estalvi energètic i consum responsable d'aigua</w:t>
            </w:r>
          </w:p>
          <w:p>
            <w:pPr>
              <w:pStyle w:val="Normal"/>
              <w:widowControl w:val="false"/>
              <w:suppressAutoHyphens w:val="false"/>
              <w:jc w:val="both"/>
              <w:rPr>
                <w:sz w:val="18"/>
                <w:szCs w:val="18"/>
              </w:rPr>
            </w:pPr>
            <w:r>
              <w:rPr>
                <w:sz w:val="18"/>
                <w:szCs w:val="18"/>
                <w:lang w:eastAsia="es-ES"/>
              </w:rPr>
              <w:t xml:space="preserve">    • </w:t>
            </w:r>
            <w:r>
              <w:rPr>
                <w:sz w:val="18"/>
                <w:szCs w:val="18"/>
                <w:lang w:eastAsia="es-ES"/>
              </w:rPr>
              <w:t>Neteja de les instal·lacions, gestió i prevenció de residus:</w:t>
            </w:r>
          </w:p>
          <w:p>
            <w:pPr>
              <w:pStyle w:val="Normal"/>
              <w:widowControl w:val="false"/>
              <w:suppressAutoHyphens w:val="false"/>
              <w:jc w:val="both"/>
              <w:rPr>
                <w:sz w:val="18"/>
                <w:szCs w:val="18"/>
              </w:rPr>
            </w:pPr>
            <w:r>
              <w:rPr>
                <w:sz w:val="18"/>
                <w:szCs w:val="18"/>
                <w:lang w:eastAsia="es-ES"/>
              </w:rPr>
              <w:t xml:space="preserve">            ▪ </w:t>
            </w:r>
            <w:r>
              <w:rPr>
                <w:sz w:val="18"/>
                <w:szCs w:val="18"/>
                <w:lang w:eastAsia="es-ES"/>
              </w:rPr>
              <w:t>L'eficiència del consum de productes (transvasament i dosificació de productes)</w:t>
            </w:r>
          </w:p>
          <w:p>
            <w:pPr>
              <w:pStyle w:val="Normal"/>
              <w:widowControl w:val="false"/>
              <w:suppressAutoHyphens w:val="false"/>
              <w:jc w:val="both"/>
              <w:rPr>
                <w:sz w:val="18"/>
                <w:szCs w:val="18"/>
              </w:rPr>
            </w:pPr>
            <w:r>
              <w:rPr>
                <w:sz w:val="18"/>
                <w:szCs w:val="18"/>
                <w:lang w:eastAsia="es-ES"/>
              </w:rPr>
              <w:t xml:space="preserve">            ▪ </w:t>
            </w:r>
            <w:r>
              <w:rPr>
                <w:sz w:val="18"/>
                <w:szCs w:val="18"/>
                <w:lang w:eastAsia="es-ES"/>
              </w:rPr>
              <w:t>El correcte ús dels productes per a cadascuna de les tasques de neteja</w:t>
            </w:r>
          </w:p>
          <w:p>
            <w:pPr>
              <w:pStyle w:val="Normal"/>
              <w:widowControl w:val="false"/>
              <w:suppressAutoHyphens w:val="false"/>
              <w:jc w:val="both"/>
              <w:rPr>
                <w:sz w:val="18"/>
                <w:szCs w:val="18"/>
              </w:rPr>
            </w:pPr>
            <w:r>
              <w:rPr>
                <w:sz w:val="18"/>
                <w:szCs w:val="18"/>
                <w:lang w:eastAsia="es-ES"/>
              </w:rPr>
              <w:t xml:space="preserve">            ▪ </w:t>
            </w:r>
            <w:r>
              <w:rPr>
                <w:sz w:val="18"/>
                <w:szCs w:val="18"/>
                <w:lang w:eastAsia="es-ES"/>
              </w:rPr>
              <w:t>Les bones pràctiques de prevenció i gestió de residus propis</w:t>
            </w:r>
          </w:p>
          <w:p>
            <w:pPr>
              <w:pStyle w:val="Normal"/>
              <w:widowControl w:val="false"/>
              <w:suppressAutoHyphens w:val="false"/>
              <w:jc w:val="both"/>
              <w:rPr>
                <w:sz w:val="18"/>
                <w:szCs w:val="18"/>
              </w:rPr>
            </w:pPr>
            <w:r>
              <w:rPr>
                <w:sz w:val="18"/>
                <w:szCs w:val="18"/>
                <w:lang w:eastAsia="es-ES"/>
              </w:rPr>
              <w:t xml:space="preserve">            ▪ </w:t>
            </w:r>
            <w:r>
              <w:rPr>
                <w:sz w:val="18"/>
                <w:szCs w:val="18"/>
                <w:lang w:eastAsia="es-ES"/>
              </w:rPr>
              <w:t>La correcta retirada de residus recollits selectivament.</w:t>
            </w:r>
          </w:p>
          <w:p>
            <w:pPr>
              <w:pStyle w:val="Normal"/>
              <w:widowControl w:val="false"/>
              <w:suppressAutoHyphens w:val="false"/>
              <w:jc w:val="both"/>
              <w:rPr>
                <w:lang w:eastAsia="es-ES"/>
              </w:rPr>
            </w:pPr>
            <w:r>
              <w:rPr>
                <w:lang w:eastAsia="es-ES"/>
              </w:rPr>
            </w:r>
          </w:p>
          <w:p>
            <w:pPr>
              <w:pStyle w:val="Normal"/>
              <w:widowControl w:val="false"/>
              <w:suppressAutoHyphens w:val="false"/>
              <w:jc w:val="both"/>
              <w:rPr>
                <w:sz w:val="20"/>
                <w:szCs w:val="20"/>
              </w:rPr>
            </w:pPr>
            <w:r>
              <w:rPr>
                <w:sz w:val="20"/>
                <w:szCs w:val="20"/>
                <w:lang w:eastAsia="es-ES"/>
              </w:rPr>
              <w:t>La formació específica ha de ser complementària a les hores anuals de reciclatge i formació continua que a cada treballador correspon d'acord amb el conveni col·lectiu d'aplicació.</w:t>
            </w:r>
          </w:p>
        </w:tc>
      </w:tr>
      <w:tr>
        <w:trPr>
          <w:trHeight w:val="675" w:hRule="atLeast"/>
        </w:trPr>
        <w:tc>
          <w:tcPr>
            <w:tcW w:w="6124" w:type="dxa"/>
            <w:gridSpan w:val="2"/>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snapToGrid w:val="false"/>
              <w:spacing w:before="60" w:after="60"/>
              <w:jc w:val="center"/>
              <w:rPr>
                <w:rFonts w:eastAsia="SimSun;宋体"/>
                <w:sz w:val="22"/>
                <w:szCs w:val="22"/>
                <w:lang w:eastAsia="es-ES"/>
              </w:rPr>
            </w:pPr>
            <w:r>
              <w:rPr>
                <w:rFonts w:eastAsia="SimSun;宋体"/>
                <w:sz w:val="22"/>
                <w:szCs w:val="22"/>
                <w:lang w:eastAsia="es-ES"/>
              </w:rPr>
            </w:r>
          </w:p>
        </w:tc>
        <w:tc>
          <w:tcPr>
            <w:tcW w:w="3625" w:type="dxa"/>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suppressAutoHyphens w:val="false"/>
              <w:jc w:val="center"/>
              <w:rPr>
                <w:rFonts w:eastAsia="Times New Roman"/>
                <w:bCs/>
                <w:color w:val="000000"/>
                <w:sz w:val="18"/>
                <w:szCs w:val="18"/>
                <w:lang w:eastAsia="es-ES"/>
              </w:rPr>
            </w:pPr>
            <w:r>
              <w:rPr>
                <w:rFonts w:eastAsia="Times New Roman"/>
                <w:bCs/>
                <w:color w:val="000000"/>
                <w:sz w:val="18"/>
                <w:szCs w:val="18"/>
                <w:lang w:eastAsia="es-ES"/>
              </w:rPr>
              <w:t xml:space="preserve">Indicar </w:t>
            </w:r>
            <w:r>
              <w:rPr>
                <w:rFonts w:eastAsia="Times New Roman"/>
                <w:bCs/>
                <w:color w:val="000000"/>
                <w:sz w:val="28"/>
                <w:szCs w:val="28"/>
                <w:lang w:eastAsia="es-ES"/>
              </w:rPr>
              <w:t>%</w:t>
            </w:r>
            <w:r>
              <w:rPr>
                <w:rFonts w:eastAsia="Times New Roman"/>
                <w:bCs/>
                <w:color w:val="000000"/>
                <w:sz w:val="18"/>
                <w:szCs w:val="18"/>
                <w:lang w:eastAsia="es-ES"/>
              </w:rPr>
              <w:t xml:space="preserve"> de personal de cuinia a qui s’ofereix formació addicional</w:t>
            </w:r>
          </w:p>
        </w:tc>
      </w:tr>
      <w:tr>
        <w:trPr>
          <w:trHeight w:val="675" w:hRule="atLeast"/>
        </w:trPr>
        <w:tc>
          <w:tcPr>
            <w:tcW w:w="6124" w:type="dxa"/>
            <w:gridSpan w:val="2"/>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suppressAutoHyphens w:val="false"/>
              <w:jc w:val="both"/>
              <w:rPr>
                <w:sz w:val="22"/>
                <w:szCs w:val="22"/>
                <w:lang w:eastAsia="es-ES"/>
              </w:rPr>
            </w:pPr>
            <w:r>
              <w:rPr>
                <w:sz w:val="22"/>
                <w:szCs w:val="22"/>
                <w:lang w:eastAsia="es-ES"/>
              </w:rPr>
              <w:t>Declaro responsablement que</w:t>
            </w:r>
          </w:p>
          <w:p>
            <w:pPr>
              <w:pStyle w:val="Normal"/>
              <w:widowControl w:val="false"/>
              <w:suppressAutoHyphens w:val="false"/>
              <w:jc w:val="both"/>
              <w:rPr>
                <w:rFonts w:eastAsia="Times New Roman"/>
                <w:color w:val="000000"/>
                <w:sz w:val="22"/>
                <w:szCs w:val="22"/>
                <w:lang w:eastAsia="es-ES"/>
              </w:rPr>
            </w:pPr>
            <w:r>
              <w:rPr>
                <w:rFonts w:eastAsia="Times New Roman"/>
                <w:b/>
                <w:color w:val="000000"/>
                <w:sz w:val="22"/>
                <w:szCs w:val="22"/>
                <w:lang w:eastAsia="es-ES"/>
              </w:rPr>
              <w:t>Fer formació específica al personal de cuina</w:t>
            </w:r>
            <w:r>
              <w:rPr>
                <w:rFonts w:eastAsia="Times New Roman"/>
                <w:color w:val="000000"/>
                <w:sz w:val="22"/>
                <w:szCs w:val="22"/>
                <w:lang w:eastAsia="es-ES"/>
              </w:rPr>
              <w:t xml:space="preserve"> durant l'execució del contracte, en com a mínim 10 hores de formació a repartir entre les activitats proposades.</w:t>
            </w:r>
          </w:p>
        </w:tc>
        <w:tc>
          <w:tcPr>
            <w:tcW w:w="3625" w:type="dxa"/>
            <w:tcBorders>
              <w:top w:val="single" w:sz="8" w:space="0" w:color="CCCCCC"/>
              <w:left w:val="single" w:sz="8" w:space="0" w:color="CCCCCC"/>
              <w:bottom w:val="single" w:sz="8" w:space="0" w:color="CCCCCC"/>
              <w:right w:val="single" w:sz="8" w:space="0" w:color="CCCCCC"/>
            </w:tcBorders>
            <w:shd w:fill="FFFFFF" w:val="clear"/>
            <w:vAlign w:val="center"/>
          </w:tcPr>
          <w:p>
            <w:pPr>
              <w:pStyle w:val="Normal"/>
              <w:widowControl w:val="false"/>
              <w:suppressAutoHyphens w:val="false"/>
              <w:jc w:val="center"/>
              <w:rPr>
                <w:rFonts w:eastAsia="Times New Roman"/>
                <w:bCs/>
                <w:color w:val="000000"/>
                <w:sz w:val="22"/>
                <w:szCs w:val="22"/>
                <w:lang w:eastAsia="es-ES"/>
              </w:rPr>
            </w:pPr>
            <w:r>
              <w:rPr>
                <w:rFonts w:eastAsia="Times New Roman"/>
                <w:bCs/>
                <w:color w:val="000000"/>
                <w:sz w:val="22"/>
                <w:szCs w:val="22"/>
                <w:lang w:eastAsia="es-ES"/>
              </w:rPr>
              <w:t>........ %</w:t>
            </w:r>
          </w:p>
          <w:p>
            <w:pPr>
              <w:pStyle w:val="Normal"/>
              <w:widowControl w:val="false"/>
              <w:suppressAutoHyphens w:val="false"/>
              <w:jc w:val="center"/>
              <w:rPr>
                <w:rFonts w:eastAsia="Times New Roman"/>
                <w:bCs/>
                <w:color w:val="000000"/>
                <w:sz w:val="22"/>
                <w:szCs w:val="22"/>
                <w:lang w:eastAsia="es-ES"/>
              </w:rPr>
            </w:pPr>
            <w:r>
              <w:rPr>
                <w:rFonts w:eastAsia="Times New Roman"/>
                <w:bCs/>
                <w:color w:val="000000"/>
                <w:sz w:val="22"/>
                <w:szCs w:val="22"/>
                <w:lang w:eastAsia="es-ES"/>
              </w:rPr>
              <w:t>del personal de cuina</w:t>
            </w:r>
          </w:p>
        </w:tc>
      </w:tr>
    </w:tbl>
    <w:p>
      <w:pPr>
        <w:pStyle w:val="Normal"/>
        <w:jc w:val="both"/>
        <w:rPr/>
      </w:pPr>
      <w:r>
        <w:rPr/>
      </w:r>
    </w:p>
    <w:p>
      <w:pPr>
        <w:pStyle w:val="Cosdeltext"/>
        <w:suppressAutoHyphens w:val="false"/>
        <w:spacing w:before="1" w:after="0"/>
        <w:ind w:left="0" w:right="317" w:hanging="0"/>
        <w:jc w:val="both"/>
        <w:rPr>
          <w:b/>
          <w:b/>
          <w:bCs/>
        </w:rPr>
      </w:pPr>
      <w:r>
        <w:rPr>
          <w:rFonts w:eastAsia="Times New Roman" w:ascii="Arial" w:hAnsi="Arial"/>
          <w:b/>
          <w:bCs/>
          <w:color w:val="000000"/>
          <w:sz w:val="22"/>
          <w:szCs w:val="22"/>
          <w:lang w:val="ca-ES" w:eastAsia="es-ES"/>
        </w:rPr>
        <w:t xml:space="preserve">Les empreses licitadores adjuntaran amb la seva oferta el Pla de formació previst i que inclogui els terminis en que es compromet a realitzar-lo. </w:t>
      </w:r>
    </w:p>
    <w:p>
      <w:pPr>
        <w:pStyle w:val="Normal"/>
        <w:jc w:val="both"/>
        <w:rPr/>
      </w:pPr>
      <w:r>
        <w:rPr/>
      </w:r>
    </w:p>
    <w:tbl>
      <w:tblPr>
        <w:tblW w:w="9750" w:type="dxa"/>
        <w:jc w:val="left"/>
        <w:tblInd w:w="93" w:type="dxa"/>
        <w:tblLayout w:type="fixed"/>
        <w:tblCellMar>
          <w:top w:w="108" w:type="dxa"/>
          <w:left w:w="108" w:type="dxa"/>
          <w:bottom w:w="108" w:type="dxa"/>
          <w:right w:w="108" w:type="dxa"/>
        </w:tblCellMar>
      </w:tblPr>
      <w:tblGrid>
        <w:gridCol w:w="1170"/>
        <w:gridCol w:w="5354"/>
        <w:gridCol w:w="3225"/>
      </w:tblGrid>
      <w:tr>
        <w:trPr>
          <w:trHeight w:val="675" w:hRule="atLeast"/>
        </w:trPr>
        <w:tc>
          <w:tcPr>
            <w:tcW w:w="1170" w:type="dxa"/>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tabs>
                <w:tab w:val="clear" w:pos="720"/>
                <w:tab w:val="left" w:pos="567" w:leader="none"/>
              </w:tabs>
              <w:rPr>
                <w:rFonts w:eastAsia="SimSun;宋体"/>
                <w:color w:val="000000"/>
                <w:sz w:val="20"/>
                <w:szCs w:val="20"/>
              </w:rPr>
            </w:pPr>
            <w:r>
              <w:rPr>
                <w:rFonts w:eastAsia="SimSun;宋体"/>
                <w:color w:val="000000"/>
                <w:sz w:val="20"/>
                <w:szCs w:val="20"/>
              </w:rPr>
              <w:t>15.1.4.</w:t>
            </w:r>
          </w:p>
        </w:tc>
        <w:tc>
          <w:tcPr>
            <w:tcW w:w="8579" w:type="dxa"/>
            <w:gridSpan w:val="2"/>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tabs>
                <w:tab w:val="clear" w:pos="720"/>
                <w:tab w:val="left" w:pos="993" w:leader="none"/>
              </w:tabs>
              <w:jc w:val="both"/>
              <w:rPr>
                <w:sz w:val="20"/>
                <w:szCs w:val="20"/>
              </w:rPr>
            </w:pPr>
            <w:r>
              <w:rPr>
                <w:sz w:val="20"/>
                <w:szCs w:val="20"/>
              </w:rPr>
              <w:t>Incorporació d’alumnes en convenis de pràctiques de Formació Professional en modalitat Dual, fins a un màxim de 4 punts</w:t>
            </w:r>
          </w:p>
        </w:tc>
      </w:tr>
      <w:tr>
        <w:trPr>
          <w:trHeight w:val="675" w:hRule="atLeast"/>
        </w:trPr>
        <w:tc>
          <w:tcPr>
            <w:tcW w:w="9749" w:type="dxa"/>
            <w:gridSpan w:val="3"/>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suppressAutoHyphens w:val="false"/>
              <w:jc w:val="both"/>
              <w:rPr>
                <w:rFonts w:eastAsia="SimSun;宋体"/>
                <w:sz w:val="20"/>
                <w:szCs w:val="20"/>
                <w:lang w:eastAsia="es-ES"/>
              </w:rPr>
            </w:pPr>
            <w:r>
              <w:rPr>
                <w:rFonts w:eastAsia="SimSun;宋体"/>
                <w:sz w:val="20"/>
                <w:szCs w:val="20"/>
                <w:lang w:eastAsia="es-ES"/>
              </w:rPr>
              <w:t>Es valorarà la incorporació d’alumnes en pràctiques d’aquesta modalitat de formació professional als centres de treball relacionats amb el servei de menjador escolar de Terrassa i en les especiali - tats que s’hi relacionen (hostaleria i turisme).</w:t>
            </w:r>
          </w:p>
          <w:p>
            <w:pPr>
              <w:pStyle w:val="Normal"/>
              <w:widowControl w:val="false"/>
              <w:suppressAutoHyphens w:val="false"/>
              <w:jc w:val="both"/>
              <w:rPr>
                <w:rFonts w:eastAsia="SimSun;宋体"/>
                <w:sz w:val="20"/>
                <w:szCs w:val="20"/>
                <w:lang w:eastAsia="es-ES"/>
              </w:rPr>
            </w:pPr>
            <w:r>
              <w:rPr>
                <w:rFonts w:eastAsia="SimSun;宋体"/>
                <w:sz w:val="20"/>
                <w:szCs w:val="20"/>
                <w:lang w:eastAsia="es-ES"/>
              </w:rPr>
            </w:r>
          </w:p>
          <w:p>
            <w:pPr>
              <w:pStyle w:val="Normal"/>
              <w:widowControl w:val="false"/>
              <w:suppressAutoHyphens w:val="false"/>
              <w:jc w:val="both"/>
              <w:rPr>
                <w:rFonts w:eastAsia="SimSun;宋体"/>
                <w:sz w:val="20"/>
                <w:szCs w:val="20"/>
                <w:lang w:eastAsia="es-ES"/>
              </w:rPr>
            </w:pPr>
            <w:r>
              <w:rPr>
                <w:rFonts w:eastAsia="SimSun;宋体"/>
                <w:sz w:val="20"/>
                <w:szCs w:val="20"/>
                <w:lang w:eastAsia="es-ES"/>
              </w:rPr>
              <w:t>La incorporació d'alumnes en convenis de pràctiques de formació professional en modalitat Dual Intensiva es puntuarà amb un màxim de 4 punts, 2 punts per alumne/a fins a 2 alumnes. La incorporació s’haurà de produir durant l’execució del contracte, prèvia signatura de convenis entre l’empresa adjudicatària i centres formatius de FP de la ciutat de Terrassa que imparteixin la modalitat Dual.</w:t>
            </w:r>
          </w:p>
          <w:p>
            <w:pPr>
              <w:pStyle w:val="Normal"/>
              <w:widowControl w:val="false"/>
              <w:suppressAutoHyphens w:val="false"/>
              <w:jc w:val="both"/>
              <w:rPr>
                <w:rFonts w:eastAsia="SimSun;宋体"/>
                <w:sz w:val="20"/>
                <w:szCs w:val="20"/>
                <w:lang w:eastAsia="es-ES"/>
              </w:rPr>
            </w:pPr>
            <w:r>
              <w:rPr>
                <w:rFonts w:eastAsia="SimSun;宋体"/>
                <w:sz w:val="20"/>
                <w:szCs w:val="20"/>
                <w:lang w:eastAsia="es-ES"/>
              </w:rPr>
            </w:r>
          </w:p>
          <w:p>
            <w:pPr>
              <w:pStyle w:val="Normal"/>
              <w:widowControl w:val="false"/>
              <w:suppressAutoHyphens w:val="false"/>
              <w:jc w:val="both"/>
              <w:rPr>
                <w:rFonts w:eastAsia="SimSun;宋体"/>
                <w:sz w:val="20"/>
                <w:szCs w:val="20"/>
                <w:lang w:eastAsia="es-ES"/>
              </w:rPr>
            </w:pPr>
            <w:r>
              <w:rPr>
                <w:rFonts w:eastAsia="SimSun;宋体"/>
                <w:sz w:val="20"/>
                <w:szCs w:val="20"/>
                <w:lang w:eastAsia="es-ES"/>
              </w:rPr>
              <w:t>La incorporació d'aquest/s alumnes en pràctiques en cap cas pot substituir al personal de cuina estructural que l'empesa adjudicatària ha de contractar seguint les ràtios establertes al PPT.</w:t>
            </w:r>
          </w:p>
        </w:tc>
      </w:tr>
      <w:tr>
        <w:trPr>
          <w:trHeight w:val="675" w:hRule="atLeast"/>
        </w:trPr>
        <w:tc>
          <w:tcPr>
            <w:tcW w:w="6524" w:type="dxa"/>
            <w:gridSpan w:val="2"/>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snapToGrid w:val="false"/>
              <w:spacing w:before="60" w:after="60"/>
              <w:jc w:val="center"/>
              <w:rPr>
                <w:rFonts w:eastAsia="SimSun;宋体"/>
                <w:sz w:val="22"/>
                <w:szCs w:val="22"/>
                <w:lang w:eastAsia="es-ES"/>
              </w:rPr>
            </w:pPr>
            <w:r>
              <w:rPr>
                <w:rFonts w:eastAsia="SimSun;宋体"/>
                <w:sz w:val="22"/>
                <w:szCs w:val="22"/>
                <w:lang w:eastAsia="es-ES"/>
              </w:rPr>
            </w:r>
          </w:p>
        </w:tc>
        <w:tc>
          <w:tcPr>
            <w:tcW w:w="3225" w:type="dxa"/>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suppressAutoHyphens w:val="false"/>
              <w:jc w:val="center"/>
              <w:rPr>
                <w:rFonts w:eastAsia="Times New Roman"/>
                <w:bCs/>
                <w:color w:val="000000"/>
                <w:sz w:val="18"/>
                <w:szCs w:val="18"/>
                <w:lang w:eastAsia="es-ES"/>
              </w:rPr>
            </w:pPr>
            <w:r>
              <w:rPr>
                <w:rFonts w:eastAsia="Times New Roman"/>
                <w:bCs/>
                <w:color w:val="000000"/>
                <w:sz w:val="18"/>
                <w:szCs w:val="18"/>
                <w:lang w:eastAsia="es-ES"/>
              </w:rPr>
              <w:t xml:space="preserve">Indicar </w:t>
            </w:r>
            <w:r>
              <w:rPr>
                <w:rFonts w:eastAsia="Times New Roman" w:cs="Arial"/>
                <w:bCs/>
                <w:color w:val="000000"/>
                <w:kern w:val="0"/>
                <w:sz w:val="28"/>
                <w:szCs w:val="28"/>
                <w:lang w:val="ca-ES" w:eastAsia="es-ES" w:bidi="ar-SA"/>
              </w:rPr>
              <w:t xml:space="preserve"> </w:t>
            </w:r>
            <w:r>
              <w:rPr>
                <w:rFonts w:eastAsia="Times New Roman" w:cs="Arial"/>
                <w:bCs/>
                <w:color w:val="000000"/>
                <w:kern w:val="0"/>
                <w:sz w:val="18"/>
                <w:szCs w:val="18"/>
                <w:lang w:val="ca-ES" w:eastAsia="es-ES" w:bidi="ar-SA"/>
              </w:rPr>
              <w:t>la quantitat d’alumnes</w:t>
            </w:r>
          </w:p>
        </w:tc>
      </w:tr>
      <w:tr>
        <w:trPr>
          <w:trHeight w:val="675" w:hRule="atLeast"/>
        </w:trPr>
        <w:tc>
          <w:tcPr>
            <w:tcW w:w="6524" w:type="dxa"/>
            <w:gridSpan w:val="2"/>
            <w:tcBorders>
              <w:top w:val="single" w:sz="4" w:space="0" w:color="FFFFFF"/>
              <w:left w:val="single" w:sz="4" w:space="0" w:color="FFFFFF"/>
              <w:bottom w:val="single" w:sz="4" w:space="0" w:color="FFFFFF"/>
              <w:right w:val="single" w:sz="4" w:space="0" w:color="FFFFFF"/>
            </w:tcBorders>
            <w:shd w:fill="F2F2F2" w:val="clear"/>
            <w:vAlign w:val="center"/>
          </w:tcPr>
          <w:p>
            <w:pPr>
              <w:pStyle w:val="Normal"/>
              <w:widowControl w:val="false"/>
              <w:suppressAutoHyphens w:val="false"/>
              <w:jc w:val="both"/>
              <w:rPr>
                <w:sz w:val="22"/>
                <w:szCs w:val="22"/>
                <w:lang w:eastAsia="es-ES"/>
              </w:rPr>
            </w:pPr>
            <w:r>
              <w:rPr>
                <w:sz w:val="22"/>
                <w:szCs w:val="22"/>
                <w:lang w:eastAsia="es-ES"/>
              </w:rPr>
              <w:t>Declaro responsablement que</w:t>
            </w:r>
          </w:p>
          <w:p>
            <w:pPr>
              <w:pStyle w:val="Normal"/>
              <w:widowControl w:val="false"/>
              <w:suppressAutoHyphens w:val="false"/>
              <w:jc w:val="both"/>
              <w:rPr>
                <w:rFonts w:eastAsia="SimSun"/>
                <w:sz w:val="22"/>
                <w:szCs w:val="22"/>
              </w:rPr>
            </w:pPr>
            <w:r>
              <w:rPr>
                <w:rFonts w:eastAsia="Times New Roman"/>
                <w:color w:val="000000"/>
                <w:sz w:val="22"/>
                <w:szCs w:val="22"/>
                <w:lang w:eastAsia="es-ES"/>
              </w:rPr>
              <w:t>em comprometo a incorporar  alumnes en convenis de Formació Professional en modalitat Dual als centres de treball relacionats amb el servei de menjador escolar de Terrassa i en les especialitats que s'hi relacionen (hoteleria i turisme)</w:t>
            </w:r>
          </w:p>
        </w:tc>
        <w:tc>
          <w:tcPr>
            <w:tcW w:w="3225" w:type="dxa"/>
            <w:tcBorders>
              <w:top w:val="single" w:sz="8" w:space="0" w:color="CCCCCC"/>
              <w:left w:val="single" w:sz="8" w:space="0" w:color="CCCCCC"/>
              <w:bottom w:val="single" w:sz="8" w:space="0" w:color="CCCCCC"/>
              <w:right w:val="single" w:sz="8" w:space="0" w:color="CCCCCC"/>
            </w:tcBorders>
            <w:shd w:fill="FFFFFF" w:val="clear"/>
            <w:vAlign w:val="center"/>
          </w:tcPr>
          <w:p>
            <w:pPr>
              <w:pStyle w:val="Normal"/>
              <w:widowControl w:val="false"/>
              <w:suppressAutoHyphens w:val="false"/>
              <w:jc w:val="center"/>
              <w:rPr>
                <w:rFonts w:eastAsia="Times New Roman"/>
                <w:bCs/>
                <w:color w:val="000000"/>
                <w:sz w:val="22"/>
                <w:szCs w:val="22"/>
                <w:lang w:eastAsia="es-ES"/>
              </w:rPr>
            </w:pPr>
            <w:r>
              <w:rPr>
                <w:rFonts w:eastAsia="Times New Roman"/>
                <w:bCs/>
                <w:color w:val="000000"/>
                <w:sz w:val="22"/>
                <w:szCs w:val="22"/>
                <w:lang w:eastAsia="es-ES"/>
              </w:rPr>
              <w:t>........  alumnes</w:t>
            </w:r>
          </w:p>
          <w:p>
            <w:pPr>
              <w:pStyle w:val="Normal"/>
              <w:widowControl w:val="false"/>
              <w:suppressAutoHyphens w:val="false"/>
              <w:jc w:val="center"/>
              <w:rPr>
                <w:rFonts w:eastAsia="Times New Roman"/>
                <w:bCs/>
                <w:color w:val="000000"/>
                <w:sz w:val="22"/>
                <w:szCs w:val="22"/>
                <w:lang w:eastAsia="es-ES"/>
              </w:rPr>
            </w:pPr>
            <w:r>
              <w:rPr>
                <w:rFonts w:eastAsia="Times New Roman"/>
                <w:bCs/>
                <w:color w:val="000000"/>
                <w:sz w:val="22"/>
                <w:szCs w:val="22"/>
                <w:lang w:eastAsia="es-ES"/>
              </w:rPr>
              <w:t>en convenis de Formació</w:t>
            </w:r>
          </w:p>
          <w:p>
            <w:pPr>
              <w:pStyle w:val="Normal"/>
              <w:widowControl w:val="false"/>
              <w:suppressAutoHyphens w:val="false"/>
              <w:jc w:val="center"/>
              <w:rPr>
                <w:rFonts w:eastAsia="Times New Roman"/>
                <w:bCs/>
                <w:color w:val="000000"/>
                <w:sz w:val="22"/>
                <w:szCs w:val="22"/>
                <w:lang w:eastAsia="es-ES"/>
              </w:rPr>
            </w:pPr>
            <w:r>
              <w:rPr>
                <w:rFonts w:eastAsia="Times New Roman"/>
                <w:bCs/>
                <w:color w:val="000000"/>
                <w:sz w:val="22"/>
                <w:szCs w:val="22"/>
                <w:lang w:eastAsia="es-ES"/>
              </w:rPr>
              <w:t>Professional en modalitat Dual</w:t>
            </w:r>
          </w:p>
        </w:tc>
      </w:tr>
    </w:tbl>
    <w:p>
      <w:pPr>
        <w:pStyle w:val="Normal"/>
        <w:jc w:val="both"/>
        <w:rPr/>
      </w:pPr>
      <w:r>
        <w:rPr/>
      </w:r>
    </w:p>
    <w:p>
      <w:pPr>
        <w:pStyle w:val="Normal"/>
        <w:jc w:val="both"/>
        <w:rPr/>
      </w:pPr>
      <w:r>
        <w:rPr/>
      </w:r>
    </w:p>
    <w:p>
      <w:pPr>
        <w:pStyle w:val="Normal"/>
        <w:jc w:val="both"/>
        <w:rPr>
          <w:sz w:val="22"/>
          <w:szCs w:val="22"/>
        </w:rPr>
      </w:pPr>
      <w:r>
        <w:rPr>
          <w:sz w:val="22"/>
          <w:szCs w:val="22"/>
        </w:rPr>
      </w:r>
    </w:p>
    <w:p>
      <w:pPr>
        <w:pStyle w:val="Normal"/>
        <w:widowControl w:val="false"/>
        <w:spacing w:lineRule="auto" w:line="360"/>
        <w:jc w:val="both"/>
        <w:rPr>
          <w:sz w:val="22"/>
          <w:szCs w:val="22"/>
        </w:rPr>
      </w:pPr>
      <w:r>
        <w:rPr>
          <w:sz w:val="22"/>
          <w:szCs w:val="22"/>
        </w:rPr>
      </w:r>
    </w:p>
    <w:p>
      <w:pPr>
        <w:pStyle w:val="Normal"/>
        <w:widowControl w:val="false"/>
        <w:spacing w:lineRule="auto" w:line="360"/>
        <w:jc w:val="both"/>
        <w:rPr>
          <w:b/>
          <w:b/>
          <w:sz w:val="22"/>
          <w:szCs w:val="22"/>
        </w:rPr>
      </w:pPr>
      <w:r>
        <w:rPr>
          <w:b/>
          <w:sz w:val="22"/>
          <w:szCs w:val="22"/>
        </w:rPr>
        <w:t xml:space="preserve">Signatura electrònica del/de la declarant </w:t>
      </w:r>
    </w:p>
    <w:p>
      <w:pPr>
        <w:pStyle w:val="PlainText"/>
        <w:tabs>
          <w:tab w:val="clear" w:pos="720"/>
          <w:tab w:val="left" w:pos="1134" w:leader="none"/>
        </w:tabs>
        <w:spacing w:lineRule="auto" w:line="360"/>
        <w:jc w:val="both"/>
        <w:rPr>
          <w:rFonts w:ascii="Arial" w:hAnsi="Arial" w:cs="Arial"/>
          <w:sz w:val="22"/>
          <w:szCs w:val="22"/>
        </w:rPr>
      </w:pPr>
      <w:r>
        <w:rPr>
          <w:rFonts w:cs="Arial" w:ascii="Arial" w:hAnsi="Arial"/>
          <w:sz w:val="22"/>
          <w:szCs w:val="22"/>
        </w:rPr>
      </w:r>
    </w:p>
    <w:p>
      <w:pPr>
        <w:pStyle w:val="PlainText"/>
        <w:tabs>
          <w:tab w:val="clear" w:pos="720"/>
          <w:tab w:val="left" w:pos="1134" w:leader="none"/>
        </w:tabs>
        <w:spacing w:lineRule="auto" w:line="360"/>
        <w:jc w:val="both"/>
        <w:rPr>
          <w:rFonts w:ascii="Arial" w:hAnsi="Arial" w:cs="Arial"/>
          <w:sz w:val="22"/>
          <w:szCs w:val="22"/>
        </w:rPr>
      </w:pPr>
      <w:r>
        <w:rPr>
          <w:rFonts w:cs="Arial" w:ascii="Arial" w:hAnsi="Arial"/>
          <w:sz w:val="22"/>
          <w:szCs w:val="22"/>
        </w:rPr>
      </w:r>
    </w:p>
    <w:p>
      <w:pPr>
        <w:pStyle w:val="PlainText"/>
        <w:tabs>
          <w:tab w:val="clear" w:pos="720"/>
          <w:tab w:val="left" w:pos="1134" w:leader="none"/>
        </w:tabs>
        <w:spacing w:lineRule="auto" w:line="360"/>
        <w:jc w:val="both"/>
        <w:rPr>
          <w:rFonts w:ascii="Arial" w:hAnsi="Arial" w:cs="Arial"/>
          <w:sz w:val="22"/>
          <w:szCs w:val="22"/>
        </w:rPr>
      </w:pPr>
      <w:r>
        <w:rPr>
          <w:rFonts w:cs="Arial" w:ascii="Arial" w:hAnsi="Arial"/>
          <w:sz w:val="22"/>
          <w:szCs w:val="22"/>
        </w:rPr>
      </w:r>
    </w:p>
    <w:p>
      <w:pPr>
        <w:pStyle w:val="PlainText"/>
        <w:tabs>
          <w:tab w:val="clear" w:pos="720"/>
          <w:tab w:val="left" w:pos="1134" w:leader="none"/>
        </w:tabs>
        <w:spacing w:lineRule="auto" w:line="360"/>
        <w:jc w:val="both"/>
        <w:rPr>
          <w:rFonts w:ascii="Arial" w:hAnsi="Arial" w:cs="Arial"/>
          <w:sz w:val="22"/>
          <w:szCs w:val="22"/>
        </w:rPr>
      </w:pPr>
      <w:r>
        <w:rPr>
          <w:rFonts w:cs="Arial" w:ascii="Arial" w:hAnsi="Arial"/>
          <w:sz w:val="22"/>
          <w:szCs w:val="22"/>
        </w:rPr>
      </w:r>
    </w:p>
    <w:p>
      <w:pPr>
        <w:pStyle w:val="PlainText"/>
        <w:tabs>
          <w:tab w:val="clear" w:pos="720"/>
          <w:tab w:val="left" w:pos="1134" w:leader="none"/>
        </w:tabs>
        <w:spacing w:lineRule="auto" w:line="360"/>
        <w:jc w:val="both"/>
        <w:rPr>
          <w:rFonts w:ascii="Arial" w:hAnsi="Arial" w:cs="Arial"/>
          <w:sz w:val="22"/>
          <w:szCs w:val="22"/>
        </w:rPr>
      </w:pPr>
      <w:r>
        <w:rPr>
          <w:rFonts w:cs="Arial" w:ascii="Arial" w:hAnsi="Arial"/>
          <w:sz w:val="22"/>
          <w:szCs w:val="22"/>
        </w:rPr>
      </w:r>
    </w:p>
    <w:p>
      <w:pPr>
        <w:pStyle w:val="PlainText"/>
        <w:tabs>
          <w:tab w:val="clear" w:pos="720"/>
          <w:tab w:val="left" w:pos="1134" w:leader="none"/>
        </w:tabs>
        <w:spacing w:lineRule="auto" w:line="360"/>
        <w:jc w:val="both"/>
        <w:rPr>
          <w:rFonts w:ascii="Arial" w:hAnsi="Arial" w:cs="Arial"/>
          <w:sz w:val="22"/>
          <w:szCs w:val="22"/>
        </w:rPr>
      </w:pPr>
      <w:r>
        <w:rPr>
          <w:rFonts w:cs="Arial" w:ascii="Arial" w:hAnsi="Arial"/>
          <w:sz w:val="22"/>
          <w:szCs w:val="22"/>
        </w:rPr>
      </w:r>
    </w:p>
    <w:p>
      <w:pPr>
        <w:pStyle w:val="PlainText"/>
        <w:tabs>
          <w:tab w:val="clear" w:pos="720"/>
          <w:tab w:val="left" w:pos="1134" w:leader="none"/>
        </w:tabs>
        <w:spacing w:lineRule="auto" w:line="360"/>
        <w:jc w:val="both"/>
        <w:rPr>
          <w:rFonts w:ascii="Arial" w:hAnsi="Arial" w:cs="Arial"/>
          <w:sz w:val="22"/>
          <w:szCs w:val="22"/>
        </w:rPr>
      </w:pPr>
      <w:r>
        <w:rPr>
          <w:rFonts w:cs="Arial" w:ascii="Arial" w:hAnsi="Arial"/>
          <w:sz w:val="22"/>
          <w:szCs w:val="22"/>
        </w:rPr>
      </w:r>
    </w:p>
    <w:p>
      <w:pPr>
        <w:pStyle w:val="PlainText"/>
        <w:tabs>
          <w:tab w:val="clear" w:pos="720"/>
          <w:tab w:val="left" w:pos="1134" w:leader="none"/>
        </w:tabs>
        <w:spacing w:lineRule="auto" w:line="360"/>
        <w:jc w:val="both"/>
        <w:rPr>
          <w:rFonts w:ascii="Arial" w:hAnsi="Arial" w:cs="Arial"/>
          <w:sz w:val="22"/>
          <w:szCs w:val="22"/>
        </w:rPr>
      </w:pPr>
      <w:r>
        <w:rPr>
          <w:rFonts w:cs="Arial" w:ascii="Arial" w:hAnsi="Arial"/>
          <w:sz w:val="22"/>
          <w:szCs w:val="22"/>
        </w:rPr>
      </w:r>
    </w:p>
    <w:p>
      <w:pPr>
        <w:pStyle w:val="PlainText"/>
        <w:tabs>
          <w:tab w:val="clear" w:pos="720"/>
          <w:tab w:val="left" w:pos="1134" w:leader="none"/>
        </w:tabs>
        <w:spacing w:lineRule="auto" w:line="360"/>
        <w:jc w:val="both"/>
        <w:rPr>
          <w:rFonts w:ascii="Arial" w:hAnsi="Arial" w:cs="Arial"/>
          <w:sz w:val="22"/>
          <w:szCs w:val="22"/>
        </w:rPr>
      </w:pPr>
      <w:r>
        <w:rPr>
          <w:rFonts w:cs="Arial" w:ascii="Arial" w:hAnsi="Arial"/>
          <w:sz w:val="22"/>
          <w:szCs w:val="22"/>
        </w:rPr>
      </w:r>
    </w:p>
    <w:p>
      <w:pPr>
        <w:pStyle w:val="PlainText"/>
        <w:tabs>
          <w:tab w:val="clear" w:pos="720"/>
          <w:tab w:val="left" w:pos="1134" w:leader="none"/>
        </w:tabs>
        <w:spacing w:lineRule="auto" w:line="360"/>
        <w:jc w:val="both"/>
        <w:rPr>
          <w:rFonts w:ascii="Arial" w:hAnsi="Arial" w:cs="Arial"/>
          <w:sz w:val="22"/>
          <w:szCs w:val="22"/>
        </w:rPr>
      </w:pPr>
      <w:r>
        <w:rPr>
          <w:rFonts w:cs="Arial" w:ascii="Arial" w:hAnsi="Arial"/>
          <w:sz w:val="22"/>
          <w:szCs w:val="22"/>
        </w:rPr>
      </w:r>
    </w:p>
    <w:p>
      <w:pPr>
        <w:pStyle w:val="PlainText"/>
        <w:tabs>
          <w:tab w:val="clear" w:pos="720"/>
          <w:tab w:val="left" w:pos="1134" w:leader="none"/>
        </w:tabs>
        <w:spacing w:lineRule="auto" w:line="360"/>
        <w:jc w:val="both"/>
        <w:rPr>
          <w:rFonts w:ascii="Arial" w:hAnsi="Arial" w:cs="Arial"/>
          <w:sz w:val="22"/>
          <w:szCs w:val="22"/>
        </w:rPr>
      </w:pPr>
      <w:r>
        <w:rPr>
          <w:rFonts w:cs="Arial" w:ascii="Arial" w:hAnsi="Arial"/>
          <w:sz w:val="22"/>
          <w:szCs w:val="22"/>
        </w:rPr>
      </w:r>
    </w:p>
    <w:p>
      <w:pPr>
        <w:pStyle w:val="PlainText"/>
        <w:tabs>
          <w:tab w:val="clear" w:pos="720"/>
          <w:tab w:val="left" w:pos="1134" w:leader="none"/>
        </w:tabs>
        <w:spacing w:lineRule="auto" w:line="360"/>
        <w:jc w:val="both"/>
        <w:rPr>
          <w:rFonts w:ascii="Arial" w:hAnsi="Arial" w:cs="Arial"/>
          <w:sz w:val="22"/>
          <w:szCs w:val="22"/>
        </w:rPr>
      </w:pPr>
      <w:r>
        <w:rPr>
          <w:rFonts w:cs="Arial" w:ascii="Arial" w:hAnsi="Arial"/>
          <w:sz w:val="22"/>
          <w:szCs w:val="22"/>
        </w:rPr>
      </w:r>
    </w:p>
    <w:p>
      <w:pPr>
        <w:pStyle w:val="PlainText"/>
        <w:spacing w:lineRule="auto" w:line="360"/>
        <w:jc w:val="both"/>
        <w:rPr>
          <w:rFonts w:ascii="Arial" w:hAnsi="Arial" w:cs="Arial"/>
          <w:b/>
          <w:b/>
          <w:sz w:val="22"/>
        </w:rPr>
      </w:pPr>
      <w:r>
        <w:rPr>
          <w:rFonts w:cs="Arial" w:ascii="Arial" w:hAnsi="Arial"/>
          <w:b/>
          <w:sz w:val="22"/>
        </w:rPr>
      </w:r>
      <w:r>
        <w:br w:type="page"/>
      </w:r>
    </w:p>
    <w:p>
      <w:pPr>
        <w:pStyle w:val="PlainText"/>
        <w:spacing w:lineRule="auto" w:line="360"/>
        <w:jc w:val="both"/>
        <w:rPr/>
      </w:pPr>
      <w:r>
        <w:rPr>
          <w:rFonts w:cs="Arial" w:ascii="Arial" w:hAnsi="Arial"/>
          <w:b/>
          <w:sz w:val="22"/>
        </w:rPr>
        <w:t>ANNEX 2 - MODEL DE DECLARACIÓ RESPONSABLE (Sobre 1)</w:t>
      </w:r>
      <w:r>
        <w:rPr>
          <w:rFonts w:cs="Arial" w:ascii="Arial" w:hAnsi="Arial"/>
          <w:sz w:val="22"/>
        </w:rPr>
        <w:t xml:space="preserve">: </w:t>
      </w:r>
    </w:p>
    <w:p>
      <w:pPr>
        <w:pStyle w:val="PlainText"/>
        <w:spacing w:lineRule="auto" w:line="360"/>
        <w:jc w:val="both"/>
        <w:rPr>
          <w:rFonts w:ascii="Arial" w:hAnsi="Arial" w:cs="Arial"/>
          <w:b/>
          <w:b/>
          <w:sz w:val="22"/>
        </w:rPr>
      </w:pPr>
      <w:r>
        <w:rPr>
          <w:rFonts w:cs="Arial" w:ascii="Arial" w:hAnsi="Arial"/>
          <w:b/>
          <w:sz w:val="22"/>
        </w:rPr>
      </w:r>
    </w:p>
    <w:p>
      <w:pPr>
        <w:pStyle w:val="Normal"/>
        <w:spacing w:lineRule="auto" w:line="360"/>
        <w:jc w:val="both"/>
        <w:rPr/>
      </w:pPr>
      <w:r>
        <w:rPr>
          <w:sz w:val="22"/>
          <w:szCs w:val="22"/>
        </w:rPr>
        <w:t>En/Na …, amb Document Nacional d'Identitat núm. …, amb domicili a efectes de notificació a …, carrer ..., núm. …, en nom propi o en representació de l’empresa…amb NIF..., amb domicili social al carrer....núm..... de ....segons escriptura d’apoderament atorgada davant del notari de..., el Sr. ...., en data.... i núm del seu protocol.....</w:t>
      </w:r>
    </w:p>
    <w:p>
      <w:pPr>
        <w:pStyle w:val="Textosinformato1"/>
        <w:jc w:val="both"/>
        <w:rPr>
          <w:rFonts w:ascii="Arial" w:hAnsi="Arial" w:cs="Arial"/>
          <w:sz w:val="22"/>
          <w:highlight w:val="magenta"/>
        </w:rPr>
      </w:pPr>
      <w:r>
        <w:rPr>
          <w:rFonts w:cs="Arial" w:ascii="Arial" w:hAnsi="Arial"/>
          <w:sz w:val="22"/>
          <w:highlight w:val="magenta"/>
        </w:rPr>
      </w:r>
    </w:p>
    <w:p>
      <w:pPr>
        <w:pStyle w:val="Textosinformato1"/>
        <w:rPr>
          <w:rFonts w:ascii="Arial" w:hAnsi="Arial" w:cs="Arial"/>
          <w:b/>
          <w:b/>
          <w:color w:val="00000A"/>
          <w:sz w:val="22"/>
        </w:rPr>
      </w:pPr>
      <w:r>
        <w:rPr>
          <w:rFonts w:cs="Arial" w:ascii="Arial" w:hAnsi="Arial"/>
          <w:b/>
          <w:color w:val="00000A"/>
          <w:sz w:val="22"/>
        </w:rPr>
        <w:t>DECLARA:</w:t>
      </w:r>
    </w:p>
    <w:p>
      <w:pPr>
        <w:pStyle w:val="Textosinformato1"/>
        <w:rPr>
          <w:rFonts w:ascii="Arial" w:hAnsi="Arial" w:cs="Arial"/>
          <w:color w:val="00000A"/>
          <w:sz w:val="22"/>
          <w:szCs w:val="22"/>
        </w:rPr>
      </w:pPr>
      <w:r>
        <w:rPr>
          <w:rFonts w:cs="Arial" w:ascii="Arial" w:hAnsi="Arial"/>
          <w:color w:val="00000A"/>
          <w:sz w:val="22"/>
          <w:szCs w:val="22"/>
        </w:rPr>
      </w:r>
    </w:p>
    <w:p>
      <w:pPr>
        <w:pStyle w:val="Textosinformato1"/>
        <w:spacing w:lineRule="auto" w:line="360"/>
        <w:jc w:val="both"/>
        <w:rPr/>
      </w:pPr>
      <w:r>
        <w:rPr>
          <w:rFonts w:cs="Arial" w:ascii="Arial" w:hAnsi="Arial"/>
          <w:color w:val="00000A"/>
          <w:sz w:val="22"/>
          <w:szCs w:val="22"/>
        </w:rPr>
        <w:t>a) Que estic facultat per contractar amb l’Administració, ja que, tenint capacitat d’obrar, no es troba compresa en cap de les circumstàncies de prohibició de contractar assenyalades en l’article 71 de la LCSP.</w:t>
      </w:r>
    </w:p>
    <w:p>
      <w:pPr>
        <w:pStyle w:val="Textosinformato1"/>
        <w:spacing w:lineRule="auto" w:line="360"/>
        <w:jc w:val="both"/>
        <w:rPr>
          <w:rFonts w:ascii="Arial" w:hAnsi="Arial" w:cs="Arial"/>
          <w:color w:val="00000A"/>
          <w:sz w:val="22"/>
          <w:szCs w:val="22"/>
        </w:rPr>
      </w:pPr>
      <w:r>
        <w:rPr>
          <w:rFonts w:cs="Arial" w:ascii="Arial" w:hAnsi="Arial"/>
          <w:color w:val="00000A"/>
          <w:sz w:val="22"/>
          <w:szCs w:val="22"/>
        </w:rPr>
        <w:t>b)Que no m’afecta la condició especial de compatibilitat regulada a l’article 70.1 de la LCSP, consistent en què ni el licitador ni les empreses vinculades al mateix, en el seu cas, han participat en l’elaboració de les especificacions tècniques dels documents preparatoris del contracte o han assessorat a l’òrgan de contractació durant la preparació del procediment.</w:t>
      </w:r>
    </w:p>
    <w:p>
      <w:pPr>
        <w:pStyle w:val="Normal"/>
        <w:spacing w:lineRule="auto" w:line="360"/>
        <w:jc w:val="both"/>
        <w:rPr>
          <w:sz w:val="22"/>
          <w:szCs w:val="22"/>
        </w:rPr>
      </w:pPr>
      <w:r>
        <w:rPr>
          <w:sz w:val="22"/>
          <w:szCs w:val="22"/>
        </w:rPr>
        <w:t>c)Que la societat està constituïda vàlidament i que de conformitat amb el seu objecte social es pot presentar a la licitació. Així mateix, el signant de la declaració té la deguda representació per presentar la proposició i la declaració.</w:t>
      </w:r>
    </w:p>
    <w:p>
      <w:pPr>
        <w:pStyle w:val="Normal"/>
        <w:spacing w:lineRule="auto" w:line="360"/>
        <w:jc w:val="both"/>
        <w:rPr>
          <w:sz w:val="22"/>
          <w:szCs w:val="22"/>
        </w:rPr>
      </w:pPr>
      <w:r>
        <w:rPr>
          <w:sz w:val="22"/>
          <w:szCs w:val="22"/>
        </w:rPr>
        <w:t>d)Que estic al corrent en el compliment de les obligacions tributàries i amb la Seguretat Social de conformitat amb el què estableixen els articles 13 i 14 del Reglament general de la Llei de contractes de les administracions públiques, aprovat pel Reial decret 1098/2001 de 12 d’octubre.</w:t>
      </w:r>
    </w:p>
    <w:p>
      <w:pPr>
        <w:pStyle w:val="Normal"/>
        <w:spacing w:lineRule="auto" w:line="360"/>
        <w:jc w:val="both"/>
        <w:rPr/>
      </w:pPr>
      <w:r>
        <w:rPr>
          <w:sz w:val="22"/>
          <w:szCs w:val="22"/>
        </w:rPr>
        <w:t>e)Autoritzo a l’Ajuntament de Terrassa</w:t>
      </w:r>
      <w:r>
        <w:rPr>
          <w:i/>
          <w:sz w:val="22"/>
          <w:szCs w:val="22"/>
        </w:rPr>
        <w:t xml:space="preserve"> </w:t>
      </w:r>
      <w:r>
        <w:rPr>
          <w:sz w:val="22"/>
          <w:szCs w:val="22"/>
        </w:rPr>
        <w:t xml:space="preserve">a l’obtenció per mitjans electrònics de les dades següents: Comprovació amb la AEAT i la TGSS d’estar al corrent en el compliment de les obligacions tributàries i amb la Seguretat Social. (De conformitat amb allò que estableixen els articles 13, 14 i 15 del Reglament General de la Llei de Contractes de les Administracions Públiques, aprovat pel Reial Decret 1098/2001, de 12 d’octubre). </w:t>
      </w:r>
    </w:p>
    <w:p>
      <w:pPr>
        <w:pStyle w:val="Normal"/>
        <w:spacing w:lineRule="auto" w:line="360"/>
        <w:jc w:val="both"/>
        <w:rPr>
          <w:sz w:val="22"/>
          <w:szCs w:val="22"/>
        </w:rPr>
      </w:pPr>
      <w:r>
        <w:rPr>
          <w:sz w:val="22"/>
          <w:szCs w:val="22"/>
        </w:rPr>
        <w:t>f) [Per a les empreses estrangeres] Sotmetre’m a la jurisdicció dels jutjats i tribunals espanyols, per a totes les incidències que de manera directa o indirecta puguin sorgir del contracte, amb renúncia, si s’escau, al fur jurisdiccional estranger que pugui correspondre a l’empresa licitadora.</w:t>
      </w:r>
    </w:p>
    <w:p>
      <w:pPr>
        <w:pStyle w:val="Normal"/>
        <w:spacing w:lineRule="auto" w:line="360"/>
        <w:jc w:val="both"/>
        <w:rPr>
          <w:sz w:val="22"/>
          <w:szCs w:val="22"/>
        </w:rPr>
      </w:pPr>
      <w:r>
        <w:rPr>
          <w:sz w:val="22"/>
          <w:szCs w:val="22"/>
        </w:rPr>
        <w:t xml:space="preserve">g)[En el cas d’unió temporal d’empresaris d’acord al previst a l’article 69 de la LCSP] Assumeixo el compromís de constitució formal  de la unió temporal d’empreses en el cas de resultar adjudicatari. </w:t>
      </w:r>
    </w:p>
    <w:p>
      <w:pPr>
        <w:pStyle w:val="Normal"/>
        <w:spacing w:lineRule="auto" w:line="360"/>
        <w:jc w:val="both"/>
        <w:rPr>
          <w:sz w:val="22"/>
          <w:szCs w:val="22"/>
        </w:rPr>
      </w:pPr>
      <w:r>
        <w:rPr>
          <w:sz w:val="22"/>
          <w:szCs w:val="22"/>
        </w:rPr>
        <w:t>h)</w:t>
      </w:r>
      <w:r>
        <w:rPr>
          <w:color w:val="000000"/>
          <w:sz w:val="22"/>
          <w:szCs w:val="22"/>
        </w:rPr>
        <w:t xml:space="preserve">Compleixo les condicions d’aptitud i solvència </w:t>
      </w:r>
      <w:r>
        <w:rPr>
          <w:sz w:val="22"/>
          <w:szCs w:val="22"/>
        </w:rPr>
        <w:t xml:space="preserve">econòmica i financera, i tècnica i professional establertes per contractar, de conformitat amb els requisits mínims exigits  en aquest plec, i disposo de les autoritzacions </w:t>
      </w:r>
      <w:r>
        <w:rPr>
          <w:rFonts w:eastAsia="NSimSun"/>
          <w:sz w:val="22"/>
        </w:rPr>
        <w:t xml:space="preserve">i/o habilitacions </w:t>
      </w:r>
      <w:r>
        <w:rPr>
          <w:sz w:val="22"/>
          <w:szCs w:val="22"/>
        </w:rPr>
        <w:t xml:space="preserve">necessàries per a exercir l'activitat.  </w:t>
      </w:r>
    </w:p>
    <w:p>
      <w:pPr>
        <w:pStyle w:val="Normal"/>
        <w:spacing w:lineRule="auto" w:line="360"/>
        <w:jc w:val="both"/>
        <w:rPr/>
      </w:pPr>
      <w:r>
        <w:rPr>
          <w:sz w:val="22"/>
          <w:szCs w:val="22"/>
        </w:rPr>
        <w:t>i)</w:t>
      </w:r>
      <w:r>
        <w:rPr>
          <w:color w:val="000000"/>
          <w:sz w:val="22"/>
          <w:szCs w:val="22"/>
        </w:rPr>
        <w:t>Que en el cas de recórrer a solvència externa, compta amb el compromís per escrit de les entitats corresponents per a disposar dels seus recursos i capacitats per a utilitzar-los en l’execució del contracte.</w:t>
      </w:r>
    </w:p>
    <w:p>
      <w:pPr>
        <w:pStyle w:val="Normal"/>
        <w:spacing w:lineRule="auto" w:line="360"/>
        <w:jc w:val="both"/>
        <w:rPr>
          <w:color w:val="000000"/>
          <w:sz w:val="22"/>
          <w:szCs w:val="22"/>
        </w:rPr>
      </w:pPr>
      <w:r>
        <w:rPr>
          <w:color w:val="000000"/>
          <w:sz w:val="22"/>
          <w:szCs w:val="22"/>
        </w:rPr>
        <w:t xml:space="preserve">j)Em comprometo a adscriure a l’execució del contracte els mitjans personals i materials suficients per a això. </w:t>
      </w:r>
    </w:p>
    <w:p>
      <w:pPr>
        <w:pStyle w:val="Normal"/>
        <w:spacing w:lineRule="auto" w:line="360"/>
        <w:jc w:val="both"/>
        <w:rPr/>
      </w:pPr>
      <w:r>
        <w:rPr>
          <w:sz w:val="22"/>
          <w:szCs w:val="22"/>
        </w:rPr>
        <w:t>k)</w:t>
      </w:r>
      <w:r>
        <w:rPr>
          <w:color w:val="000000"/>
          <w:sz w:val="22"/>
          <w:szCs w:val="22"/>
        </w:rPr>
        <w:t xml:space="preserve">En el si de l’empresa no es produeix bretxa salarial entre dones i homes.  </w:t>
      </w:r>
    </w:p>
    <w:p>
      <w:pPr>
        <w:pStyle w:val="Normal"/>
        <w:spacing w:lineRule="auto" w:line="360"/>
        <w:jc w:val="both"/>
        <w:rPr>
          <w:color w:val="000000"/>
          <w:sz w:val="22"/>
          <w:szCs w:val="22"/>
        </w:rPr>
      </w:pPr>
      <w:r>
        <w:rPr>
          <w:color w:val="000000"/>
          <w:sz w:val="22"/>
          <w:szCs w:val="22"/>
        </w:rPr>
        <w:t xml:space="preserve">l)No realitza operacions financeres en paradisos fiscals considerades delictives, segons la llista de països elaborada per les Institucions Europees o avalades per aquestes o, en el seu defecte, l’Estat espanyol o fora d’ells, en els termes legalment establerts, com delictes de blanqueig de capitals, frau fiscal o contra la Hisenda Pública, ni tampoc les empreses subcontractades. </w:t>
      </w:r>
    </w:p>
    <w:p>
      <w:pPr>
        <w:pStyle w:val="Normal"/>
        <w:spacing w:lineRule="auto" w:line="360"/>
        <w:jc w:val="both"/>
        <w:rPr>
          <w:color w:val="000000"/>
          <w:sz w:val="22"/>
          <w:szCs w:val="22"/>
        </w:rPr>
      </w:pPr>
      <w:r>
        <w:rPr>
          <w:color w:val="000000"/>
          <w:sz w:val="22"/>
          <w:szCs w:val="22"/>
        </w:rPr>
        <w:t>m)No té relacions legals amb paradisos fiscals i, en cas afirmatiu, presenta documentació descriptiva dels moviments financers i tota la informació relativa a aquestes actuacions i les de les empreses subcontractades.</w:t>
      </w:r>
    </w:p>
    <w:p>
      <w:pPr>
        <w:pStyle w:val="Normal"/>
        <w:spacing w:lineRule="auto" w:line="360"/>
        <w:jc w:val="both"/>
        <w:rPr>
          <w:color w:val="000000"/>
          <w:sz w:val="22"/>
          <w:szCs w:val="22"/>
        </w:rPr>
      </w:pPr>
      <w:r>
        <w:rPr>
          <w:color w:val="000000"/>
          <w:sz w:val="22"/>
          <w:szCs w:val="22"/>
        </w:rPr>
        <w:t xml:space="preserve">n)No realitza operacions financeres, inversions, compres, contractacions, així com altres activitats econòmiques que vagin en contra del Dret Internacional de Drets Humans i/o Dret Internacional Humanitari en colònies (assentaments construïts per un Estat ocupat) construïdes en territoris considerats ocupats d’acord amb el Dret Internacional. </w:t>
      </w:r>
    </w:p>
    <w:p>
      <w:pPr>
        <w:pStyle w:val="Normal"/>
        <w:spacing w:lineRule="auto" w:line="360"/>
        <w:jc w:val="both"/>
        <w:rPr>
          <w:color w:val="000000"/>
          <w:sz w:val="22"/>
          <w:szCs w:val="22"/>
        </w:rPr>
      </w:pPr>
      <w:r>
        <w:rPr>
          <w:color w:val="000000"/>
          <w:sz w:val="22"/>
          <w:szCs w:val="22"/>
        </w:rPr>
        <w:t xml:space="preserve">o)No té activitats econòmiques en països en conflicte armat, en estats que ocupin territoris de forma il·legal i/o en estats amb clares deficiències en l’obligació de protecció dels Drets Humans, i, en cas afirmatiu, presenta la documentació descriptiva dels moviments financers concrets i de l’activitat econòmica. </w:t>
      </w:r>
    </w:p>
    <w:p>
      <w:pPr>
        <w:pStyle w:val="Normal"/>
        <w:spacing w:lineRule="auto" w:line="360"/>
        <w:jc w:val="both"/>
        <w:rPr>
          <w:color w:val="000000"/>
          <w:sz w:val="22"/>
          <w:szCs w:val="22"/>
        </w:rPr>
      </w:pPr>
      <w:r>
        <w:rPr>
          <w:color w:val="000000"/>
          <w:sz w:val="22"/>
          <w:szCs w:val="22"/>
        </w:rPr>
        <w:t xml:space="preserve">p)No ha estat condemnat mitjançant resolució judicial o administrativa ferma (sigui nacional  o internacional) per qualsevol vulneració dels drets humans recollits en les disposicions nacionals i en els tractats internacionals subscrits per l’Estat espanyol. </w:t>
      </w:r>
    </w:p>
    <w:p>
      <w:pPr>
        <w:pStyle w:val="Normal"/>
        <w:spacing w:lineRule="auto" w:line="360"/>
        <w:jc w:val="both"/>
        <w:rPr>
          <w:color w:val="000000"/>
          <w:sz w:val="22"/>
          <w:szCs w:val="22"/>
        </w:rPr>
      </w:pPr>
      <w:r>
        <w:rPr>
          <w:color w:val="000000"/>
          <w:sz w:val="22"/>
          <w:szCs w:val="22"/>
        </w:rPr>
        <w:t xml:space="preserve">q)Es compromet a actuar amb la diligència deguda efectiva i responsable perquè les obligacions en matèria de drets humans siguin tingudes en compte per part de totes les empreses subcontractistes que participin en l’execució del contracte, i a informar l’entitat contractant en cas de conèixer algun incompliment per part seva. </w:t>
      </w:r>
    </w:p>
    <w:p>
      <w:pPr>
        <w:pStyle w:val="Normal"/>
        <w:spacing w:lineRule="auto" w:line="360"/>
        <w:jc w:val="both"/>
        <w:rPr/>
      </w:pPr>
      <w:r>
        <w:rPr>
          <w:color w:val="000000"/>
          <w:sz w:val="22"/>
          <w:szCs w:val="22"/>
        </w:rPr>
        <w:t xml:space="preserve">r)Que l’empresa i les seves empreses subcontractistes no estan condemnades per resolució administrativa ferma (d’organismes internacionals com Nacions Unides, </w:t>
      </w:r>
      <w:r>
        <w:rPr>
          <w:color w:val="000000"/>
          <w:sz w:val="22"/>
          <w:szCs w:val="22"/>
          <w:lang w:val="af-ZA"/>
        </w:rPr>
        <w:t>l’OCDE</w:t>
      </w:r>
      <w:r>
        <w:rPr>
          <w:color w:val="000000"/>
          <w:sz w:val="22"/>
          <w:szCs w:val="22"/>
        </w:rPr>
        <w:t xml:space="preserve">, etc.) per vulneració dels drets humans d’acord amb l’ordenament jurídic espanyol i els tractats internacionals subscrits per l’Estat espanyol. </w:t>
      </w:r>
    </w:p>
    <w:p>
      <w:pPr>
        <w:pStyle w:val="Normal"/>
        <w:spacing w:lineRule="auto" w:line="360"/>
        <w:jc w:val="both"/>
        <w:rPr>
          <w:color w:val="000000"/>
          <w:sz w:val="22"/>
          <w:szCs w:val="22"/>
        </w:rPr>
      </w:pPr>
      <w:r>
        <w:rPr>
          <w:color w:val="000000"/>
          <w:sz w:val="22"/>
          <w:szCs w:val="22"/>
        </w:rPr>
        <w:t xml:space="preserve">s)Que l’empresa i les seves empreses subcontractistes no són còmplices de cap vulneració d’un tractat internacional subscrit per l’Estat espanyol. </w:t>
      </w:r>
    </w:p>
    <w:p>
      <w:pPr>
        <w:pStyle w:val="Normal"/>
        <w:spacing w:lineRule="auto" w:line="360"/>
        <w:jc w:val="both"/>
        <w:rPr>
          <w:color w:val="000000"/>
          <w:sz w:val="22"/>
          <w:szCs w:val="22"/>
        </w:rPr>
      </w:pPr>
      <w:r>
        <w:rPr>
          <w:color w:val="000000"/>
          <w:sz w:val="22"/>
          <w:szCs w:val="22"/>
        </w:rPr>
        <w:t xml:space="preserve">t)Que els treballadors i les treballadores de l’empresa licitadora i les subcontractistes no han estat condemnades per vulneració dels drets humans en el marc de la seva tasca professional. </w:t>
      </w:r>
    </w:p>
    <w:p>
      <w:pPr>
        <w:pStyle w:val="Normal"/>
        <w:spacing w:lineRule="auto" w:line="360"/>
        <w:jc w:val="both"/>
        <w:rPr>
          <w:color w:val="000000"/>
          <w:sz w:val="22"/>
          <w:szCs w:val="22"/>
        </w:rPr>
      </w:pPr>
      <w:r>
        <w:rPr>
          <w:color w:val="000000"/>
          <w:sz w:val="22"/>
          <w:szCs w:val="22"/>
        </w:rPr>
        <w:t xml:space="preserve">u)Que els treballadors i les treballadores han estat formades en matèria de drets humans i de dret internacional humanitari i/o que l’empresa oferirà aquesta formació al llarg de l’execució del contracte. </w:t>
      </w:r>
    </w:p>
    <w:p>
      <w:pPr>
        <w:pStyle w:val="Normal"/>
        <w:spacing w:lineRule="auto" w:line="360"/>
        <w:jc w:val="both"/>
        <w:rPr>
          <w:color w:val="000000"/>
          <w:sz w:val="22"/>
          <w:szCs w:val="22"/>
        </w:rPr>
      </w:pPr>
      <w:r>
        <w:rPr>
          <w:color w:val="000000"/>
          <w:sz w:val="22"/>
          <w:szCs w:val="22"/>
        </w:rPr>
        <w:t>v) Que en el marc de la producció del bé o subministrament o de la prestació del servei, particularment en les fases inicials com la fase d’extracció de materials, l’empresa i les seves empreses subcontractistes no han vulnerat els drets humans.</w:t>
      </w:r>
    </w:p>
    <w:p>
      <w:pPr>
        <w:pStyle w:val="Normal"/>
        <w:spacing w:lineRule="auto" w:line="360"/>
        <w:jc w:val="both"/>
        <w:rPr>
          <w:color w:val="000000"/>
          <w:sz w:val="22"/>
          <w:szCs w:val="22"/>
        </w:rPr>
      </w:pPr>
      <w:r>
        <w:rPr>
          <w:color w:val="000000"/>
          <w:sz w:val="22"/>
          <w:szCs w:val="22"/>
        </w:rPr>
        <w:t xml:space="preserve">w)Compleixo les prescripcions legals relatives a la quota de reserva de llocs de treball i de l’obligació de disposar d’un pla d’igualtat. </w:t>
      </w:r>
    </w:p>
    <w:p>
      <w:pPr>
        <w:pStyle w:val="Normal"/>
        <w:spacing w:lineRule="auto" w:line="360"/>
        <w:jc w:val="both"/>
        <w:rPr>
          <w:color w:val="000000"/>
          <w:sz w:val="22"/>
          <w:szCs w:val="22"/>
        </w:rPr>
      </w:pPr>
      <w:r>
        <w:rPr>
          <w:color w:val="000000"/>
          <w:sz w:val="22"/>
          <w:szCs w:val="22"/>
        </w:rPr>
        <w:t>x)Que, cas de resultar proposat com a adjudicatari, es compromet a aportar la documentació assenyalada en el PCAP.</w:t>
      </w:r>
    </w:p>
    <w:p>
      <w:pPr>
        <w:pStyle w:val="Normal"/>
        <w:spacing w:lineRule="auto" w:line="360"/>
        <w:jc w:val="both"/>
        <w:rPr>
          <w:color w:val="000000"/>
          <w:sz w:val="22"/>
          <w:szCs w:val="22"/>
        </w:rPr>
      </w:pPr>
      <w:r>
        <w:rPr>
          <w:color w:val="000000"/>
          <w:sz w:val="22"/>
          <w:szCs w:val="22"/>
        </w:rPr>
        <w:t>y)Que no ha celebrat cap acord amb altres operadors econòmics destinats a falsejar la competència en l’àmbit d’aquest contracte i que no coneix cap conflicte d’interessos vinculat a la seva participació en aquest procediment de contractació.</w:t>
      </w:r>
    </w:p>
    <w:p>
      <w:pPr>
        <w:pStyle w:val="Normal"/>
        <w:spacing w:lineRule="auto" w:line="360"/>
        <w:jc w:val="both"/>
        <w:rPr>
          <w:color w:val="000000"/>
          <w:sz w:val="22"/>
          <w:szCs w:val="22"/>
        </w:rPr>
      </w:pPr>
      <w:r>
        <w:rPr>
          <w:color w:val="000000"/>
          <w:sz w:val="22"/>
          <w:szCs w:val="22"/>
        </w:rPr>
      </w:r>
    </w:p>
    <w:p>
      <w:pPr>
        <w:pStyle w:val="Normal"/>
        <w:spacing w:lineRule="auto" w:line="360"/>
        <w:jc w:val="both"/>
        <w:rPr>
          <w:rFonts w:eastAsia="SimSun"/>
          <w:color w:val="000000"/>
          <w:sz w:val="22"/>
          <w:szCs w:val="22"/>
        </w:rPr>
      </w:pPr>
      <w:r>
        <w:rPr>
          <w:rFonts w:eastAsia="SimSun"/>
          <w:color w:val="000000"/>
          <w:sz w:val="22"/>
          <w:szCs w:val="22"/>
        </w:rPr>
        <w:t xml:space="preserve">Compleixo amb la resta de requisits que s’estableixen en aquest plec, accepto íntegrament el seu contingut i em comprometo a complir les obligacions especificades en aquests documents. </w:t>
      </w:r>
    </w:p>
    <w:p>
      <w:pPr>
        <w:pStyle w:val="Normal"/>
        <w:spacing w:lineRule="auto" w:line="360"/>
        <w:jc w:val="both"/>
        <w:rPr>
          <w:rFonts w:eastAsia="SimSun"/>
          <w:color w:val="000000"/>
          <w:sz w:val="22"/>
          <w:szCs w:val="22"/>
        </w:rPr>
      </w:pPr>
      <w:r>
        <w:rPr>
          <w:rFonts w:eastAsia="SimSun"/>
          <w:color w:val="000000"/>
          <w:sz w:val="22"/>
          <w:szCs w:val="22"/>
        </w:rPr>
      </w:r>
    </w:p>
    <w:p>
      <w:pPr>
        <w:pStyle w:val="Normal"/>
        <w:spacing w:lineRule="auto" w:line="360"/>
        <w:jc w:val="both"/>
        <w:rPr>
          <w:sz w:val="22"/>
        </w:rPr>
      </w:pPr>
      <w:r>
        <w:rPr>
          <w:sz w:val="22"/>
        </w:rPr>
        <w:t>I perquè consti, signo aquesta declaració responsable.</w:t>
      </w:r>
    </w:p>
    <w:p>
      <w:pPr>
        <w:pStyle w:val="Normal"/>
        <w:widowControl w:val="false"/>
        <w:spacing w:lineRule="auto" w:line="360"/>
        <w:jc w:val="both"/>
        <w:rPr>
          <w:sz w:val="22"/>
          <w:szCs w:val="22"/>
        </w:rPr>
      </w:pPr>
      <w:r>
        <w:rPr>
          <w:sz w:val="22"/>
          <w:szCs w:val="22"/>
        </w:rPr>
      </w:r>
    </w:p>
    <w:p>
      <w:pPr>
        <w:pStyle w:val="Normal"/>
        <w:widowControl w:val="false"/>
        <w:spacing w:lineRule="auto" w:line="360"/>
        <w:jc w:val="both"/>
        <w:rPr>
          <w:b/>
          <w:b/>
          <w:sz w:val="22"/>
          <w:szCs w:val="22"/>
        </w:rPr>
      </w:pPr>
      <w:r>
        <w:rPr>
          <w:b/>
          <w:sz w:val="22"/>
          <w:szCs w:val="22"/>
        </w:rPr>
        <w:t xml:space="preserve">Signatura electrònica del/de la declarant </w:t>
      </w:r>
    </w:p>
    <w:p>
      <w:pPr>
        <w:pStyle w:val="PlainText"/>
        <w:tabs>
          <w:tab w:val="clear" w:pos="720"/>
          <w:tab w:val="left" w:pos="1134" w:leader="none"/>
        </w:tabs>
        <w:spacing w:lineRule="auto" w:line="360"/>
        <w:jc w:val="both"/>
        <w:rPr>
          <w:rFonts w:ascii="Arial" w:hAnsi="Arial" w:cs="Arial"/>
          <w:sz w:val="22"/>
          <w:szCs w:val="22"/>
        </w:rPr>
      </w:pPr>
      <w:r>
        <w:rPr>
          <w:rFonts w:cs="Arial" w:ascii="Arial" w:hAnsi="Arial"/>
          <w:sz w:val="22"/>
          <w:szCs w:val="22"/>
        </w:rPr>
      </w:r>
    </w:p>
    <w:p>
      <w:pPr>
        <w:pStyle w:val="Normal"/>
        <w:widowControl w:val="false"/>
        <w:spacing w:lineRule="auto" w:line="360"/>
        <w:jc w:val="both"/>
        <w:rPr>
          <w:strike/>
          <w:sz w:val="22"/>
          <w:szCs w:val="22"/>
        </w:rPr>
      </w:pPr>
      <w:r>
        <w:rPr>
          <w:strike/>
          <w:sz w:val="22"/>
          <w:szCs w:val="22"/>
        </w:rPr>
      </w:r>
    </w:p>
    <w:p>
      <w:pPr>
        <w:pStyle w:val="Normal"/>
        <w:widowControl w:val="false"/>
        <w:spacing w:lineRule="auto" w:line="360"/>
        <w:jc w:val="both"/>
        <w:rPr>
          <w:strike/>
          <w:sz w:val="22"/>
          <w:szCs w:val="22"/>
        </w:rPr>
      </w:pPr>
      <w:r>
        <w:rPr>
          <w:strike/>
          <w:sz w:val="22"/>
          <w:szCs w:val="22"/>
        </w:rPr>
      </w:r>
    </w:p>
    <w:p>
      <w:pPr>
        <w:pStyle w:val="Normal"/>
        <w:widowControl w:val="false"/>
        <w:spacing w:lineRule="auto" w:line="360"/>
        <w:jc w:val="both"/>
        <w:rPr>
          <w:strike/>
          <w:sz w:val="22"/>
          <w:szCs w:val="22"/>
        </w:rPr>
      </w:pPr>
      <w:r>
        <w:rPr>
          <w:strike/>
          <w:sz w:val="22"/>
          <w:szCs w:val="22"/>
        </w:rPr>
      </w:r>
    </w:p>
    <w:p>
      <w:pPr>
        <w:pStyle w:val="Normal"/>
        <w:jc w:val="both"/>
        <w:rPr>
          <w:color w:val="000000"/>
          <w:sz w:val="18"/>
        </w:rPr>
      </w:pPr>
      <w:r>
        <w:rPr>
          <w:color w:val="000000"/>
          <w:sz w:val="18"/>
        </w:rPr>
        <w:t xml:space="preserve">La present autorització s’atorga exclusivament als efectes d’aquest procediment. </w:t>
      </w:r>
    </w:p>
    <w:p>
      <w:pPr>
        <w:pStyle w:val="Normal"/>
        <w:jc w:val="both"/>
        <w:rPr>
          <w:color w:val="000000"/>
          <w:sz w:val="18"/>
        </w:rPr>
      </w:pPr>
      <w:r>
        <w:rPr>
          <w:color w:val="000000"/>
          <w:sz w:val="18"/>
        </w:rPr>
      </w:r>
    </w:p>
    <w:p>
      <w:pPr>
        <w:pStyle w:val="PlainText"/>
        <w:jc w:val="both"/>
        <w:rPr/>
      </w:pPr>
      <w:r>
        <w:rPr>
          <w:rFonts w:cs="Arial" w:ascii="Arial" w:hAnsi="Arial"/>
          <w:color w:val="000000"/>
          <w:sz w:val="18"/>
        </w:rPr>
        <w:t xml:space="preserve">D’acord amb allò que estableix l’article 6 de la LOPD, els sotasignats autoritzen expressament a </w:t>
      </w:r>
      <w:r>
        <w:rPr>
          <w:rFonts w:cs="Arial" w:ascii="Arial" w:hAnsi="Arial"/>
          <w:b/>
          <w:i/>
          <w:color w:val="000000"/>
          <w:sz w:val="18"/>
        </w:rPr>
        <w:t xml:space="preserve">el Consorci AOC i el seu organisme depenent (CATCert) </w:t>
      </w:r>
      <w:r>
        <w:rPr>
          <w:rFonts w:cs="Arial" w:ascii="Arial" w:hAnsi="Arial"/>
          <w:color w:val="000000"/>
          <w:sz w:val="18"/>
        </w:rPr>
        <w:t>al tractament de les dades personals demanades a través d’aquest formulari i la seva documentació annexa, com també de les que aquestes generin, incloent-</w:t>
      </w:r>
      <w:r>
        <w:rPr>
          <w:rFonts w:cs="Arial" w:ascii="Arial" w:hAnsi="Arial"/>
          <w:color w:val="000000"/>
        </w:rPr>
        <w:t xml:space="preserve">hi </w:t>
      </w:r>
      <w:r>
        <w:rPr>
          <w:rFonts w:cs="Arial" w:ascii="Arial" w:hAnsi="Arial"/>
          <w:color w:val="000000"/>
          <w:sz w:val="18"/>
        </w:rPr>
        <w:t xml:space="preserve">especialment les dades que el sol·licitant ha autoritzat a obtenir a aquesta administració d’altres administracions públiques, les quals s’incorporaran a un fitxer </w:t>
      </w:r>
      <w:r>
        <w:rPr>
          <w:rFonts w:cs="Arial" w:ascii="Arial" w:hAnsi="Arial"/>
          <w:b/>
          <w:color w:val="000000"/>
          <w:sz w:val="18"/>
        </w:rPr>
        <w:t>propietat del Consorci AOC</w:t>
      </w:r>
      <w:r>
        <w:rPr>
          <w:rFonts w:cs="Arial" w:ascii="Arial" w:hAnsi="Arial"/>
          <w:color w:val="000000"/>
          <w:sz w:val="18"/>
        </w:rPr>
        <w:t xml:space="preserve">, la finalitat del qual és la gestió de les licitacions públiques; el </w:t>
      </w:r>
      <w:r>
        <w:rPr>
          <w:rFonts w:cs="Arial" w:ascii="Arial" w:hAnsi="Arial"/>
          <w:b/>
          <w:color w:val="000000"/>
          <w:sz w:val="18"/>
        </w:rPr>
        <w:t>responsable del qual és el Consorci AOC</w:t>
      </w:r>
      <w:r>
        <w:rPr>
          <w:rFonts w:cs="Arial" w:ascii="Arial" w:hAnsi="Arial"/>
          <w:color w:val="000000"/>
          <w:sz w:val="18"/>
        </w:rPr>
        <w:t>, davant del qual es podran exercitar els drets d’accés, rectificació, cancel·lació i oposició mitjançant instància presentada al seu Registre d’Entrada.</w:t>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spacing w:lineRule="auto" w:line="360"/>
        <w:jc w:val="both"/>
        <w:rPr>
          <w:b/>
          <w:b/>
          <w:sz w:val="22"/>
        </w:rPr>
      </w:pPr>
      <w:r>
        <w:rPr>
          <w:b/>
          <w:sz w:val="22"/>
        </w:rPr>
      </w:r>
    </w:p>
    <w:p>
      <w:pPr>
        <w:pStyle w:val="Normal"/>
        <w:jc w:val="both"/>
        <w:rPr>
          <w:shd w:fill="auto" w:val="clear"/>
        </w:rPr>
      </w:pPr>
      <w:r>
        <w:rPr>
          <w:b/>
          <w:color w:val="000000"/>
          <w:sz w:val="22"/>
          <w:shd w:fill="auto" w:val="clear"/>
        </w:rPr>
        <w:t>ANNEX 3 – DOCUMENT EUROPEU ÚNIC DE CONTRACTACIÓ (DEUC) (Sobre 1)</w:t>
      </w:r>
      <w:r>
        <w:rPr>
          <w:color w:val="000000"/>
          <w:sz w:val="22"/>
          <w:shd w:fill="auto" w:val="clear"/>
        </w:rPr>
        <w:t>:</w:t>
      </w:r>
    </w:p>
    <w:p>
      <w:pPr>
        <w:pStyle w:val="Normal"/>
        <w:jc w:val="both"/>
        <w:rPr>
          <w:color w:val="000000"/>
          <w:sz w:val="22"/>
          <w:shd w:fill="auto" w:val="clear"/>
        </w:rPr>
      </w:pPr>
      <w:r>
        <w:rPr>
          <w:color w:val="000000"/>
          <w:sz w:val="22"/>
          <w:shd w:fill="auto" w:val="clear"/>
        </w:rPr>
      </w:r>
    </w:p>
    <w:p>
      <w:pPr>
        <w:pStyle w:val="Normal"/>
        <w:widowControl w:val="false"/>
        <w:tabs>
          <w:tab w:val="clear" w:pos="720"/>
          <w:tab w:val="left" w:pos="567" w:leader="none"/>
        </w:tabs>
        <w:jc w:val="both"/>
        <w:rPr>
          <w:shd w:fill="auto" w:val="clear"/>
        </w:rPr>
      </w:pPr>
      <w:r>
        <w:rPr>
          <w:b/>
          <w:color w:val="000000"/>
          <w:sz w:val="22"/>
          <w:szCs w:val="22"/>
          <w:shd w:fill="auto" w:val="clear"/>
        </w:rPr>
        <w:t xml:space="preserve">Aquest  </w:t>
      </w:r>
      <w:r>
        <w:rPr>
          <w:b/>
          <w:bCs/>
          <w:color w:val="000000"/>
          <w:sz w:val="22"/>
          <w:szCs w:val="22"/>
          <w:shd w:fill="auto" w:val="clear"/>
        </w:rPr>
        <w:t>Document Europeu Únic de Contractació (DEUC)</w:t>
      </w:r>
      <w:r>
        <w:rPr>
          <w:b/>
          <w:color w:val="000000"/>
          <w:sz w:val="22"/>
          <w:szCs w:val="22"/>
          <w:shd w:fill="auto" w:val="clear"/>
        </w:rPr>
        <w:t xml:space="preserve"> s’haurà d’aportar tot i que es presenti la declaració responsable de l’annex 2 d’aquest plec. </w:t>
      </w:r>
    </w:p>
    <w:p>
      <w:pPr>
        <w:pStyle w:val="Normal"/>
        <w:rPr>
          <w:shd w:fill="auto" w:val="clear"/>
        </w:rPr>
      </w:pPr>
      <w:r>
        <w:rPr>
          <w:shd w:fill="auto" w:val="clear"/>
        </w:rPr>
      </w:r>
    </w:p>
    <w:p>
      <w:pPr>
        <w:pStyle w:val="Normal"/>
        <w:spacing w:lineRule="auto" w:line="360"/>
        <w:jc w:val="both"/>
        <w:rPr/>
      </w:pPr>
      <w:r>
        <w:rPr>
          <w:color w:val="000000"/>
          <w:sz w:val="22"/>
          <w:szCs w:val="22"/>
          <w:shd w:fill="auto" w:val="clear"/>
        </w:rPr>
        <w:t>Les empreses han de descarregar l’arxiu</w:t>
      </w:r>
      <w:r>
        <w:rPr>
          <w:sz w:val="22"/>
          <w:shd w:fill="auto" w:val="clear"/>
        </w:rPr>
        <w:t xml:space="preserve"> “xlm” que es publicarà </w:t>
      </w:r>
      <w:r>
        <w:rPr>
          <w:sz w:val="22"/>
        </w:rPr>
        <w:t xml:space="preserve">en el perfil de contractant i obrir-lo i complimentar-lo a través de l’aplicatiu que es troba al següent enllaç: </w:t>
      </w:r>
    </w:p>
    <w:p>
      <w:pPr>
        <w:pStyle w:val="Normal"/>
        <w:spacing w:lineRule="auto" w:line="360"/>
        <w:jc w:val="both"/>
        <w:rPr>
          <w:sz w:val="24"/>
        </w:rPr>
      </w:pPr>
      <w:r>
        <w:rPr>
          <w:rStyle w:val="EnlacedeInternet"/>
          <w:rFonts w:cs="Times New Roman"/>
          <w:sz w:val="22"/>
        </w:rPr>
        <w:t>https://visor.registrodelicitadores.gob.es/espd-web/filter?lang=es</w:t>
      </w:r>
      <w:r>
        <w:rPr>
          <w:sz w:val="24"/>
        </w:rPr>
        <w:t xml:space="preserve"> </w:t>
      </w:r>
    </w:p>
    <w:p>
      <w:pPr>
        <w:pStyle w:val="Normal"/>
        <w:spacing w:lineRule="auto" w:line="360"/>
        <w:jc w:val="both"/>
        <w:rPr>
          <w:sz w:val="24"/>
        </w:rPr>
      </w:pPr>
      <w:r>
        <w:rPr>
          <w:sz w:val="24"/>
        </w:rPr>
      </w:r>
    </w:p>
    <w:p>
      <w:pPr>
        <w:pStyle w:val="Normal"/>
        <w:spacing w:lineRule="auto" w:line="360"/>
        <w:jc w:val="both"/>
        <w:rPr/>
      </w:pPr>
      <w:r>
        <w:rPr>
          <w:sz w:val="22"/>
        </w:rPr>
        <w:t>Les empreses licitadores inclouran en el sobre 1 l’arxiu “xml” que els generarà l’aplicatiu.</w:t>
      </w:r>
    </w:p>
    <w:p>
      <w:pPr>
        <w:pStyle w:val="Normal"/>
        <w:spacing w:lineRule="auto" w:line="360"/>
        <w:jc w:val="both"/>
        <w:rPr>
          <w:sz w:val="22"/>
        </w:rPr>
      </w:pPr>
      <w:r>
        <w:rPr>
          <w:sz w:val="22"/>
        </w:rPr>
      </w:r>
    </w:p>
    <w:p>
      <w:pPr>
        <w:pStyle w:val="Normal"/>
        <w:spacing w:lineRule="auto" w:line="360"/>
        <w:jc w:val="both"/>
        <w:rPr/>
      </w:pPr>
      <w:r>
        <w:rPr>
          <w:sz w:val="22"/>
        </w:rPr>
        <w:t xml:space="preserve">El Reglament (UE) núm. 2016/7 (disponible a la pàgina web </w:t>
      </w:r>
      <w:hyperlink r:id="rId16">
        <w:r>
          <w:rPr>
            <w:rStyle w:val="EnlacedeInternet"/>
            <w:rFonts w:cs="Times New Roman"/>
            <w:sz w:val="22"/>
          </w:rPr>
          <w:t>https://www.boe.es/doue/2016/003/L00016-00034.pdf</w:t>
        </w:r>
      </w:hyperlink>
      <w:r>
        <w:rPr>
          <w:sz w:val="22"/>
        </w:rPr>
        <w:t>, estableix el formulari normalitzat del DEUC.</w:t>
      </w:r>
    </w:p>
    <w:p>
      <w:pPr>
        <w:pStyle w:val="Normal"/>
        <w:spacing w:lineRule="auto" w:line="360"/>
        <w:jc w:val="both"/>
        <w:rPr>
          <w:sz w:val="22"/>
          <w:lang w:val="es-ES"/>
        </w:rPr>
      </w:pPr>
      <w:r>
        <w:rPr>
          <w:sz w:val="22"/>
          <w:lang w:val="es-ES"/>
        </w:rPr>
      </w:r>
    </w:p>
    <w:p>
      <w:pPr>
        <w:pStyle w:val="Normal"/>
        <w:spacing w:lineRule="auto" w:line="360"/>
        <w:jc w:val="both"/>
        <w:rPr/>
      </w:pPr>
      <w:r>
        <w:rPr>
          <w:sz w:val="22"/>
        </w:rPr>
        <w:t xml:space="preserve">PART IV: Criteris de selecció. L’operador econòmic podrà complimentar només la secció </w:t>
      </w:r>
      <w:r>
        <w:rPr>
          <w:b/>
          <w:sz w:val="22"/>
        </w:rPr>
        <w:t>A</w:t>
      </w:r>
      <w:r>
        <w:rPr>
          <w:sz w:val="22"/>
        </w:rPr>
        <w:t xml:space="preserve"> de la part  IV ometent qualsevol altra secció de la part IV.</w:t>
      </w:r>
    </w:p>
    <w:p>
      <w:pPr>
        <w:pStyle w:val="Normal"/>
        <w:spacing w:lineRule="auto" w:line="360"/>
        <w:jc w:val="both"/>
        <w:rPr>
          <w:sz w:val="22"/>
        </w:rPr>
      </w:pPr>
      <w:r>
        <w:rPr>
          <w:sz w:val="22"/>
        </w:rPr>
      </w:r>
    </w:p>
    <w:p>
      <w:pPr>
        <w:pStyle w:val="Normal"/>
        <w:spacing w:lineRule="auto" w:line="360"/>
        <w:jc w:val="both"/>
        <w:rPr>
          <w:sz w:val="22"/>
        </w:rPr>
      </w:pPr>
      <w:r>
        <w:rPr>
          <w:sz w:val="22"/>
        </w:rPr>
        <w:t>Quan un grup d’operadors econòmics, incloses associacions temporals, participin conjuntament en el procediment de contractació, s’haurà de presentar un DEUC separat, en què figuri la informació requerida a les parts II a V, per cada operador econòmic  participant.</w:t>
      </w:r>
    </w:p>
    <w:p>
      <w:pPr>
        <w:pStyle w:val="Normal"/>
        <w:spacing w:lineRule="auto" w:line="360"/>
        <w:jc w:val="both"/>
        <w:rPr>
          <w:sz w:val="22"/>
        </w:rPr>
      </w:pPr>
      <w:r>
        <w:rPr>
          <w:sz w:val="22"/>
        </w:rPr>
      </w:r>
    </w:p>
    <w:p>
      <w:pPr>
        <w:pStyle w:val="Normal"/>
        <w:spacing w:lineRule="auto" w:line="360"/>
        <w:jc w:val="both"/>
        <w:rPr>
          <w:sz w:val="22"/>
        </w:rPr>
      </w:pPr>
      <w:r>
        <w:rPr>
          <w:sz w:val="22"/>
        </w:rPr>
        <w:t>Quan el contracte estigui dividit en lots i els criteris de selecció variïn d’un lot a un altre, el DEUC s’haurà de complimentar per cada lot (o grup de lots als quals s’apliquin els mateixos criteris de selecció).</w:t>
      </w:r>
    </w:p>
    <w:p>
      <w:pPr>
        <w:pStyle w:val="Normal"/>
        <w:spacing w:lineRule="auto" w:line="360"/>
        <w:jc w:val="both"/>
        <w:rPr>
          <w:sz w:val="22"/>
        </w:rPr>
      </w:pPr>
      <w:r>
        <w:rPr>
          <w:sz w:val="22"/>
        </w:rPr>
      </w:r>
    </w:p>
    <w:p>
      <w:pPr>
        <w:pStyle w:val="Normal"/>
        <w:spacing w:lineRule="auto" w:line="360"/>
        <w:jc w:val="both"/>
        <w:rPr>
          <w:sz w:val="22"/>
        </w:rPr>
      </w:pPr>
      <w:r>
        <w:rPr>
          <w:sz w:val="22"/>
        </w:rPr>
      </w:r>
    </w:p>
    <w:p>
      <w:pPr>
        <w:pStyle w:val="Normal"/>
        <w:jc w:val="both"/>
        <w:rPr/>
      </w:pPr>
      <w:r>
        <w:rPr/>
        <w:t>Les empreses inscrites en el Registre Electrònic d’Empreses Licitadores (RELI) de la Generalitat de Catalunya, regulat en el Decret 107/2005, de 31 de maig, i gestionat per la Secretaria Tècnica de la Junta Consultiva de Contractació Administrativa, o en el Registre oficial de licitadors i empreses classificades del sector públic, només estan obligades a indicar en el DEUC la informació que no figuri inscrita en aquests registres, o que no hi consti vigent o actualitzada. En tot cas, aquestes empreses han d’indicar en el DEUC la informació necessària que permeti a l’òrgan de contractació, i escau, accedir als documents o certificats justificatius corresponents.</w:t>
      </w:r>
    </w:p>
    <w:p>
      <w:pPr>
        <w:pStyle w:val="PlainText"/>
        <w:spacing w:lineRule="auto" w:line="360"/>
        <w:jc w:val="both"/>
        <w:rPr>
          <w:rFonts w:eastAsia="Times New Roman"/>
          <w:color w:val="000000"/>
        </w:rPr>
      </w:pPr>
      <w:r>
        <w:rPr>
          <w:rFonts w:eastAsia="Times New Roman"/>
          <w:color w:val="000000"/>
        </w:rPr>
        <w:t xml:space="preserve"> </w:t>
      </w:r>
      <w:r>
        <w:br w:type="page"/>
      </w:r>
    </w:p>
    <w:p>
      <w:pPr>
        <w:pStyle w:val="PlainText"/>
        <w:spacing w:lineRule="auto" w:line="360"/>
        <w:jc w:val="both"/>
        <w:rPr>
          <w:shd w:fill="auto" w:val="clear"/>
        </w:rPr>
      </w:pPr>
      <w:r>
        <w:rPr>
          <w:rFonts w:cs="Arial" w:ascii="Arial" w:hAnsi="Arial"/>
          <w:b/>
          <w:sz w:val="22"/>
          <w:shd w:fill="auto" w:val="clear"/>
        </w:rPr>
        <w:t>ANNEX 4 - MODEL DE COMUNICACIÓ DE DADES PER A LES NOTIFICACIONS ELECTRÒNIQUES (Sobre 1)</w:t>
      </w:r>
      <w:r>
        <w:rPr>
          <w:rFonts w:cs="Arial" w:ascii="Arial" w:hAnsi="Arial"/>
          <w:sz w:val="22"/>
          <w:shd w:fill="auto" w:val="clear"/>
        </w:rPr>
        <w:t>:</w:t>
      </w:r>
    </w:p>
    <w:p>
      <w:pPr>
        <w:pStyle w:val="PlainText"/>
        <w:spacing w:lineRule="auto" w:line="360"/>
        <w:jc w:val="both"/>
        <w:rPr>
          <w:rFonts w:ascii="Arial" w:hAnsi="Arial" w:cs="Arial"/>
          <w:sz w:val="22"/>
        </w:rPr>
      </w:pPr>
      <w:r>
        <w:rPr>
          <w:rFonts w:cs="Arial" w:ascii="Arial" w:hAnsi="Arial"/>
          <w:sz w:val="22"/>
        </w:rPr>
      </w:r>
    </w:p>
    <w:p>
      <w:pPr>
        <w:pStyle w:val="Normal"/>
        <w:spacing w:lineRule="auto" w:line="360"/>
        <w:jc w:val="both"/>
        <w:rPr/>
      </w:pPr>
      <w:r>
        <w:rPr>
          <w:sz w:val="22"/>
          <w:szCs w:val="22"/>
        </w:rPr>
        <w:t>En/Na …, amb Document Nacional d'Identitat núm. …, amb domicili a efectes de notificació a …, carrer ..., núm. …, en nom propi o en representació de l’empresa…amb NIF..., amb domicili social al carrer....núm..... de ....segons escriptura d’apoderament atorgada davant del notari de..., el Sr. ...., en data.... i núm del seu protocol.....</w:t>
      </w:r>
      <w:r>
        <w:rPr>
          <w:sz w:val="22"/>
        </w:rPr>
        <w:t>declaro:</w:t>
      </w:r>
    </w:p>
    <w:p>
      <w:pPr>
        <w:pStyle w:val="PlainText"/>
        <w:spacing w:lineRule="auto" w:line="360"/>
        <w:jc w:val="both"/>
        <w:rPr>
          <w:rFonts w:ascii="Arial" w:hAnsi="Arial" w:cs="Arial"/>
          <w:sz w:val="22"/>
        </w:rPr>
      </w:pPr>
      <w:r>
        <w:rPr>
          <w:rFonts w:cs="Arial" w:ascii="Arial" w:hAnsi="Arial"/>
          <w:sz w:val="22"/>
        </w:rPr>
      </w:r>
    </w:p>
    <w:p>
      <w:pPr>
        <w:pStyle w:val="BodyText3"/>
        <w:spacing w:lineRule="auto" w:line="360"/>
        <w:rPr>
          <w:sz w:val="22"/>
          <w:lang w:val="ca-ES"/>
        </w:rPr>
      </w:pPr>
      <w:r>
        <w:rPr>
          <w:sz w:val="22"/>
          <w:lang w:val="ca-ES"/>
        </w:rPr>
        <w:t xml:space="preserve">Faig constar que designo els mitjans electròniques per a la realització de les notificacions administratives en aquest expedient de contractació, de conformitat amb les dades que s’indiquen: </w:t>
      </w:r>
    </w:p>
    <w:tbl>
      <w:tblPr>
        <w:tblW w:w="9051" w:type="dxa"/>
        <w:jc w:val="left"/>
        <w:tblInd w:w="-80" w:type="dxa"/>
        <w:tblLayout w:type="fixed"/>
        <w:tblCellMar>
          <w:top w:w="0" w:type="dxa"/>
          <w:left w:w="60" w:type="dxa"/>
          <w:bottom w:w="0" w:type="dxa"/>
          <w:right w:w="70" w:type="dxa"/>
        </w:tblCellMar>
        <w:tblLook w:firstRow="0" w:noVBand="0" w:lastRow="0" w:firstColumn="0" w:lastColumn="0" w:noHBand="0" w:val="0000"/>
      </w:tblPr>
      <w:tblGrid>
        <w:gridCol w:w="2384"/>
        <w:gridCol w:w="1727"/>
        <w:gridCol w:w="2412"/>
        <w:gridCol w:w="2527"/>
      </w:tblGrid>
      <w:tr>
        <w:trPr/>
        <w:tc>
          <w:tcPr>
            <w:tcW w:w="2384" w:type="dxa"/>
            <w:tcBorders>
              <w:top w:val="single" w:sz="4" w:space="0" w:color="000001"/>
              <w:left w:val="single" w:sz="4" w:space="0" w:color="000001"/>
              <w:bottom w:val="single" w:sz="4" w:space="0" w:color="000001"/>
            </w:tcBorders>
          </w:tcPr>
          <w:p>
            <w:pPr>
              <w:pStyle w:val="BodyText3"/>
              <w:widowControl w:val="false"/>
              <w:spacing w:before="120" w:after="120"/>
              <w:jc w:val="center"/>
              <w:rPr/>
            </w:pPr>
            <w:r>
              <w:rPr>
                <w:sz w:val="22"/>
                <w:lang w:val="ca-ES"/>
              </w:rPr>
              <w:t>Persona autoritzada</w:t>
            </w:r>
            <w:r>
              <w:rPr>
                <w:color w:val="FF0000"/>
                <w:sz w:val="22"/>
                <w:lang w:val="ca-ES"/>
              </w:rPr>
              <w:t>*</w:t>
            </w:r>
          </w:p>
        </w:tc>
        <w:tc>
          <w:tcPr>
            <w:tcW w:w="1727" w:type="dxa"/>
            <w:tcBorders>
              <w:top w:val="single" w:sz="4" w:space="0" w:color="000001"/>
              <w:left w:val="single" w:sz="4" w:space="0" w:color="000001"/>
              <w:bottom w:val="single" w:sz="4" w:space="0" w:color="000001"/>
            </w:tcBorders>
          </w:tcPr>
          <w:p>
            <w:pPr>
              <w:pStyle w:val="BodyText3"/>
              <w:widowControl w:val="false"/>
              <w:spacing w:before="120" w:after="120"/>
              <w:jc w:val="center"/>
              <w:rPr/>
            </w:pPr>
            <w:r>
              <w:rPr>
                <w:sz w:val="22"/>
                <w:lang w:val="ca-ES"/>
              </w:rPr>
              <w:t>NIF</w:t>
            </w:r>
            <w:r>
              <w:rPr>
                <w:color w:val="FF0000"/>
                <w:sz w:val="22"/>
                <w:lang w:val="ca-ES"/>
              </w:rPr>
              <w:t>*</w:t>
            </w:r>
          </w:p>
        </w:tc>
        <w:tc>
          <w:tcPr>
            <w:tcW w:w="2412" w:type="dxa"/>
            <w:tcBorders>
              <w:top w:val="single" w:sz="4" w:space="0" w:color="000001"/>
              <w:left w:val="single" w:sz="4" w:space="0" w:color="000001"/>
              <w:bottom w:val="single" w:sz="4" w:space="0" w:color="000001"/>
            </w:tcBorders>
          </w:tcPr>
          <w:p>
            <w:pPr>
              <w:pStyle w:val="BodyText3"/>
              <w:widowControl w:val="false"/>
              <w:spacing w:before="120" w:after="120"/>
              <w:jc w:val="center"/>
              <w:rPr/>
            </w:pPr>
            <w:r>
              <w:rPr>
                <w:sz w:val="22"/>
                <w:lang w:val="ca-ES"/>
              </w:rPr>
              <w:t>Correu electrònic</w:t>
            </w:r>
            <w:r>
              <w:rPr>
                <w:color w:val="FF0000"/>
                <w:sz w:val="22"/>
                <w:lang w:val="ca-ES"/>
              </w:rPr>
              <w:t>*</w:t>
            </w:r>
          </w:p>
        </w:tc>
        <w:tc>
          <w:tcPr>
            <w:tcW w:w="2527" w:type="dxa"/>
            <w:tcBorders>
              <w:top w:val="single" w:sz="4" w:space="0" w:color="000001"/>
              <w:left w:val="single" w:sz="4" w:space="0" w:color="000001"/>
              <w:bottom w:val="single" w:sz="4" w:space="0" w:color="000001"/>
              <w:right w:val="single" w:sz="4" w:space="0" w:color="000001"/>
            </w:tcBorders>
          </w:tcPr>
          <w:p>
            <w:pPr>
              <w:pStyle w:val="BodyText3"/>
              <w:widowControl w:val="false"/>
              <w:spacing w:before="120" w:after="120"/>
              <w:jc w:val="center"/>
              <w:rPr/>
            </w:pPr>
            <w:r>
              <w:rPr>
                <w:sz w:val="22"/>
                <w:lang w:val="ca-ES"/>
              </w:rPr>
              <w:t>Mòbil</w:t>
            </w:r>
            <w:r>
              <w:rPr>
                <w:color w:val="FF0000"/>
                <w:sz w:val="22"/>
                <w:lang w:val="ca-ES"/>
              </w:rPr>
              <w:t>*</w:t>
            </w:r>
          </w:p>
        </w:tc>
      </w:tr>
      <w:tr>
        <w:trPr/>
        <w:tc>
          <w:tcPr>
            <w:tcW w:w="2384" w:type="dxa"/>
            <w:tcBorders>
              <w:top w:val="single" w:sz="4" w:space="0" w:color="000001"/>
              <w:left w:val="single" w:sz="4" w:space="0" w:color="000001"/>
              <w:bottom w:val="single" w:sz="4" w:space="0" w:color="000001"/>
            </w:tcBorders>
          </w:tcPr>
          <w:p>
            <w:pPr>
              <w:pStyle w:val="BodyText3"/>
              <w:widowControl w:val="false"/>
              <w:snapToGrid w:val="false"/>
              <w:spacing w:before="120" w:after="120"/>
              <w:rPr>
                <w:sz w:val="22"/>
                <w:lang w:val="ca-ES"/>
              </w:rPr>
            </w:pPr>
            <w:r>
              <w:rPr>
                <w:sz w:val="22"/>
                <w:lang w:val="ca-ES"/>
              </w:rPr>
            </w:r>
          </w:p>
        </w:tc>
        <w:tc>
          <w:tcPr>
            <w:tcW w:w="1727" w:type="dxa"/>
            <w:tcBorders>
              <w:top w:val="single" w:sz="4" w:space="0" w:color="000001"/>
              <w:left w:val="single" w:sz="4" w:space="0" w:color="000001"/>
              <w:bottom w:val="single" w:sz="4" w:space="0" w:color="000001"/>
            </w:tcBorders>
          </w:tcPr>
          <w:p>
            <w:pPr>
              <w:pStyle w:val="BodyText3"/>
              <w:widowControl w:val="false"/>
              <w:snapToGrid w:val="false"/>
              <w:spacing w:before="120" w:after="120"/>
              <w:rPr>
                <w:sz w:val="22"/>
                <w:lang w:val="ca-ES"/>
              </w:rPr>
            </w:pPr>
            <w:r>
              <w:rPr>
                <w:sz w:val="22"/>
                <w:lang w:val="ca-ES"/>
              </w:rPr>
            </w:r>
          </w:p>
        </w:tc>
        <w:tc>
          <w:tcPr>
            <w:tcW w:w="2412" w:type="dxa"/>
            <w:tcBorders>
              <w:top w:val="single" w:sz="4" w:space="0" w:color="000001"/>
              <w:left w:val="single" w:sz="4" w:space="0" w:color="000001"/>
              <w:bottom w:val="single" w:sz="4" w:space="0" w:color="000001"/>
            </w:tcBorders>
          </w:tcPr>
          <w:p>
            <w:pPr>
              <w:pStyle w:val="BodyText3"/>
              <w:widowControl w:val="false"/>
              <w:snapToGrid w:val="false"/>
              <w:spacing w:before="120" w:after="120"/>
              <w:rPr>
                <w:sz w:val="22"/>
                <w:lang w:val="ca-ES"/>
              </w:rPr>
            </w:pPr>
            <w:r>
              <w:rPr>
                <w:sz w:val="22"/>
                <w:lang w:val="ca-ES"/>
              </w:rPr>
            </w:r>
          </w:p>
        </w:tc>
        <w:tc>
          <w:tcPr>
            <w:tcW w:w="2527" w:type="dxa"/>
            <w:tcBorders>
              <w:top w:val="single" w:sz="4" w:space="0" w:color="000001"/>
              <w:left w:val="single" w:sz="4" w:space="0" w:color="000001"/>
              <w:bottom w:val="single" w:sz="4" w:space="0" w:color="000001"/>
              <w:right w:val="single" w:sz="4" w:space="0" w:color="000001"/>
            </w:tcBorders>
          </w:tcPr>
          <w:p>
            <w:pPr>
              <w:pStyle w:val="BodyText3"/>
              <w:widowControl w:val="false"/>
              <w:snapToGrid w:val="false"/>
              <w:spacing w:before="120" w:after="120"/>
              <w:rPr>
                <w:sz w:val="22"/>
                <w:lang w:val="ca-ES"/>
              </w:rPr>
            </w:pPr>
            <w:r>
              <w:rPr>
                <w:sz w:val="22"/>
                <w:lang w:val="ca-ES"/>
              </w:rPr>
            </w:r>
          </w:p>
        </w:tc>
      </w:tr>
    </w:tbl>
    <w:p>
      <w:pPr>
        <w:pStyle w:val="Normal"/>
        <w:rPr>
          <w:lang w:val="es-ES"/>
        </w:rPr>
      </w:pPr>
      <w:r>
        <w:rPr>
          <w:lang w:val="es-ES"/>
        </w:rPr>
      </w:r>
    </w:p>
    <w:p>
      <w:pPr>
        <w:pStyle w:val="Normal"/>
        <w:rPr/>
      </w:pPr>
      <w:r>
        <w:rPr>
          <w:color w:val="FF0000"/>
        </w:rPr>
        <w:t>*</w:t>
      </w:r>
      <w:r>
        <w:rPr/>
        <w:t xml:space="preserve">Camps obligatoris. </w:t>
      </w:r>
    </w:p>
    <w:p>
      <w:pPr>
        <w:pStyle w:val="Normal"/>
        <w:rPr>
          <w:lang w:val="es-ES"/>
        </w:rPr>
      </w:pPr>
      <w:r>
        <w:rPr>
          <w:lang w:val="es-ES"/>
        </w:rPr>
      </w:r>
    </w:p>
    <w:p>
      <w:pPr>
        <w:pStyle w:val="Normal"/>
        <w:jc w:val="both"/>
        <w:rPr/>
      </w:pPr>
      <w:r>
        <w:rPr/>
        <w:t xml:space="preserve">Forma de practicar les notificacions: L’òrgan de contractació enviarà al correu electrònic que heu designat l’adreça o enllaç de l’espai de notificacions electròniques de l’Ajuntament, on podreu accedir a la notificació. El sistema enviarà al telèfon mòbil que heu facilitat en la sol·licitud un SMS amb la paraula de pas, que haureu d’introduir per accedir al contingut de la notificació. El NIF que haureu d’introduir és el de l’empresa. </w:t>
      </w:r>
    </w:p>
    <w:p>
      <w:pPr>
        <w:pStyle w:val="Normal"/>
        <w:rPr>
          <w:lang w:val="es-ES"/>
        </w:rPr>
      </w:pPr>
      <w:r>
        <w:rPr>
          <w:lang w:val="es-ES"/>
        </w:rPr>
      </w:r>
    </w:p>
    <w:p>
      <w:pPr>
        <w:pStyle w:val="Normal"/>
        <w:rPr>
          <w:lang w:val="es-ES"/>
        </w:rPr>
      </w:pPr>
      <w:r>
        <w:rPr>
          <w:lang w:val="es-ES"/>
        </w:rPr>
      </w:r>
    </w:p>
    <w:p>
      <w:pPr>
        <w:pStyle w:val="Normal"/>
        <w:shd w:val="clear" w:color="auto" w:fill="D9D9D9"/>
        <w:ind w:right="-1" w:hanging="0"/>
        <w:jc w:val="both"/>
        <w:rPr/>
      </w:pPr>
      <w:r>
        <w:rPr>
          <w:sz w:val="16"/>
          <w:szCs w:val="16"/>
        </w:rPr>
        <w:t xml:space="preserve">En cas que el correu electrònic o el telèfon mòbil facilitat a efectes de notificació electrònica s’hagi de modificar, la persona interessada farà </w:t>
      </w:r>
      <w:r>
        <w:rPr>
          <w:b/>
          <w:i/>
          <w:sz w:val="16"/>
          <w:szCs w:val="16"/>
        </w:rPr>
        <w:t>una nova autorització amb les dades correctes.</w:t>
      </w:r>
      <w:r>
        <w:rPr>
          <w:sz w:val="16"/>
          <w:szCs w:val="16"/>
        </w:rPr>
        <w:t xml:space="preserve"> </w:t>
      </w:r>
    </w:p>
    <w:p>
      <w:pPr>
        <w:pStyle w:val="Normal"/>
        <w:shd w:val="clear" w:color="auto" w:fill="D9D9D9"/>
        <w:ind w:right="-1" w:hanging="0"/>
        <w:jc w:val="both"/>
        <w:rPr>
          <w:sz w:val="16"/>
          <w:szCs w:val="16"/>
        </w:rPr>
      </w:pPr>
      <w:r>
        <w:rPr>
          <w:sz w:val="16"/>
          <w:szCs w:val="16"/>
        </w:rPr>
      </w:r>
    </w:p>
    <w:p>
      <w:pPr>
        <w:pStyle w:val="Normal"/>
        <w:shd w:val="clear" w:color="auto" w:fill="D9D9D9"/>
        <w:ind w:right="-1" w:hanging="0"/>
        <w:rPr>
          <w:rStyle w:val="EnlladInternet"/>
          <w:i/>
          <w:i/>
          <w:color w:val="000000"/>
          <w:sz w:val="16"/>
          <w:szCs w:val="16"/>
        </w:rPr>
      </w:pPr>
      <w:r>
        <w:rPr>
          <w:sz w:val="16"/>
          <w:szCs w:val="16"/>
        </w:rPr>
        <w:t xml:space="preserve">Trobareu informació sobre la notificació electrònica a: </w:t>
      </w:r>
      <w:hyperlink r:id="rId17">
        <w:r>
          <w:rPr>
            <w:rStyle w:val="EnlladInternet"/>
            <w:i/>
            <w:color w:val="000000"/>
            <w:sz w:val="16"/>
            <w:szCs w:val="16"/>
          </w:rPr>
          <w:t>https://seuelectronica.terrassa.cat/web/seu/ajuda/notificacio-electronica</w:t>
        </w:r>
      </w:hyperlink>
    </w:p>
    <w:p>
      <w:pPr>
        <w:pStyle w:val="Normal"/>
        <w:shd w:val="clear" w:color="auto" w:fill="D9D9D9"/>
        <w:ind w:right="-1" w:hanging="0"/>
        <w:rPr>
          <w:rStyle w:val="EnlladInternet"/>
          <w:i/>
          <w:i/>
          <w:color w:val="000000"/>
          <w:sz w:val="16"/>
          <w:szCs w:val="16"/>
        </w:rPr>
      </w:pPr>
      <w:r>
        <w:rPr>
          <w:i/>
          <w:color w:val="000000"/>
          <w:sz w:val="16"/>
          <w:szCs w:val="16"/>
        </w:rPr>
      </w:r>
    </w:p>
    <w:p>
      <w:pPr>
        <w:pStyle w:val="Normal"/>
        <w:shd w:val="clear" w:color="auto" w:fill="D9D9D9"/>
        <w:ind w:right="-1" w:hanging="0"/>
        <w:rPr>
          <w:i/>
          <w:i/>
          <w:sz w:val="18"/>
          <w:szCs w:val="18"/>
        </w:rPr>
      </w:pPr>
      <w:r>
        <w:rPr>
          <w:i/>
          <w:sz w:val="18"/>
          <w:szCs w:val="18"/>
        </w:rPr>
        <w:t>https://seuelectronica.terrassa.cat/web/seu/ajuda/notificacio-electronica</w:t>
      </w:r>
    </w:p>
    <w:p>
      <w:pPr>
        <w:pStyle w:val="Normal"/>
        <w:shd w:val="clear" w:color="auto" w:fill="D9D9D9"/>
        <w:ind w:right="-1" w:hanging="0"/>
        <w:rPr>
          <w:i/>
          <w:i/>
          <w:sz w:val="18"/>
          <w:szCs w:val="18"/>
        </w:rPr>
      </w:pPr>
      <w:r>
        <w:rPr>
          <w:i/>
          <w:sz w:val="18"/>
          <w:szCs w:val="18"/>
        </w:rPr>
      </w:r>
    </w:p>
    <w:p>
      <w:pPr>
        <w:pStyle w:val="Normal"/>
        <w:shd w:val="clear" w:color="auto" w:fill="D9D9D9"/>
        <w:ind w:right="-1" w:hanging="0"/>
        <w:jc w:val="both"/>
        <w:rPr/>
      </w:pPr>
      <w:r>
        <w:rPr>
          <w:sz w:val="16"/>
          <w:szCs w:val="16"/>
        </w:rPr>
        <w:t>L'Ajuntament de Terrassa, en consonància amb la política de protecció de dades, es compromet a respectar la privadesa i confidencialitat de les vostres dades d’acord amb la Llei orgànica 3/2018, de 5 de desembre, de Protecció de Dades Personals i garantia dels drets digitals, i la seva normativa de desplegament.</w:t>
      </w:r>
    </w:p>
    <w:p>
      <w:pPr>
        <w:pStyle w:val="Normal"/>
        <w:shd w:val="clear" w:color="auto" w:fill="D9D9D9"/>
        <w:ind w:right="-1" w:hanging="0"/>
        <w:jc w:val="both"/>
        <w:rPr>
          <w:color w:val="333333"/>
          <w:sz w:val="16"/>
          <w:szCs w:val="16"/>
        </w:rPr>
      </w:pPr>
      <w:r>
        <w:rPr>
          <w:color w:val="333333"/>
          <w:sz w:val="16"/>
          <w:szCs w:val="16"/>
        </w:rPr>
        <w:t>.</w:t>
      </w:r>
    </w:p>
    <w:p>
      <w:pPr>
        <w:pStyle w:val="Normal"/>
        <w:shd w:val="clear" w:color="auto" w:fill="D9D9D9"/>
        <w:ind w:right="-1" w:hanging="0"/>
        <w:rPr>
          <w:color w:val="333333"/>
          <w:sz w:val="16"/>
          <w:szCs w:val="16"/>
        </w:rPr>
      </w:pPr>
      <w:r>
        <w:rPr>
          <w:color w:val="333333"/>
          <w:sz w:val="16"/>
          <w:szCs w:val="16"/>
        </w:rPr>
      </w:r>
    </w:p>
    <w:p>
      <w:pPr>
        <w:pStyle w:val="PlainText"/>
        <w:spacing w:lineRule="auto" w:line="360"/>
        <w:jc w:val="both"/>
        <w:rPr>
          <w:rFonts w:ascii="Arial" w:hAnsi="Arial" w:cs="Arial"/>
          <w:i/>
          <w:i/>
          <w:color w:val="000000"/>
          <w:sz w:val="22"/>
          <w:szCs w:val="16"/>
        </w:rPr>
      </w:pPr>
      <w:r>
        <w:rPr>
          <w:rFonts w:cs="Arial" w:ascii="Arial" w:hAnsi="Arial"/>
          <w:i/>
          <w:color w:val="000000"/>
          <w:sz w:val="22"/>
          <w:szCs w:val="16"/>
        </w:rPr>
      </w:r>
    </w:p>
    <w:p>
      <w:pPr>
        <w:pStyle w:val="PlainText"/>
        <w:rPr>
          <w:rFonts w:ascii="Arial" w:hAnsi="Arial" w:cs="Arial"/>
          <w:b/>
          <w:b/>
          <w:sz w:val="22"/>
        </w:rPr>
      </w:pPr>
      <w:r>
        <w:rPr>
          <w:rFonts w:cs="Arial" w:ascii="Arial" w:hAnsi="Arial"/>
          <w:b/>
          <w:sz w:val="22"/>
        </w:rPr>
        <w:t>Signatura electrònica del/de la declarant</w:t>
      </w:r>
    </w:p>
    <w:p>
      <w:pPr>
        <w:pStyle w:val="Normal"/>
        <w:ind w:left="567" w:hanging="0"/>
        <w:rPr>
          <w:sz w:val="22"/>
          <w:lang w:val="es-ES"/>
        </w:rPr>
      </w:pPr>
      <w:r>
        <w:rPr>
          <w:sz w:val="22"/>
          <w:lang w:val="es-ES"/>
        </w:rPr>
      </w:r>
    </w:p>
    <w:p>
      <w:pPr>
        <w:pStyle w:val="Normal"/>
        <w:ind w:left="567" w:hanging="0"/>
        <w:rPr>
          <w:sz w:val="22"/>
          <w:lang w:val="es-ES"/>
        </w:rPr>
      </w:pPr>
      <w:r>
        <w:rPr>
          <w:sz w:val="22"/>
          <w:lang w:val="es-ES"/>
        </w:rPr>
      </w:r>
    </w:p>
    <w:p>
      <w:pPr>
        <w:pStyle w:val="Normal"/>
        <w:jc w:val="both"/>
        <w:rPr>
          <w:sz w:val="22"/>
          <w:lang w:val="es-ES"/>
        </w:rPr>
      </w:pPr>
      <w:r>
        <w:rPr>
          <w:sz w:val="22"/>
          <w:lang w:val="es-ES"/>
        </w:rPr>
      </w:r>
    </w:p>
    <w:p>
      <w:pPr>
        <w:pStyle w:val="Normal"/>
        <w:jc w:val="both"/>
        <w:rPr/>
      </w:pPr>
      <w:r>
        <w:rPr/>
      </w:r>
    </w:p>
    <w:p>
      <w:pPr>
        <w:pStyle w:val="Normal"/>
        <w:jc w:val="both"/>
        <w:rPr/>
      </w:pPr>
      <w:r>
        <w:rPr/>
      </w:r>
    </w:p>
    <w:p>
      <w:pPr>
        <w:pStyle w:val="Normal"/>
        <w:jc w:val="both"/>
        <w:rPr/>
      </w:pPr>
      <w:r>
        <w:rPr/>
      </w:r>
    </w:p>
    <w:p>
      <w:pPr>
        <w:pStyle w:val="Normal"/>
        <w:jc w:val="both"/>
        <w:rPr/>
      </w:pPr>
      <w:r>
        <w:rPr/>
      </w:r>
    </w:p>
    <w:p>
      <w:pPr>
        <w:pStyle w:val="Normal"/>
        <w:rPr>
          <w:b/>
          <w:b/>
        </w:rPr>
      </w:pPr>
      <w:r>
        <w:rPr>
          <w:b/>
        </w:rPr>
      </w:r>
    </w:p>
    <w:p>
      <w:pPr>
        <w:pStyle w:val="Normal"/>
        <w:rPr>
          <w:b/>
          <w:b/>
        </w:rPr>
      </w:pPr>
      <w:r>
        <w:rPr>
          <w:b/>
        </w:rPr>
      </w:r>
    </w:p>
    <w:p>
      <w:pPr>
        <w:pStyle w:val="Normal"/>
        <w:rPr>
          <w:b/>
          <w:b/>
        </w:rPr>
      </w:pPr>
      <w:r>
        <w:rPr>
          <w:b/>
        </w:rPr>
        <w:t>PROTECCIÓ DE DADES DE CARÀCTER PERSONAL</w:t>
      </w:r>
    </w:p>
    <w:p>
      <w:pPr>
        <w:pStyle w:val="Normal"/>
        <w:jc w:val="both"/>
        <w:rPr>
          <w:b/>
          <w:b/>
        </w:rPr>
      </w:pPr>
      <w:r>
        <w:rPr>
          <w:b/>
        </w:rPr>
        <w:t>Informació important</w:t>
      </w:r>
    </w:p>
    <w:p>
      <w:pPr>
        <w:pStyle w:val="Normal"/>
        <w:jc w:val="both"/>
        <w:rPr>
          <w:b/>
          <w:b/>
          <w:highlight w:val="white"/>
        </w:rPr>
      </w:pPr>
      <w:r>
        <w:rPr>
          <w:b/>
          <w:highlight w:val="white"/>
        </w:rPr>
        <w:t>(Articles 5 i 6 de la Llei orgànica 3/2018, de 5 de desembre, de  protecció de dades personals i garantia dels drets digitals.)</w:t>
      </w:r>
    </w:p>
    <w:p>
      <w:pPr>
        <w:pStyle w:val="Normal"/>
        <w:jc w:val="both"/>
        <w:rPr>
          <w:b/>
          <w:b/>
          <w:highlight w:val="white"/>
        </w:rPr>
      </w:pPr>
      <w:r>
        <w:rPr>
          <w:b/>
          <w:highlight w:val="white"/>
        </w:rPr>
      </w:r>
    </w:p>
    <w:p>
      <w:pPr>
        <w:pStyle w:val="Normal"/>
        <w:jc w:val="both"/>
        <w:rPr>
          <w:b/>
          <w:b/>
        </w:rPr>
      </w:pPr>
      <w:r>
        <w:rPr>
          <w:b/>
        </w:rPr>
        <w:t>És obligatori omplir tots els camps de la instància. Per què?</w:t>
      </w:r>
    </w:p>
    <w:p>
      <w:pPr>
        <w:pStyle w:val="Normal"/>
        <w:jc w:val="both"/>
        <w:rPr/>
      </w:pPr>
      <w:r>
        <w:rPr/>
        <w:t>La declaració haurà de contenir les dades que s'assenyalen al formulari.</w:t>
      </w:r>
    </w:p>
    <w:p>
      <w:pPr>
        <w:pStyle w:val="Normal"/>
        <w:jc w:val="both"/>
        <w:rPr/>
      </w:pPr>
      <w:r>
        <w:rPr/>
      </w:r>
    </w:p>
    <w:p>
      <w:pPr>
        <w:pStyle w:val="Normal"/>
        <w:jc w:val="both"/>
        <w:rPr>
          <w:b/>
          <w:b/>
        </w:rPr>
      </w:pPr>
      <w:r>
        <w:rPr>
          <w:b/>
        </w:rPr>
        <w:t>Quin tractament rebran les vostres dades personals?</w:t>
      </w:r>
    </w:p>
    <w:p>
      <w:pPr>
        <w:pStyle w:val="Normal"/>
        <w:jc w:val="both"/>
        <w:rPr/>
      </w:pPr>
      <w:r>
        <w:rPr/>
        <w:t>Les dades personals que ens proporcioneu seran sotmeses a un tractament automatitzat, de caràcter confidencial, en els fitxers creats per l'Ajuntament de Terrassa, amb la finalitat de poder tramitar la vostra sol·licitud. Aquests fitxers han estat publicats en el BOP i els podeu consultar en el Registre General de Protecció de Dades, de l’Agència Espanyola de Protecció de Dades.</w:t>
      </w:r>
    </w:p>
    <w:p>
      <w:pPr>
        <w:pStyle w:val="Normal"/>
        <w:jc w:val="both"/>
        <w:rPr/>
      </w:pPr>
      <w:r>
        <w:rPr/>
      </w:r>
    </w:p>
    <w:p>
      <w:pPr>
        <w:pStyle w:val="Normal"/>
        <w:jc w:val="both"/>
        <w:rPr/>
      </w:pPr>
      <w:r>
        <w:rPr/>
        <w:t>Qualsevol altre tractament no previst en els indicats fitxers requerirà el vostre consentiment inequívoc, llevat de la utilització que pugui fer-ne l'Ajuntament de Terrassa per enviar-vos informació oficial o d'interès ciutadà, o qualsevol altre actuació compresa dins l'exercici de les funcions de l'Ajuntament i del seu àmbit competencial, o en qualsevol altre supòsit previst a la normativa vigent.</w:t>
      </w:r>
    </w:p>
    <w:p>
      <w:pPr>
        <w:pStyle w:val="Normal"/>
        <w:jc w:val="both"/>
        <w:rPr/>
      </w:pPr>
      <w:r>
        <w:rPr/>
      </w:r>
    </w:p>
    <w:p>
      <w:pPr>
        <w:pStyle w:val="Normal"/>
        <w:jc w:val="both"/>
        <w:rPr>
          <w:b/>
          <w:b/>
        </w:rPr>
      </w:pPr>
      <w:r>
        <w:rPr>
          <w:b/>
        </w:rPr>
        <w:t>Quins drets teniu en relació amb les dades que ens heu proporcionat?</w:t>
      </w:r>
    </w:p>
    <w:p>
      <w:pPr>
        <w:pStyle w:val="Normal"/>
        <w:jc w:val="both"/>
        <w:rPr/>
      </w:pPr>
      <w:r>
        <w:rPr/>
        <w:t xml:space="preserve">Podreu exercir els drets d'accés, rectificació, cancel·lació i oposició, així com el de revocació al consentiment atorgat, en els termes establerts per la legislació vigent, mitjançant una instància, a qualsevol oficina d atenció ciutadana o per Internet a través de la Seu Electrònica de l'Ajuntament de Terrassa </w:t>
      </w:r>
      <w:hyperlink r:id="rId18">
        <w:r>
          <w:rPr>
            <w:rStyle w:val="EnlacedeInternet"/>
            <w:rFonts w:cs="Times New Roman"/>
          </w:rPr>
          <w:t>https://seuelectronica.terrassa.cat</w:t>
        </w:r>
      </w:hyperlink>
      <w:r>
        <w:rPr/>
        <w:t>.</w:t>
      </w:r>
    </w:p>
    <w:p>
      <w:pPr>
        <w:pStyle w:val="Normal"/>
        <w:jc w:val="both"/>
        <w:rPr/>
      </w:pPr>
      <w:r>
        <w:rPr/>
      </w:r>
    </w:p>
    <w:p>
      <w:pPr>
        <w:pStyle w:val="Normal"/>
        <w:jc w:val="both"/>
        <w:rPr>
          <w:b/>
          <w:b/>
        </w:rPr>
      </w:pPr>
      <w:r>
        <w:rPr>
          <w:b/>
        </w:rPr>
        <w:t>Notificació electrònica</w:t>
      </w:r>
    </w:p>
    <w:p>
      <w:pPr>
        <w:pStyle w:val="Normal"/>
        <w:jc w:val="both"/>
        <w:rPr/>
      </w:pPr>
      <w:r>
        <w:rPr/>
        <w:t>La notificació electrònica és un sistema ràpid i eficaç que permet agilitzar les comunicacions entre l’Ajuntament i la ciutadania. Caldrà que faciliteu una adreça de correu electrònic i un número de telèfon mòbil. Rebreu un correu electrònic a l’adreça que heu designat. En aquest correu electrònic hi trobareu l’adreça d’Internet (URL) de l’espai de notificacions electròniques de l’Ajuntament, on podreu accedir a la notificació, seleccionant un d’aquests dos sistemes:</w:t>
      </w:r>
    </w:p>
    <w:p>
      <w:pPr>
        <w:pStyle w:val="Normal"/>
        <w:jc w:val="both"/>
        <w:rPr/>
      </w:pPr>
      <w:r>
        <w:rPr/>
      </w:r>
    </w:p>
    <w:p>
      <w:pPr>
        <w:pStyle w:val="Normal"/>
        <w:numPr>
          <w:ilvl w:val="0"/>
          <w:numId w:val="10"/>
        </w:numPr>
        <w:tabs>
          <w:tab w:val="clear" w:pos="720"/>
          <w:tab w:val="left" w:pos="284" w:leader="none"/>
        </w:tabs>
        <w:ind w:left="284" w:hanging="284"/>
        <w:jc w:val="both"/>
        <w:rPr/>
      </w:pPr>
      <w:r>
        <w:rPr/>
        <w:t>Si disposeu d’un certificat digital (DNI electrònic, certificat Idcat), podeu utilitzar-lo per identificar-vos i visualitzar la notificació.</w:t>
      </w:r>
    </w:p>
    <w:p>
      <w:pPr>
        <w:pStyle w:val="Normal"/>
        <w:numPr>
          <w:ilvl w:val="0"/>
          <w:numId w:val="10"/>
        </w:numPr>
        <w:tabs>
          <w:tab w:val="clear" w:pos="720"/>
          <w:tab w:val="left" w:pos="284" w:leader="none"/>
        </w:tabs>
        <w:ind w:left="284" w:hanging="284"/>
        <w:jc w:val="both"/>
        <w:rPr/>
      </w:pPr>
      <w:r>
        <w:rPr/>
        <w:t xml:space="preserve">Amb paraula de pas. El sistema us enviarà, a través d’un missatge SMS al telèfon mòbil que heu facilitat en la sol·licitud, una paraula de pas, que haureu d’introduir en l’espai de notificacions electròniques del web per tal d’accedir al contingut de la notificació. Des del moment del dipòsit de la notificació disposeu de 10 dies naturals per accedir a la vostra notificació electrònica. Si transcorregut el termini de 10 dies no heu accedit a la notificació, aquesta s’entendrà rebutjada i l’acte es donarà per notificat. </w:t>
      </w:r>
    </w:p>
    <w:p>
      <w:pPr>
        <w:pStyle w:val="Normal"/>
        <w:jc w:val="both"/>
        <w:rPr/>
      </w:pPr>
      <w:r>
        <w:rPr/>
      </w:r>
    </w:p>
    <w:p>
      <w:pPr>
        <w:sectPr>
          <w:headerReference w:type="default" r:id="rId20"/>
          <w:footerReference w:type="default" r:id="rId21"/>
          <w:type w:val="nextPage"/>
          <w:pgSz w:w="11906" w:h="16838"/>
          <w:pgMar w:left="1080" w:right="1080" w:header="397" w:top="1440" w:footer="452" w:bottom="1440" w:gutter="0"/>
          <w:pgNumType w:fmt="decimal"/>
          <w:formProt w:val="false"/>
          <w:textDirection w:val="lrTb"/>
          <w:docGrid w:type="default" w:linePitch="360" w:charSpace="0"/>
        </w:sectPr>
        <w:pStyle w:val="Normal"/>
        <w:jc w:val="both"/>
        <w:rPr/>
      </w:pPr>
      <w:r>
        <w:rPr/>
        <w:t xml:space="preserve">Podeu revocar l’autorització de notificació electrònica en qualsevol moment mitjançant presentació en qualsevol registre municipal de l imprès corresponen a tal efecte, o amb l’enviament del formulari de la Seu electrònica </w:t>
      </w:r>
      <w:hyperlink r:id="rId19">
        <w:r>
          <w:rPr>
            <w:rStyle w:val="EnlacedeInternet"/>
            <w:rFonts w:cs="Times New Roman"/>
          </w:rPr>
          <w:t>https://seuelectronica.terrassa.cat</w:t>
        </w:r>
      </w:hyperlink>
      <w:r>
        <w:rPr/>
        <w:t>.</w:t>
      </w:r>
    </w:p>
    <w:p>
      <w:pPr>
        <w:pStyle w:val="Normal"/>
        <w:spacing w:lineRule="auto" w:line="360"/>
        <w:jc w:val="both"/>
        <w:rPr>
          <w:shd w:fill="auto" w:val="clear"/>
        </w:rPr>
      </w:pPr>
      <w:r>
        <w:rPr>
          <w:b/>
          <w:sz w:val="22"/>
          <w:szCs w:val="22"/>
          <w:shd w:fill="auto" w:val="clear"/>
        </w:rPr>
        <w:t>ANNEX 5 - INFORMACIÓ SOBRE LES CONDICIONS DELS CONTRACTES DELS/DE LES TREBALLADORS/TREBALLADORES ALS QUALS/A LES QUALS AFECTA LA SUBROGACIÓ</w:t>
      </w:r>
      <w:r>
        <w:rPr>
          <w:sz w:val="22"/>
          <w:szCs w:val="22"/>
          <w:shd w:fill="auto" w:val="clear"/>
        </w:rPr>
        <w:t xml:space="preserve">, proporcionada per l’empresa que en aquest moment efectua la prestació objecte del contracte, Core Restauració SL: </w:t>
      </w:r>
    </w:p>
    <w:p>
      <w:pPr>
        <w:pStyle w:val="Normal"/>
        <w:spacing w:lineRule="auto" w:line="360"/>
        <w:jc w:val="both"/>
        <w:rPr>
          <w:sz w:val="22"/>
          <w:szCs w:val="22"/>
          <w:shd w:fill="auto" w:val="clear"/>
        </w:rPr>
      </w:pPr>
      <w:r>
        <w:rPr>
          <w:sz w:val="22"/>
          <w:szCs w:val="22"/>
          <w:shd w:fill="auto" w:val="clear"/>
        </w:rPr>
      </w:r>
    </w:p>
    <w:p>
      <w:pPr>
        <w:pStyle w:val="Normal"/>
        <w:spacing w:lineRule="auto" w:line="360"/>
        <w:jc w:val="both"/>
        <w:rPr>
          <w:sz w:val="22"/>
          <w:szCs w:val="22"/>
        </w:rPr>
      </w:pPr>
      <w:r>
        <w:rPr>
          <w:sz w:val="22"/>
          <w:szCs w:val="22"/>
        </w:rPr>
        <w:drawing>
          <wp:anchor behindDoc="0" distT="0" distB="0" distL="0" distR="0" simplePos="0" locked="0" layoutInCell="0" allowOverlap="1" relativeHeight="3">
            <wp:simplePos x="0" y="0"/>
            <wp:positionH relativeFrom="column">
              <wp:align>center</wp:align>
            </wp:positionH>
            <wp:positionV relativeFrom="paragraph">
              <wp:posOffset>635</wp:posOffset>
            </wp:positionV>
            <wp:extent cx="10692130" cy="5281295"/>
            <wp:effectExtent l="0" t="0" r="0" b="0"/>
            <wp:wrapSquare wrapText="largest"/>
            <wp:docPr id="3" name="Imat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tge1" descr=""/>
                    <pic:cNvPicPr>
                      <a:picLocks noChangeAspect="1" noChangeArrowheads="1"/>
                    </pic:cNvPicPr>
                  </pic:nvPicPr>
                  <pic:blipFill>
                    <a:blip r:embed="rId22"/>
                    <a:stretch>
                      <a:fillRect/>
                    </a:stretch>
                  </pic:blipFill>
                  <pic:spPr bwMode="auto">
                    <a:xfrm>
                      <a:off x="0" y="0"/>
                      <a:ext cx="10692130" cy="5281295"/>
                    </a:xfrm>
                    <a:prstGeom prst="rect">
                      <a:avLst/>
                    </a:prstGeom>
                  </pic:spPr>
                </pic:pic>
              </a:graphicData>
            </a:graphic>
          </wp:anchor>
        </w:drawing>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pStyle w:val="Normal"/>
        <w:suppressAutoHyphens w:val="false"/>
        <w:jc w:val="both"/>
        <w:rPr>
          <w:i/>
          <w:i/>
          <w:kern w:val="2"/>
          <w:sz w:val="22"/>
        </w:rPr>
      </w:pPr>
      <w:r>
        <w:rPr>
          <w:i/>
          <w:kern w:val="2"/>
          <w:sz w:val="22"/>
        </w:rPr>
      </w:r>
    </w:p>
    <w:p>
      <w:pPr>
        <w:sectPr>
          <w:headerReference w:type="default" r:id="rId23"/>
          <w:footerReference w:type="default" r:id="rId24"/>
          <w:type w:val="nextPage"/>
          <w:pgSz w:orient="landscape" w:w="23811" w:h="16838"/>
          <w:pgMar w:left="1134" w:right="1134" w:header="0" w:top="1134" w:footer="0" w:bottom="1134" w:gutter="0"/>
          <w:pgNumType w:fmt="decimal"/>
          <w:formProt w:val="false"/>
          <w:textDirection w:val="lrTb"/>
          <w:docGrid w:type="default" w:linePitch="100" w:charSpace="0"/>
        </w:sectPr>
        <w:pStyle w:val="Normal"/>
        <w:suppressAutoHyphens w:val="false"/>
        <w:jc w:val="both"/>
        <w:rPr>
          <w:shd w:fill="auto" w:val="clear"/>
        </w:rPr>
      </w:pPr>
      <w:r>
        <w:rPr>
          <w:i/>
          <w:kern w:val="2"/>
          <w:sz w:val="22"/>
          <w:shd w:fill="auto" w:val="clear"/>
        </w:rPr>
        <w:t xml:space="preserve">Conveni Col·lectiu Estatal de Restauració Col·lectiva (códi de conveni: 99100165012016) </w:t>
      </w:r>
    </w:p>
    <w:p>
      <w:pPr>
        <w:pStyle w:val="Normal"/>
        <w:jc w:val="both"/>
        <w:rPr>
          <w:shd w:fill="auto" w:val="clear"/>
        </w:rPr>
      </w:pPr>
      <w:r>
        <w:rPr>
          <w:rFonts w:eastAsia="Arial"/>
          <w:b/>
          <w:bCs/>
          <w:color w:val="000000"/>
          <w:sz w:val="22"/>
          <w:szCs w:val="22"/>
          <w:shd w:fill="auto" w:val="clear"/>
        </w:rPr>
        <w:t>ANNEX</w:t>
      </w:r>
      <w:r>
        <w:rPr>
          <w:rFonts w:eastAsia="Arial"/>
          <w:b/>
          <w:color w:val="000000"/>
          <w:sz w:val="22"/>
          <w:szCs w:val="22"/>
          <w:shd w:fill="auto" w:val="clear"/>
        </w:rPr>
        <w:t xml:space="preserve"> 6 - INSTRUCCIONS DE  REGULACIÓ RESPECTE AL TRACTAMENT DE DADES PERSONALS QUE SUPOSA EL CONTRACTE DE SERVEIS DE MENJADOR PER A LES ESCOLES BRESSOL MUNICIPALS I LES ESCOLES D’EDUCACIÓ ESPECIAL MUNICIPALS DE TERRASSA AMB CRITERIS DE CONTRACTACIÓ PÚBLICA ECOLÒGICA </w:t>
      </w:r>
    </w:p>
    <w:p>
      <w:pPr>
        <w:pStyle w:val="Normal"/>
        <w:rPr>
          <w:rFonts w:eastAsia="Arial"/>
          <w:b/>
          <w:b/>
          <w:color w:val="000000"/>
        </w:rPr>
      </w:pPr>
      <w:r>
        <w:rPr>
          <w:rFonts w:eastAsia="Arial"/>
          <w:b/>
          <w:color w:val="000000"/>
        </w:rPr>
      </w:r>
    </w:p>
    <w:p>
      <w:pPr>
        <w:pStyle w:val="Normal"/>
        <w:jc w:val="both"/>
        <w:rPr>
          <w:rFonts w:eastAsia="Arial"/>
          <w:color w:val="000000"/>
          <w:sz w:val="22"/>
        </w:rPr>
      </w:pPr>
      <w:r>
        <w:rPr>
          <w:rFonts w:eastAsia="Arial"/>
          <w:color w:val="000000"/>
          <w:sz w:val="22"/>
        </w:rPr>
      </w:r>
    </w:p>
    <w:p>
      <w:pPr>
        <w:pStyle w:val="Normal"/>
        <w:jc w:val="both"/>
        <w:rPr>
          <w:i/>
          <w:i/>
          <w:kern w:val="2"/>
          <w:sz w:val="22"/>
        </w:rPr>
      </w:pPr>
      <w:r>
        <w:rPr>
          <w:rFonts w:eastAsia="Arial"/>
          <w:b/>
          <w:color w:val="000000"/>
          <w:sz w:val="22"/>
        </w:rPr>
        <w:t>I.</w:t>
      </w:r>
      <w:r>
        <w:rPr>
          <w:rFonts w:eastAsia="Arial"/>
          <w:color w:val="000000"/>
          <w:sz w:val="22"/>
        </w:rPr>
        <w:t xml:space="preserve"> l’Ajuntament de Terrassa ha contractat a l’empresa ................. la realització del servei -------------------------------- de l’ajuntament de Terrassa, mitjançant adjudicació del contracte……., per termini de ...........</w:t>
      </w:r>
    </w:p>
    <w:p>
      <w:pPr>
        <w:pStyle w:val="Normal"/>
        <w:jc w:val="both"/>
        <w:rPr>
          <w:rFonts w:ascii="Calibri" w:hAnsi="Calibri" w:eastAsia="Calibri" w:cs="Calibri"/>
          <w:color w:val="000000"/>
          <w:sz w:val="22"/>
        </w:rPr>
      </w:pPr>
      <w:r>
        <w:rPr>
          <w:rFonts w:eastAsia="Calibri" w:cs="Calibri" w:ascii="Calibri" w:hAnsi="Calibri"/>
          <w:color w:val="000000"/>
          <w:sz w:val="22"/>
        </w:rPr>
      </w:r>
    </w:p>
    <w:p>
      <w:pPr>
        <w:pStyle w:val="Normal"/>
        <w:jc w:val="both"/>
        <w:rPr>
          <w:rFonts w:ascii="Calibri" w:hAnsi="Calibri" w:eastAsia="Calibri" w:cs="Calibri"/>
          <w:color w:val="000000"/>
          <w:sz w:val="22"/>
        </w:rPr>
      </w:pPr>
      <w:r>
        <w:rPr>
          <w:rFonts w:eastAsia="Calibri" w:cs="Calibri" w:ascii="Calibri" w:hAnsi="Calibri"/>
          <w:color w:val="000000"/>
          <w:sz w:val="22"/>
        </w:rPr>
      </w:r>
    </w:p>
    <w:p>
      <w:pPr>
        <w:pStyle w:val="Normal"/>
        <w:tabs>
          <w:tab w:val="clear" w:pos="720"/>
          <w:tab w:val="center" w:pos="3685" w:leader="none"/>
        </w:tabs>
        <w:jc w:val="both"/>
        <w:rPr>
          <w:i/>
          <w:i/>
          <w:kern w:val="2"/>
          <w:sz w:val="22"/>
        </w:rPr>
      </w:pPr>
      <w:r>
        <w:rPr>
          <w:rFonts w:eastAsia="Arial"/>
          <w:b/>
          <w:color w:val="000000"/>
          <w:sz w:val="22"/>
        </w:rPr>
        <w:t>II.</w:t>
      </w:r>
      <w:r>
        <w:rPr>
          <w:rFonts w:eastAsia="Arial"/>
          <w:color w:val="000000"/>
          <w:sz w:val="22"/>
        </w:rPr>
        <w:t xml:space="preserve"> Que per tal que l’empresa pugui realitzar l’objecte del contracte, l’Ajuntament de Terrassa  li cedirà dades personals ................</w:t>
      </w:r>
    </w:p>
    <w:p>
      <w:pPr>
        <w:pStyle w:val="Normal"/>
        <w:tabs>
          <w:tab w:val="clear" w:pos="720"/>
          <w:tab w:val="center" w:pos="3685" w:leader="none"/>
        </w:tabs>
        <w:rPr>
          <w:rFonts w:ascii="Calibri" w:hAnsi="Calibri" w:eastAsia="Calibri" w:cs="Calibri"/>
          <w:color w:val="000000"/>
          <w:sz w:val="22"/>
        </w:rPr>
      </w:pPr>
      <w:r>
        <w:rPr>
          <w:rFonts w:eastAsia="Calibri" w:cs="Calibri" w:ascii="Calibri" w:hAnsi="Calibri"/>
          <w:color w:val="000000"/>
          <w:sz w:val="22"/>
        </w:rPr>
      </w:r>
    </w:p>
    <w:p>
      <w:pPr>
        <w:pStyle w:val="Normal"/>
        <w:jc w:val="both"/>
        <w:rPr>
          <w:i/>
          <w:i/>
          <w:kern w:val="2"/>
          <w:sz w:val="22"/>
        </w:rPr>
      </w:pPr>
      <w:r>
        <w:rPr>
          <w:rFonts w:eastAsia="Arial"/>
          <w:color w:val="000000"/>
          <w:sz w:val="22"/>
        </w:rPr>
        <w:t xml:space="preserve">                                             </w:t>
      </w:r>
    </w:p>
    <w:p>
      <w:pPr>
        <w:pStyle w:val="Normal"/>
        <w:jc w:val="both"/>
        <w:rPr>
          <w:i/>
          <w:i/>
          <w:kern w:val="2"/>
          <w:sz w:val="22"/>
        </w:rPr>
      </w:pPr>
      <w:r>
        <w:rPr>
          <w:rFonts w:eastAsia="Arial"/>
          <w:color w:val="000000"/>
          <w:sz w:val="22"/>
        </w:rPr>
        <w:t>Per tal de regular el tractament de les dades i la relació entre les dues parts per tot el relacionat amb el tractament de dades personals, i en compliment del que estableix el Reglament (UE) 2016/679 i la Llei orgànica 3/2018, de 5 de desembre, de protecció de dades personals i garantia dels drets digitals, s’estableix les presents instruccions a l’empresa _________________________, NIF ______________ , representada per en/na. __________________, amb DNI  __________________ que regula l'encàrrec del tractament de dades personals que s'acompanya com a part del contracte principal de servei ---------------------  sotmès a les següents</w:t>
      </w:r>
    </w:p>
    <w:p>
      <w:pPr>
        <w:pStyle w:val="Normal"/>
        <w:jc w:val="both"/>
        <w:rPr>
          <w:sz w:val="22"/>
        </w:rPr>
      </w:pPr>
      <w:r>
        <w:rPr>
          <w:sz w:val="22"/>
        </w:rPr>
      </w:r>
    </w:p>
    <w:p>
      <w:pPr>
        <w:pStyle w:val="Normal"/>
        <w:jc w:val="both"/>
        <w:rPr>
          <w:sz w:val="22"/>
        </w:rPr>
      </w:pPr>
      <w:r>
        <w:rPr>
          <w:sz w:val="22"/>
        </w:rPr>
      </w:r>
    </w:p>
    <w:p>
      <w:pPr>
        <w:pStyle w:val="Normal"/>
        <w:jc w:val="center"/>
        <w:rPr>
          <w:i/>
          <w:i/>
          <w:kern w:val="2"/>
          <w:sz w:val="22"/>
        </w:rPr>
      </w:pPr>
      <w:r>
        <w:rPr>
          <w:b/>
          <w:bCs/>
          <w:sz w:val="22"/>
        </w:rPr>
        <w:t>CLÀUSULES</w:t>
      </w:r>
    </w:p>
    <w:p>
      <w:pPr>
        <w:pStyle w:val="Normal"/>
        <w:rPr>
          <w:b/>
          <w:b/>
        </w:rPr>
      </w:pPr>
      <w:r>
        <w:rPr>
          <w:b/>
        </w:rPr>
      </w:r>
    </w:p>
    <w:p>
      <w:pPr>
        <w:pStyle w:val="Normal"/>
        <w:jc w:val="both"/>
        <w:rPr>
          <w:b/>
          <w:b/>
        </w:rPr>
      </w:pPr>
      <w:r>
        <w:rPr>
          <w:b/>
        </w:rPr>
      </w:r>
    </w:p>
    <w:p>
      <w:pPr>
        <w:pStyle w:val="Normal"/>
        <w:jc w:val="both"/>
        <w:rPr>
          <w:i/>
          <w:i/>
          <w:kern w:val="2"/>
          <w:sz w:val="22"/>
        </w:rPr>
      </w:pPr>
      <w:r>
        <w:rPr>
          <w:b/>
        </w:rPr>
        <w:t>1. Objecte i finalitat de l’encàrrec del tractament</w:t>
      </w:r>
    </w:p>
    <w:p>
      <w:pPr>
        <w:pStyle w:val="Normal"/>
        <w:jc w:val="both"/>
        <w:rPr>
          <w:sz w:val="22"/>
        </w:rPr>
      </w:pPr>
      <w:r>
        <w:rPr>
          <w:sz w:val="22"/>
        </w:rPr>
      </w:r>
    </w:p>
    <w:p>
      <w:pPr>
        <w:pStyle w:val="Normal"/>
        <w:jc w:val="both"/>
        <w:rPr>
          <w:i/>
          <w:i/>
          <w:kern w:val="2"/>
          <w:sz w:val="22"/>
        </w:rPr>
      </w:pPr>
      <w:r>
        <w:rPr>
          <w:sz w:val="22"/>
        </w:rPr>
        <w:t>Mitjançant aquestes clàusules s’habilita l’empresa  ................, encarregada del tractament, per tractar per compte de ................, responsable del tractament, les dades de caràcter personal necessàries per prestar el servei de .....................</w:t>
      </w:r>
    </w:p>
    <w:p>
      <w:pPr>
        <w:pStyle w:val="Normal"/>
        <w:jc w:val="both"/>
        <w:rPr>
          <w:sz w:val="22"/>
        </w:rPr>
      </w:pPr>
      <w:r>
        <w:rPr>
          <w:sz w:val="22"/>
        </w:rPr>
      </w:r>
    </w:p>
    <w:p>
      <w:pPr>
        <w:pStyle w:val="Normal"/>
        <w:jc w:val="both"/>
        <w:rPr>
          <w:sz w:val="22"/>
        </w:rPr>
      </w:pPr>
      <w:r>
        <w:rPr>
          <w:sz w:val="22"/>
        </w:rPr>
      </w:r>
    </w:p>
    <w:p>
      <w:pPr>
        <w:pStyle w:val="Normal"/>
        <w:jc w:val="both"/>
        <w:rPr>
          <w:i/>
          <w:i/>
          <w:kern w:val="2"/>
          <w:sz w:val="22"/>
        </w:rPr>
      </w:pPr>
      <w:r>
        <w:rPr>
          <w:b/>
          <w:sz w:val="22"/>
        </w:rPr>
        <w:t xml:space="preserve">El tractament consistirà en: </w:t>
      </w:r>
      <w:r>
        <w:rPr>
          <w:i/>
        </w:rPr>
        <w:t>(descripció detallada del servei)</w:t>
      </w:r>
      <w:r>
        <w:rPr>
          <w:b/>
          <w:i/>
          <w:sz w:val="22"/>
        </w:rPr>
        <w:t xml:space="preserve"> </w:t>
      </w:r>
    </w:p>
    <w:p>
      <w:pPr>
        <w:pStyle w:val="Normal"/>
        <w:jc w:val="both"/>
        <w:rPr>
          <w:b/>
          <w:b/>
          <w:sz w:val="22"/>
        </w:rPr>
      </w:pPr>
      <w:r>
        <w:rPr>
          <w:b/>
          <w:sz w:val="22"/>
        </w:rPr>
      </w:r>
    </w:p>
    <w:p>
      <w:pPr>
        <w:pStyle w:val="Normal"/>
        <w:jc w:val="both"/>
        <w:rPr>
          <w:b/>
          <w:b/>
          <w:sz w:val="22"/>
        </w:rPr>
      </w:pPr>
      <w:r>
        <w:rPr>
          <w:b/>
          <w:sz w:val="22"/>
        </w:rPr>
      </w:r>
    </w:p>
    <w:p>
      <w:pPr>
        <w:pStyle w:val="Normal"/>
        <w:jc w:val="both"/>
        <w:rPr>
          <w:i/>
          <w:i/>
          <w:kern w:val="2"/>
          <w:sz w:val="22"/>
        </w:rPr>
      </w:pPr>
      <w:r>
        <w:rPr>
          <w:sz w:val="22"/>
        </w:rPr>
        <w:t>Concreció dels tractaments a realitzar:</w:t>
      </w:r>
    </w:p>
    <w:p>
      <w:pPr>
        <w:pStyle w:val="Normal"/>
        <w:jc w:val="both"/>
        <w:rPr>
          <w:sz w:val="22"/>
        </w:rPr>
      </w:pPr>
      <w:r>
        <w:rPr>
          <w:sz w:val="22"/>
        </w:rPr>
      </w:r>
    </w:p>
    <w:p>
      <w:pPr>
        <w:pStyle w:val="Normal"/>
        <w:jc w:val="both"/>
        <w:rPr>
          <w:i/>
          <w:i/>
          <w:kern w:val="2"/>
          <w:sz w:val="22"/>
        </w:rPr>
      </w:pPr>
      <w:r>
        <w:rPr>
          <w:sz w:val="22"/>
        </w:rPr>
        <w:t></w:t>
      </w:r>
      <w:r>
        <w:rPr>
          <w:sz w:val="22"/>
        </w:rPr>
        <w:tab/>
        <w:t>Recollida</w:t>
        <w:tab/>
        <w:tab/>
        <w:t xml:space="preserve">      </w:t>
        <w:tab/>
        <w:t></w:t>
        <w:tab/>
        <w:t xml:space="preserve">Registre      </w:t>
      </w:r>
    </w:p>
    <w:p>
      <w:pPr>
        <w:pStyle w:val="Normal"/>
        <w:jc w:val="both"/>
        <w:rPr>
          <w:i/>
          <w:i/>
          <w:kern w:val="2"/>
          <w:sz w:val="22"/>
        </w:rPr>
      </w:pPr>
      <w:r>
        <w:rPr>
          <w:sz w:val="22"/>
        </w:rPr>
        <w:t></w:t>
      </w:r>
      <w:r>
        <w:rPr>
          <w:sz w:val="22"/>
        </w:rPr>
        <w:tab/>
        <w:t>Estructuració</w:t>
        <w:tab/>
        <w:tab/>
        <w:tab/>
        <w:t></w:t>
        <w:tab/>
        <w:t>Modificació</w:t>
      </w:r>
    </w:p>
    <w:p>
      <w:pPr>
        <w:pStyle w:val="Normal"/>
        <w:jc w:val="both"/>
        <w:rPr>
          <w:i/>
          <w:i/>
          <w:kern w:val="2"/>
          <w:sz w:val="22"/>
        </w:rPr>
      </w:pPr>
      <w:r>
        <w:rPr>
          <w:sz w:val="22"/>
        </w:rPr>
        <w:t></w:t>
      </w:r>
      <w:r>
        <w:rPr>
          <w:sz w:val="22"/>
        </w:rPr>
        <w:tab/>
        <w:t>Conservació</w:t>
        <w:tab/>
        <w:tab/>
        <w:tab/>
        <w:t></w:t>
        <w:tab/>
        <w:t>Extracció</w:t>
      </w:r>
    </w:p>
    <w:p>
      <w:pPr>
        <w:pStyle w:val="Normal"/>
        <w:jc w:val="both"/>
        <w:rPr>
          <w:i/>
          <w:i/>
          <w:kern w:val="2"/>
          <w:sz w:val="22"/>
        </w:rPr>
      </w:pPr>
      <w:r>
        <w:rPr>
          <w:sz w:val="22"/>
        </w:rPr>
        <w:t></w:t>
      </w:r>
      <w:r>
        <w:rPr>
          <w:sz w:val="22"/>
        </w:rPr>
        <w:tab/>
        <w:t>Consulta</w:t>
        <w:tab/>
        <w:tab/>
        <w:tab/>
        <w:t></w:t>
        <w:tab/>
        <w:t>Comunicació per transmissió</w:t>
      </w:r>
    </w:p>
    <w:p>
      <w:pPr>
        <w:pStyle w:val="Normal"/>
        <w:jc w:val="both"/>
        <w:rPr>
          <w:i/>
          <w:i/>
          <w:kern w:val="2"/>
          <w:sz w:val="22"/>
        </w:rPr>
      </w:pPr>
      <w:r>
        <w:rPr>
          <w:sz w:val="22"/>
        </w:rPr>
        <w:t></w:t>
      </w:r>
      <w:r>
        <w:rPr>
          <w:sz w:val="22"/>
        </w:rPr>
        <w:tab/>
        <w:t>Difusió</w:t>
        <w:tab/>
        <w:tab/>
        <w:tab/>
        <w:tab/>
        <w:t></w:t>
        <w:tab/>
        <w:t>Interconnexió</w:t>
      </w:r>
    </w:p>
    <w:p>
      <w:pPr>
        <w:pStyle w:val="Normal"/>
        <w:jc w:val="both"/>
        <w:rPr>
          <w:i/>
          <w:i/>
          <w:kern w:val="2"/>
          <w:sz w:val="22"/>
        </w:rPr>
      </w:pPr>
      <w:r>
        <w:rPr>
          <w:sz w:val="22"/>
        </w:rPr>
        <w:t></w:t>
      </w:r>
      <w:r>
        <w:rPr>
          <w:sz w:val="22"/>
        </w:rPr>
        <w:tab/>
        <w:t>Acarament</w:t>
        <w:tab/>
        <w:tab/>
        <w:tab/>
        <w:t></w:t>
        <w:tab/>
        <w:t>Limitació</w:t>
      </w:r>
    </w:p>
    <w:p>
      <w:pPr>
        <w:pStyle w:val="Normal"/>
        <w:jc w:val="both"/>
        <w:rPr>
          <w:i/>
          <w:i/>
          <w:kern w:val="2"/>
          <w:sz w:val="22"/>
        </w:rPr>
      </w:pPr>
      <w:r>
        <w:rPr>
          <w:sz w:val="22"/>
        </w:rPr>
        <w:t></w:t>
      </w:r>
      <w:r>
        <w:rPr>
          <w:sz w:val="22"/>
        </w:rPr>
        <w:tab/>
        <w:t>Supressió</w:t>
        <w:tab/>
        <w:tab/>
        <w:tab/>
        <w:t></w:t>
        <w:tab/>
        <w:t>Destrucció</w:t>
      </w:r>
    </w:p>
    <w:p>
      <w:pPr>
        <w:pStyle w:val="Normal"/>
        <w:jc w:val="both"/>
        <w:rPr>
          <w:i/>
          <w:i/>
          <w:kern w:val="2"/>
          <w:sz w:val="22"/>
        </w:rPr>
      </w:pPr>
      <w:r>
        <w:rPr>
          <w:sz w:val="22"/>
        </w:rPr>
        <w:t></w:t>
      </w:r>
      <w:r>
        <w:rPr>
          <w:sz w:val="22"/>
        </w:rPr>
        <w:tab/>
        <w:t>Comunicació</w:t>
        <w:tab/>
        <w:tab/>
        <w:tab/>
        <w:t></w:t>
        <w:tab/>
        <w:t>Altres .........</w:t>
      </w:r>
    </w:p>
    <w:p>
      <w:pPr>
        <w:pStyle w:val="Normal"/>
        <w:jc w:val="both"/>
        <w:rPr>
          <w:b/>
          <w:b/>
          <w:sz w:val="22"/>
        </w:rPr>
      </w:pPr>
      <w:r>
        <w:rPr>
          <w:b/>
          <w:sz w:val="22"/>
        </w:rPr>
      </w:r>
    </w:p>
    <w:p>
      <w:pPr>
        <w:pStyle w:val="Normal"/>
        <w:jc w:val="both"/>
        <w:rPr>
          <w:b/>
          <w:b/>
          <w:sz w:val="22"/>
        </w:rPr>
      </w:pPr>
      <w:r>
        <w:rPr>
          <w:b/>
          <w:sz w:val="22"/>
        </w:rPr>
      </w:r>
    </w:p>
    <w:p>
      <w:pPr>
        <w:pStyle w:val="Normal"/>
        <w:jc w:val="both"/>
        <w:rPr>
          <w:b/>
          <w:b/>
          <w:sz w:val="22"/>
        </w:rPr>
      </w:pPr>
      <w:r>
        <w:rPr>
          <w:b/>
          <w:sz w:val="22"/>
        </w:rPr>
      </w:r>
    </w:p>
    <w:p>
      <w:pPr>
        <w:pStyle w:val="Normal"/>
        <w:jc w:val="both"/>
        <w:rPr>
          <w:b/>
          <w:b/>
        </w:rPr>
      </w:pPr>
      <w:r>
        <w:rPr>
          <w:b/>
        </w:rPr>
      </w:r>
    </w:p>
    <w:p>
      <w:pPr>
        <w:pStyle w:val="Normal"/>
        <w:jc w:val="both"/>
        <w:rPr>
          <w:i/>
          <w:i/>
          <w:kern w:val="2"/>
          <w:sz w:val="22"/>
        </w:rPr>
      </w:pPr>
      <w:r>
        <w:rPr>
          <w:b/>
        </w:rPr>
        <w:t>2. Identificació de la informació afectada.</w:t>
      </w:r>
    </w:p>
    <w:p>
      <w:pPr>
        <w:pStyle w:val="Normal"/>
        <w:jc w:val="both"/>
        <w:rPr>
          <w:b/>
          <w:b/>
        </w:rPr>
      </w:pPr>
      <w:r>
        <w:rPr>
          <w:b/>
        </w:rPr>
      </w:r>
    </w:p>
    <w:p>
      <w:pPr>
        <w:pStyle w:val="Normal"/>
        <w:jc w:val="both"/>
        <w:rPr>
          <w:i/>
          <w:i/>
          <w:kern w:val="2"/>
          <w:sz w:val="22"/>
        </w:rPr>
      </w:pPr>
      <w:r>
        <w:rPr>
          <w:sz w:val="22"/>
        </w:rPr>
        <w:t xml:space="preserve">Per executar les prestacions derivades del compliment de l’objecte d’aquest encàrrec, l’Ajuntament de Terrassa, responsable del tractament, posa a disposició de l’empresa ......................................, encarregada del tractament, la informació que es descriu a continuació:  </w:t>
      </w:r>
    </w:p>
    <w:p>
      <w:pPr>
        <w:pStyle w:val="Normal"/>
        <w:jc w:val="both"/>
        <w:rPr>
          <w:i/>
          <w:i/>
          <w:kern w:val="2"/>
          <w:sz w:val="22"/>
        </w:rPr>
      </w:pPr>
      <w:r>
        <w:rPr>
          <w:rFonts w:eastAsia="Arial"/>
          <w:b/>
          <w:sz w:val="22"/>
        </w:rPr>
        <w:t xml:space="preserve">                                      </w:t>
      </w:r>
    </w:p>
    <w:p>
      <w:pPr>
        <w:pStyle w:val="Normal"/>
        <w:ind w:left="284" w:hanging="0"/>
        <w:jc w:val="both"/>
        <w:rPr>
          <w:i/>
          <w:i/>
          <w:kern w:val="2"/>
          <w:sz w:val="22"/>
        </w:rPr>
      </w:pPr>
      <w:r>
        <w:rPr>
          <w:b/>
          <w:sz w:val="22"/>
        </w:rPr>
        <w:t>•</w:t>
      </w:r>
      <w:r>
        <w:rPr>
          <w:b/>
          <w:sz w:val="22"/>
        </w:rPr>
        <w:tab/>
        <w:t xml:space="preserve">............. </w:t>
      </w:r>
    </w:p>
    <w:p>
      <w:pPr>
        <w:pStyle w:val="Normal"/>
        <w:ind w:left="284" w:hanging="0"/>
        <w:jc w:val="both"/>
        <w:rPr>
          <w:i/>
          <w:i/>
          <w:kern w:val="2"/>
          <w:sz w:val="22"/>
        </w:rPr>
      </w:pPr>
      <w:r>
        <w:rPr>
          <w:b/>
          <w:sz w:val="22"/>
        </w:rPr>
        <w:t>•</w:t>
      </w:r>
      <w:r>
        <w:rPr>
          <w:b/>
          <w:sz w:val="22"/>
        </w:rPr>
        <w:tab/>
        <w:t>.............</w:t>
      </w:r>
    </w:p>
    <w:p>
      <w:pPr>
        <w:pStyle w:val="Normal"/>
        <w:ind w:left="284" w:hanging="0"/>
        <w:jc w:val="both"/>
        <w:rPr>
          <w:i/>
          <w:i/>
          <w:kern w:val="2"/>
          <w:sz w:val="22"/>
        </w:rPr>
      </w:pPr>
      <w:r>
        <w:rPr>
          <w:b/>
          <w:sz w:val="22"/>
        </w:rPr>
        <w:t>•</w:t>
      </w:r>
      <w:r>
        <w:rPr>
          <w:b/>
          <w:sz w:val="22"/>
        </w:rPr>
        <w:tab/>
        <w:t>.............</w:t>
      </w:r>
    </w:p>
    <w:p>
      <w:pPr>
        <w:pStyle w:val="Normal"/>
        <w:jc w:val="both"/>
        <w:rPr>
          <w:b/>
          <w:b/>
          <w:sz w:val="22"/>
        </w:rPr>
      </w:pPr>
      <w:r>
        <w:rPr>
          <w:b/>
          <w:sz w:val="22"/>
        </w:rPr>
      </w:r>
    </w:p>
    <w:p>
      <w:pPr>
        <w:pStyle w:val="Normal"/>
        <w:jc w:val="both"/>
        <w:rPr>
          <w:b/>
          <w:b/>
          <w:sz w:val="22"/>
        </w:rPr>
      </w:pPr>
      <w:r>
        <w:rPr>
          <w:b/>
          <w:sz w:val="22"/>
        </w:rPr>
      </w:r>
      <w:bookmarkStart w:id="9" w:name="_Hlk511300593"/>
      <w:bookmarkStart w:id="10" w:name="_Hlk511300593"/>
      <w:bookmarkEnd w:id="10"/>
    </w:p>
    <w:p>
      <w:pPr>
        <w:pStyle w:val="Normal"/>
        <w:jc w:val="both"/>
        <w:rPr>
          <w:b/>
          <w:b/>
          <w:sz w:val="22"/>
        </w:rPr>
      </w:pPr>
      <w:r>
        <w:rPr>
          <w:b/>
          <w:sz w:val="22"/>
        </w:rPr>
      </w:r>
    </w:p>
    <w:p>
      <w:pPr>
        <w:pStyle w:val="Normal"/>
        <w:jc w:val="both"/>
        <w:rPr>
          <w:i/>
          <w:i/>
          <w:kern w:val="2"/>
          <w:sz w:val="22"/>
        </w:rPr>
      </w:pPr>
      <w:r>
        <w:rPr>
          <w:b/>
        </w:rPr>
        <w:t>3. Durada</w:t>
      </w:r>
    </w:p>
    <w:p>
      <w:pPr>
        <w:pStyle w:val="Normal"/>
        <w:jc w:val="both"/>
        <w:rPr>
          <w:b/>
          <w:b/>
          <w:sz w:val="22"/>
        </w:rPr>
      </w:pPr>
      <w:r>
        <w:rPr>
          <w:b/>
          <w:sz w:val="22"/>
        </w:rPr>
      </w:r>
    </w:p>
    <w:p>
      <w:pPr>
        <w:pStyle w:val="Normal"/>
        <w:jc w:val="both"/>
        <w:rPr>
          <w:i/>
          <w:i/>
          <w:kern w:val="2"/>
          <w:sz w:val="22"/>
        </w:rPr>
      </w:pPr>
      <w:r>
        <w:rPr>
          <w:sz w:val="22"/>
        </w:rPr>
        <w:t xml:space="preserve">Aquest acord tindrà la durada del contracte principal, les instruccions   sobre tractament de dades del qual es regulen al present.                                                                                         </w:t>
      </w:r>
    </w:p>
    <w:p>
      <w:pPr>
        <w:pStyle w:val="Normal"/>
        <w:jc w:val="both"/>
        <w:rPr>
          <w:sz w:val="22"/>
        </w:rPr>
      </w:pPr>
      <w:r>
        <w:rPr>
          <w:sz w:val="22"/>
        </w:rPr>
      </w:r>
    </w:p>
    <w:p>
      <w:pPr>
        <w:pStyle w:val="Normal"/>
        <w:jc w:val="both"/>
        <w:rPr>
          <w:b/>
          <w:b/>
          <w:sz w:val="22"/>
        </w:rPr>
      </w:pPr>
      <w:r>
        <w:rPr>
          <w:b/>
          <w:sz w:val="22"/>
        </w:rPr>
      </w:r>
    </w:p>
    <w:p>
      <w:pPr>
        <w:pStyle w:val="Normal"/>
        <w:jc w:val="both"/>
        <w:rPr>
          <w:i/>
          <w:i/>
          <w:kern w:val="2"/>
          <w:sz w:val="22"/>
        </w:rPr>
      </w:pPr>
      <w:r>
        <w:rPr>
          <w:b/>
        </w:rPr>
        <w:t>4. Obligacions de l’encarregat del tractament</w:t>
      </w:r>
    </w:p>
    <w:p>
      <w:pPr>
        <w:pStyle w:val="Normal"/>
        <w:jc w:val="both"/>
        <w:rPr>
          <w:i/>
          <w:i/>
          <w:kern w:val="2"/>
          <w:sz w:val="22"/>
        </w:rPr>
      </w:pPr>
      <w:r>
        <w:rPr>
          <w:rFonts w:eastAsia="Arial"/>
          <w:sz w:val="22"/>
        </w:rPr>
        <w:t xml:space="preserve">                                     </w:t>
      </w:r>
    </w:p>
    <w:p>
      <w:pPr>
        <w:pStyle w:val="Normal"/>
        <w:jc w:val="both"/>
        <w:rPr>
          <w:i/>
          <w:i/>
          <w:kern w:val="2"/>
          <w:sz w:val="22"/>
        </w:rPr>
      </w:pPr>
      <w:r>
        <w:rPr>
          <w:sz w:val="22"/>
        </w:rPr>
        <w:t>L’encarregat del tractament i tot el seu personal s’obliga a:</w:t>
      </w:r>
    </w:p>
    <w:p>
      <w:pPr>
        <w:pStyle w:val="Normal"/>
        <w:jc w:val="both"/>
        <w:rPr>
          <w:sz w:val="22"/>
        </w:rPr>
      </w:pPr>
      <w:r>
        <w:rPr>
          <w:sz w:val="22"/>
        </w:rPr>
      </w:r>
    </w:p>
    <w:p>
      <w:pPr>
        <w:pStyle w:val="Prrafodelista1"/>
        <w:numPr>
          <w:ilvl w:val="0"/>
          <w:numId w:val="25"/>
        </w:numPr>
        <w:spacing w:before="0" w:after="0"/>
        <w:contextualSpacing/>
        <w:jc w:val="both"/>
        <w:rPr>
          <w:i/>
          <w:i/>
          <w:kern w:val="2"/>
          <w:sz w:val="22"/>
        </w:rPr>
      </w:pPr>
      <w:r>
        <w:rPr>
          <w:rFonts w:cs="Arial" w:ascii="Arial" w:hAnsi="Arial"/>
          <w:sz w:val="22"/>
        </w:rPr>
        <w:t xml:space="preserve">Utilitzar les dades personals objecte de tractament, o les que reculli per a la seva inclusió, només per a la finalitat objecte d'aquest encàrrec. En cap cas pot utilitzar les dades per a finalitats pròpies. </w:t>
      </w:r>
    </w:p>
    <w:p>
      <w:pPr>
        <w:pStyle w:val="Prrafodelista1"/>
        <w:spacing w:before="0" w:after="0"/>
        <w:contextualSpacing/>
        <w:jc w:val="both"/>
        <w:rPr>
          <w:rFonts w:ascii="Arial" w:hAnsi="Arial" w:cs="Arial"/>
          <w:sz w:val="22"/>
        </w:rPr>
      </w:pPr>
      <w:r>
        <w:rPr>
          <w:rFonts w:cs="Arial" w:ascii="Arial" w:hAnsi="Arial"/>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Tractar les dades d’acord amb les instruccions documentades del responsable del tractament.</w:t>
      </w:r>
    </w:p>
    <w:p>
      <w:pPr>
        <w:pStyle w:val="Prrafodelista1"/>
        <w:spacing w:before="0" w:after="0"/>
        <w:contextualSpacing/>
        <w:jc w:val="both"/>
        <w:rPr>
          <w:rFonts w:ascii="Arial" w:hAnsi="Arial" w:cs="Arial"/>
          <w:sz w:val="22"/>
        </w:rPr>
      </w:pPr>
      <w:r>
        <w:rPr>
          <w:rFonts w:cs="Arial" w:ascii="Arial" w:hAnsi="Arial"/>
          <w:sz w:val="22"/>
        </w:rPr>
      </w:r>
    </w:p>
    <w:p>
      <w:pPr>
        <w:pStyle w:val="Normal"/>
        <w:ind w:left="708" w:hanging="0"/>
        <w:jc w:val="both"/>
        <w:rPr>
          <w:i/>
          <w:i/>
          <w:kern w:val="2"/>
          <w:sz w:val="22"/>
        </w:rPr>
      </w:pPr>
      <w:r>
        <w:rPr>
          <w:sz w:val="22"/>
        </w:rPr>
        <w:t>Si l'encarregat del tractament considera que alguna de les instruccions infringeix l’RGPD o qualsevol altra disposició en matèria de protecció de dades de la Unió o dels estats membres, l'encarregat n’ha d’informar immediatament el responsable.</w:t>
      </w:r>
    </w:p>
    <w:p>
      <w:pPr>
        <w:pStyle w:val="Prrafodelista1"/>
        <w:spacing w:before="0" w:after="0"/>
        <w:contextualSpacing/>
        <w:jc w:val="both"/>
        <w:rPr>
          <w:rFonts w:ascii="Arial" w:hAnsi="Arial" w:cs="Arial"/>
          <w:sz w:val="22"/>
        </w:rPr>
      </w:pPr>
      <w:r>
        <w:rPr>
          <w:rFonts w:cs="Arial" w:ascii="Arial" w:hAnsi="Arial"/>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Incorporar els tractaments que duu a terme en execució d’aquest contracte al seu registre d’activitats del tractament efectuades per compte d’un responsable, amb el contingut de l’article 30.2 de l’RGPD.</w:t>
      </w:r>
    </w:p>
    <w:p>
      <w:pPr>
        <w:pStyle w:val="Prrafodelista1"/>
        <w:spacing w:before="0" w:after="0"/>
        <w:contextualSpacing/>
        <w:jc w:val="both"/>
        <w:rPr>
          <w:rFonts w:ascii="Arial" w:hAnsi="Arial" w:cs="Arial"/>
          <w:sz w:val="22"/>
        </w:rPr>
      </w:pPr>
      <w:r>
        <w:rPr>
          <w:rFonts w:cs="Arial" w:ascii="Arial" w:hAnsi="Arial"/>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No comunicar les dades a terceres persones, tret que tingui l'autorització expressa del responsable del tractament, en els supòsits legalment admissibles.</w:t>
      </w:r>
    </w:p>
    <w:p>
      <w:pPr>
        <w:pStyle w:val="Prrafodelista1"/>
        <w:spacing w:before="0" w:after="0"/>
        <w:contextualSpacing/>
        <w:jc w:val="both"/>
        <w:rPr>
          <w:rFonts w:ascii="Arial" w:hAnsi="Arial" w:cs="Arial"/>
          <w:sz w:val="22"/>
        </w:rPr>
      </w:pPr>
      <w:r>
        <w:rPr>
          <w:rFonts w:cs="Arial" w:ascii="Arial" w:hAnsi="Arial"/>
          <w:sz w:val="22"/>
        </w:rPr>
      </w:r>
    </w:p>
    <w:p>
      <w:pPr>
        <w:pStyle w:val="Prrafodelista1"/>
        <w:spacing w:before="0" w:after="0"/>
        <w:contextualSpacing/>
        <w:jc w:val="both"/>
        <w:rPr>
          <w:i/>
          <w:i/>
          <w:kern w:val="2"/>
          <w:sz w:val="22"/>
        </w:rPr>
      </w:pPr>
      <w:r>
        <w:rPr>
          <w:rFonts w:cs="Arial" w:ascii="Arial" w:hAnsi="Arial"/>
          <w:sz w:val="22"/>
        </w:rPr>
        <w:t>L'encarregat pot comunicar les dades a altres encarregats del tractament del mateix responsable, d'acord amb les instruccions del responsable. En aquest cas, el responsable ha d’identificar, prèviament i per escrit, l'entitat a la qual s'han de comunicar les dades, les dades a comunicar i les mesures de seguretat que cal aplicar per procedir a la comunicació.</w:t>
      </w:r>
    </w:p>
    <w:p>
      <w:pPr>
        <w:pStyle w:val="Prrafodelista1"/>
        <w:spacing w:before="0" w:after="0"/>
        <w:contextualSpacing/>
        <w:jc w:val="both"/>
        <w:rPr>
          <w:rFonts w:ascii="Arial" w:hAnsi="Arial" w:cs="Arial"/>
          <w:sz w:val="22"/>
        </w:rPr>
      </w:pPr>
      <w:r>
        <w:rPr>
          <w:rFonts w:cs="Arial" w:ascii="Arial" w:hAnsi="Arial"/>
          <w:sz w:val="22"/>
        </w:rPr>
      </w:r>
    </w:p>
    <w:p>
      <w:pPr>
        <w:pStyle w:val="Prrafodelista1"/>
        <w:spacing w:before="0" w:after="0"/>
        <w:contextualSpacing/>
        <w:jc w:val="both"/>
        <w:rPr>
          <w:i/>
          <w:i/>
          <w:kern w:val="2"/>
          <w:sz w:val="22"/>
        </w:rPr>
      </w:pPr>
      <w:r>
        <w:rPr>
          <w:rFonts w:cs="Arial" w:ascii="Arial" w:hAnsi="Arial"/>
          <w:sz w:val="22"/>
        </w:rPr>
        <w:t>Si l'encarregat ha de transferir dades personals a un tercer país o a una organització internacional, en virtut del dret de la Unió o dels estats membres que li sigui aplicable, ha d’informar el responsable d'aquesta exigència legal de manera prèvia, tret que aquest dret ho prohibeixi per raons importants d'interès públic.</w:t>
      </w:r>
    </w:p>
    <w:p>
      <w:pPr>
        <w:pStyle w:val="Prrafodelista1"/>
        <w:spacing w:before="0" w:after="0"/>
        <w:contextualSpacing/>
        <w:jc w:val="both"/>
        <w:rPr>
          <w:rFonts w:ascii="Arial" w:hAnsi="Arial" w:cs="Arial"/>
          <w:sz w:val="22"/>
        </w:rPr>
      </w:pPr>
      <w:r>
        <w:rPr>
          <w:rFonts w:cs="Arial" w:ascii="Arial" w:hAnsi="Arial"/>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Subcontractació</w:t>
      </w:r>
    </w:p>
    <w:p>
      <w:pPr>
        <w:pStyle w:val="Prrafodelista1"/>
        <w:spacing w:before="0" w:after="0"/>
        <w:ind w:left="737" w:hanging="0"/>
        <w:contextualSpacing/>
        <w:jc w:val="both"/>
        <w:rPr>
          <w:i/>
          <w:i/>
          <w:kern w:val="2"/>
          <w:sz w:val="22"/>
        </w:rPr>
      </w:pPr>
      <w:r>
        <w:rPr>
          <w:rFonts w:cs="Arial" w:ascii="Arial" w:hAnsi="Arial"/>
          <w:sz w:val="22"/>
        </w:rPr>
        <w:t>No subcontractar cap de les prestacions que formin part de l'objecte d'aquest contracte que comportin el tractament de dades personals, tret dels serveis auxiliars necessaris per al normal funcionament dels serveis de l'encarregat.</w:t>
      </w:r>
      <w:r>
        <w:rPr>
          <w:rFonts w:cs="Arial" w:ascii="Arial" w:hAnsi="Arial"/>
          <w:color w:val="168253"/>
          <w:sz w:val="22"/>
        </w:rPr>
        <w:t xml:space="preserve">                                                                                                                                                </w:t>
      </w:r>
    </w:p>
    <w:p>
      <w:pPr>
        <w:pStyle w:val="Prrafodelista1"/>
        <w:spacing w:before="0" w:after="0"/>
        <w:ind w:left="1416" w:hanging="0"/>
        <w:contextualSpacing/>
        <w:jc w:val="both"/>
        <w:rPr>
          <w:i/>
          <w:i/>
          <w:kern w:val="2"/>
          <w:sz w:val="22"/>
        </w:rPr>
      </w:pPr>
      <w:r>
        <w:rPr>
          <w:rFonts w:eastAsia="Arial" w:cs="Arial" w:ascii="Arial" w:hAnsi="Arial"/>
          <w:sz w:val="22"/>
        </w:rPr>
        <w:t xml:space="preserve">                                                         </w:t>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Mantenir el deure de secret respecte de les dades de caràcter personal a les quals hagi tingut accés en virtut d’aquest encàrrec, fins i tot després que en finalitzi l’objecte.</w:t>
      </w:r>
    </w:p>
    <w:p>
      <w:pPr>
        <w:pStyle w:val="Prrafodelista1"/>
        <w:spacing w:before="0" w:after="0"/>
        <w:contextualSpacing/>
        <w:jc w:val="both"/>
        <w:rPr>
          <w:rFonts w:ascii="Arial" w:hAnsi="Arial" w:cs="Arial"/>
          <w:sz w:val="22"/>
        </w:rPr>
      </w:pPr>
      <w:r>
        <w:rPr>
          <w:rFonts w:cs="Arial" w:ascii="Arial" w:hAnsi="Arial"/>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Garantir que les persones autoritzades per tractar dades personals es comprometen, de forma expressa i per escrit, a seguir les instruccions del responsable, a respectar la confidencialitat i a complir les mesures de seguretat corresponents, de les quals cal informar-los convenientment.</w:t>
      </w:r>
    </w:p>
    <w:p>
      <w:pPr>
        <w:pStyle w:val="Prrafodelista1"/>
        <w:jc w:val="both"/>
        <w:rPr>
          <w:rFonts w:ascii="Arial" w:hAnsi="Arial" w:cs="Arial"/>
          <w:sz w:val="22"/>
        </w:rPr>
      </w:pPr>
      <w:r>
        <w:rPr>
          <w:rFonts w:cs="Arial" w:ascii="Arial" w:hAnsi="Arial"/>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Mantenir a disposició del responsable la documentació que acredita que es compleix l'obligació que estableix l'apartat anterior.</w:t>
      </w:r>
    </w:p>
    <w:p>
      <w:pPr>
        <w:pStyle w:val="Prrafodelista1"/>
        <w:jc w:val="both"/>
        <w:rPr>
          <w:rFonts w:ascii="Arial" w:hAnsi="Arial" w:cs="Arial"/>
          <w:sz w:val="22"/>
        </w:rPr>
      </w:pPr>
      <w:r>
        <w:rPr>
          <w:rFonts w:cs="Arial" w:ascii="Arial" w:hAnsi="Arial"/>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Garantir la formació necessària en matèria de protecció de dades personals de les persones autoritzades per tractar dades personals.</w:t>
      </w:r>
    </w:p>
    <w:p>
      <w:pPr>
        <w:pStyle w:val="Prrafodelista1"/>
        <w:jc w:val="both"/>
        <w:rPr>
          <w:rFonts w:ascii="Arial" w:hAnsi="Arial" w:cs="Arial"/>
          <w:sz w:val="22"/>
        </w:rPr>
      </w:pPr>
      <w:r>
        <w:rPr>
          <w:rFonts w:cs="Arial" w:ascii="Arial" w:hAnsi="Arial"/>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Assistir el responsable del tractament en la resposta a l'exercici dels drets següents:</w:t>
      </w:r>
    </w:p>
    <w:p>
      <w:pPr>
        <w:pStyle w:val="Normal"/>
        <w:jc w:val="both"/>
        <w:rPr>
          <w:i/>
          <w:i/>
          <w:kern w:val="2"/>
          <w:sz w:val="22"/>
        </w:rPr>
      </w:pPr>
      <w:r>
        <w:rPr>
          <w:rFonts w:eastAsia="Arial"/>
          <w:sz w:val="22"/>
        </w:rPr>
        <w:t xml:space="preserve">             </w:t>
      </w:r>
    </w:p>
    <w:p>
      <w:pPr>
        <w:pStyle w:val="Prrafodelista1"/>
        <w:numPr>
          <w:ilvl w:val="0"/>
          <w:numId w:val="24"/>
        </w:numPr>
        <w:tabs>
          <w:tab w:val="clear" w:pos="720"/>
          <w:tab w:val="left" w:pos="0" w:leader="none"/>
        </w:tabs>
        <w:spacing w:before="0" w:after="0"/>
        <w:ind w:left="1080" w:hanging="360"/>
        <w:contextualSpacing/>
        <w:jc w:val="both"/>
        <w:rPr>
          <w:i/>
          <w:i/>
          <w:kern w:val="2"/>
          <w:sz w:val="22"/>
        </w:rPr>
      </w:pPr>
      <w:r>
        <w:rPr>
          <w:rFonts w:cs="Arial" w:ascii="Arial" w:hAnsi="Arial"/>
          <w:sz w:val="22"/>
        </w:rPr>
        <w:t>Accés, rectificació, supressió i oposició</w:t>
      </w:r>
    </w:p>
    <w:p>
      <w:pPr>
        <w:pStyle w:val="Prrafodelista1"/>
        <w:numPr>
          <w:ilvl w:val="0"/>
          <w:numId w:val="24"/>
        </w:numPr>
        <w:tabs>
          <w:tab w:val="clear" w:pos="720"/>
          <w:tab w:val="left" w:pos="0" w:leader="none"/>
        </w:tabs>
        <w:spacing w:before="0" w:after="0"/>
        <w:ind w:left="1080" w:hanging="360"/>
        <w:contextualSpacing/>
        <w:jc w:val="both"/>
        <w:rPr>
          <w:i/>
          <w:i/>
          <w:kern w:val="2"/>
          <w:sz w:val="22"/>
        </w:rPr>
      </w:pPr>
      <w:r>
        <w:rPr>
          <w:rFonts w:cs="Arial" w:ascii="Arial" w:hAnsi="Arial"/>
          <w:sz w:val="22"/>
        </w:rPr>
        <w:t>Limitació del tractament</w:t>
      </w:r>
    </w:p>
    <w:p>
      <w:pPr>
        <w:pStyle w:val="Prrafodelista1"/>
        <w:numPr>
          <w:ilvl w:val="0"/>
          <w:numId w:val="24"/>
        </w:numPr>
        <w:tabs>
          <w:tab w:val="clear" w:pos="720"/>
          <w:tab w:val="left" w:pos="0" w:leader="none"/>
        </w:tabs>
        <w:spacing w:before="0" w:after="0"/>
        <w:ind w:left="1080" w:hanging="360"/>
        <w:contextualSpacing/>
        <w:jc w:val="both"/>
        <w:rPr>
          <w:i/>
          <w:i/>
          <w:kern w:val="2"/>
          <w:sz w:val="22"/>
        </w:rPr>
      </w:pPr>
      <w:r>
        <w:rPr>
          <w:rFonts w:cs="Arial" w:ascii="Arial" w:hAnsi="Arial"/>
          <w:sz w:val="22"/>
        </w:rPr>
        <w:t>Portabilitat de dades</w:t>
      </w:r>
    </w:p>
    <w:p>
      <w:pPr>
        <w:pStyle w:val="Prrafodelista1"/>
        <w:numPr>
          <w:ilvl w:val="0"/>
          <w:numId w:val="24"/>
        </w:numPr>
        <w:tabs>
          <w:tab w:val="clear" w:pos="720"/>
          <w:tab w:val="left" w:pos="0" w:leader="none"/>
        </w:tabs>
        <w:spacing w:before="0" w:after="0"/>
        <w:ind w:left="1080" w:hanging="360"/>
        <w:contextualSpacing/>
        <w:jc w:val="both"/>
        <w:rPr>
          <w:i/>
          <w:i/>
          <w:kern w:val="2"/>
          <w:sz w:val="22"/>
        </w:rPr>
      </w:pPr>
      <w:r>
        <w:rPr>
          <w:rFonts w:cs="Arial" w:ascii="Arial" w:hAnsi="Arial"/>
          <w:sz w:val="22"/>
        </w:rPr>
        <w:t xml:space="preserve">A no ser objecte de decisions individualitzades automatitzades (inclosa l’elaboració de perfils) </w:t>
      </w:r>
    </w:p>
    <w:p>
      <w:pPr>
        <w:pStyle w:val="Prrafodelista1"/>
        <w:spacing w:before="0" w:after="0"/>
        <w:ind w:left="737" w:hanging="0"/>
        <w:contextualSpacing/>
        <w:jc w:val="both"/>
        <w:rPr>
          <w:rFonts w:ascii="Arial" w:hAnsi="Arial" w:cs="Arial"/>
          <w:sz w:val="22"/>
        </w:rPr>
      </w:pPr>
      <w:r>
        <w:rPr>
          <w:rFonts w:cs="Arial" w:ascii="Arial" w:hAnsi="Arial"/>
          <w:sz w:val="22"/>
        </w:rPr>
      </w:r>
    </w:p>
    <w:p>
      <w:pPr>
        <w:pStyle w:val="Prrafodelista1"/>
        <w:spacing w:before="0" w:after="0"/>
        <w:ind w:left="737" w:hanging="0"/>
        <w:contextualSpacing/>
        <w:jc w:val="both"/>
        <w:rPr>
          <w:i/>
          <w:i/>
          <w:kern w:val="2"/>
          <w:sz w:val="22"/>
        </w:rPr>
      </w:pPr>
      <w:r>
        <w:rPr>
          <w:rFonts w:cs="Arial" w:ascii="Arial" w:hAnsi="Arial"/>
          <w:sz w:val="22"/>
        </w:rPr>
        <w:t>Quan les persones afectades exerceixin els drets d'accés, rectificació, supressió i oposició, limitació del tractament, portabili</w:t>
      </w:r>
      <w:r>
        <w:rPr>
          <w:rFonts w:cs="Arial" w:ascii="Arial" w:hAnsi="Arial"/>
          <w:sz w:val="22"/>
          <w:szCs w:val="22"/>
        </w:rPr>
        <w:t xml:space="preserve">tat de dades i a no ser objecte de decisions individualitzades automatitzades, davant l'encarregat del tractament, aquest ho ha de comunicar per correu electrònic a l'adreça </w:t>
      </w:r>
      <w:hyperlink r:id="rId25">
        <w:r>
          <w:rPr>
            <w:rStyle w:val="EnlladInternet"/>
            <w:rFonts w:cs="Arial" w:ascii="Arial" w:hAnsi="Arial"/>
            <w:sz w:val="22"/>
            <w:szCs w:val="22"/>
          </w:rPr>
          <w:t>protecciodades@terrassa.cat</w:t>
        </w:r>
      </w:hyperlink>
      <w:r>
        <w:rPr>
          <w:rFonts w:cs="Arial" w:ascii="Arial" w:hAnsi="Arial"/>
          <w:sz w:val="22"/>
          <w:szCs w:val="22"/>
        </w:rPr>
        <w:t xml:space="preserve"> i a ................(adreça electrònica del servei). La comunicació s’ha de fer de forma immediata i en cap</w:t>
      </w:r>
      <w:r>
        <w:rPr>
          <w:rFonts w:cs="Arial" w:ascii="Arial" w:hAnsi="Arial"/>
          <w:sz w:val="22"/>
        </w:rPr>
        <w:t xml:space="preserve"> cas més enllà de l’endemà del dia laborable en què s’ha rebut la sol·licitud, juntament, si escau, amb altres informacions que puguin ser rellevants per resoldre la sol·licitud. </w:t>
      </w:r>
    </w:p>
    <w:p>
      <w:pPr>
        <w:pStyle w:val="Normal"/>
        <w:jc w:val="both"/>
        <w:rPr>
          <w:i/>
          <w:i/>
          <w:sz w:val="22"/>
        </w:rPr>
      </w:pPr>
      <w:r>
        <w:rPr>
          <w:i/>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Dret d’informació.</w:t>
      </w:r>
    </w:p>
    <w:p>
      <w:pPr>
        <w:pStyle w:val="Normal"/>
        <w:jc w:val="both"/>
        <w:rPr>
          <w:sz w:val="22"/>
        </w:rPr>
      </w:pPr>
      <w:r>
        <w:rPr>
          <w:sz w:val="22"/>
        </w:rPr>
      </w:r>
    </w:p>
    <w:p>
      <w:pPr>
        <w:pStyle w:val="Prrafodelista1"/>
        <w:spacing w:before="0" w:after="0"/>
        <w:ind w:left="0" w:hanging="0"/>
        <w:contextualSpacing/>
        <w:jc w:val="both"/>
        <w:rPr>
          <w:i/>
          <w:i/>
          <w:kern w:val="2"/>
          <w:sz w:val="22"/>
        </w:rPr>
      </w:pPr>
      <w:r>
        <w:rPr>
          <w:rFonts w:cs="Arial" w:ascii="Arial" w:hAnsi="Arial"/>
          <w:i/>
          <w:sz w:val="22"/>
        </w:rPr>
        <w:tab/>
      </w:r>
      <w:r>
        <w:rPr>
          <w:rFonts w:cs="Arial" w:ascii="Arial" w:hAnsi="Arial"/>
          <w:sz w:val="22"/>
        </w:rPr>
        <w:t xml:space="preserve">L'encarregat del tractament ha de facilitar, en el moment de recollir les dades, la informació </w:t>
        <w:tab/>
        <w:t xml:space="preserve">relativa als tractaments de dades que es duran a terme. La redacció i el format en què es </w:t>
        <w:tab/>
        <w:t xml:space="preserve">facilitarà la informació s'ha de consensuar amb el responsable, abans d’iniciar la recollida </w:t>
        <w:tab/>
        <w:t>de les dades.</w:t>
      </w:r>
      <w:r>
        <w:rPr>
          <w:rFonts w:cs="Arial" w:ascii="Arial" w:hAnsi="Arial"/>
          <w:i/>
          <w:sz w:val="22"/>
        </w:rPr>
        <w:t xml:space="preserve">                                                        </w:t>
      </w:r>
    </w:p>
    <w:p>
      <w:pPr>
        <w:pStyle w:val="Prrafodelista1"/>
        <w:spacing w:before="0" w:after="0"/>
        <w:ind w:left="0" w:hanging="0"/>
        <w:contextualSpacing/>
        <w:jc w:val="both"/>
        <w:rPr>
          <w:rFonts w:ascii="Arial" w:hAnsi="Arial" w:cs="Arial"/>
          <w:i/>
          <w:i/>
          <w:sz w:val="22"/>
        </w:rPr>
      </w:pPr>
      <w:r>
        <w:rPr>
          <w:rFonts w:cs="Arial" w:ascii="Arial" w:hAnsi="Arial"/>
          <w:i/>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Notificació de violacions de la seguretat de les dades.</w:t>
      </w:r>
    </w:p>
    <w:p>
      <w:pPr>
        <w:pStyle w:val="Normal"/>
        <w:jc w:val="both"/>
        <w:rPr>
          <w:i/>
          <w:i/>
          <w:sz w:val="22"/>
        </w:rPr>
      </w:pPr>
      <w:r>
        <w:rPr>
          <w:i/>
          <w:sz w:val="22"/>
        </w:rPr>
      </w:r>
    </w:p>
    <w:p>
      <w:pPr>
        <w:pStyle w:val="Normal"/>
        <w:ind w:left="360" w:hanging="0"/>
        <w:jc w:val="both"/>
        <w:rPr>
          <w:i/>
          <w:i/>
          <w:kern w:val="2"/>
          <w:sz w:val="22"/>
        </w:rPr>
      </w:pPr>
      <w:r>
        <w:rPr>
          <w:sz w:val="22"/>
        </w:rPr>
        <w:t xml:space="preserve">L'encarregat del tractament ha d’informar el responsable del tractament, sense dilació indeguda i en qualsevol cas abans del termini màxim de 24 hores, i a través de l’adreça </w:t>
      </w:r>
      <w:hyperlink r:id="rId26">
        <w:r>
          <w:rPr>
            <w:rStyle w:val="EnlladInternet"/>
            <w:sz w:val="22"/>
            <w:szCs w:val="22"/>
          </w:rPr>
          <w:t>protecciodades@terrassa.cat</w:t>
        </w:r>
      </w:hyperlink>
      <w:r>
        <w:rPr>
          <w:sz w:val="22"/>
          <w:szCs w:val="22"/>
        </w:rPr>
        <w:t xml:space="preserve"> i</w:t>
      </w:r>
      <w:r>
        <w:rPr>
          <w:sz w:val="22"/>
        </w:rPr>
        <w:t xml:space="preserve"> .......... (adreça del servei), de les violacions de la seguretat de les dades personals al seu càrrec de les quals tingui coneixement, juntament amb tota la informació rellevant per documentar i comunicar la incidència.</w:t>
      </w:r>
    </w:p>
    <w:p>
      <w:pPr>
        <w:pStyle w:val="Normal"/>
        <w:jc w:val="both"/>
        <w:rPr>
          <w:sz w:val="22"/>
        </w:rPr>
      </w:pPr>
      <w:r>
        <w:rPr>
          <w:sz w:val="22"/>
        </w:rPr>
      </w:r>
    </w:p>
    <w:p>
      <w:pPr>
        <w:pStyle w:val="Normal"/>
        <w:ind w:left="360" w:hanging="0"/>
        <w:jc w:val="both"/>
        <w:rPr>
          <w:i/>
          <w:i/>
          <w:kern w:val="2"/>
          <w:sz w:val="22"/>
        </w:rPr>
      </w:pPr>
      <w:r>
        <w:rPr>
          <w:sz w:val="22"/>
        </w:rPr>
        <w:t>La notificació no és necessària quan sigui improbable que aquesta violació de la seguretat constitueixi un risc per als drets i les llibertats de les persones físiques.</w:t>
      </w:r>
    </w:p>
    <w:p>
      <w:pPr>
        <w:pStyle w:val="Normal"/>
        <w:jc w:val="both"/>
        <w:rPr>
          <w:sz w:val="22"/>
        </w:rPr>
      </w:pPr>
      <w:r>
        <w:rPr>
          <w:sz w:val="22"/>
        </w:rPr>
      </w:r>
    </w:p>
    <w:p>
      <w:pPr>
        <w:pStyle w:val="Normal"/>
        <w:ind w:firstLine="360"/>
        <w:jc w:val="both"/>
        <w:rPr>
          <w:i/>
          <w:i/>
          <w:kern w:val="2"/>
          <w:sz w:val="22"/>
        </w:rPr>
      </w:pPr>
      <w:r>
        <w:rPr>
          <w:sz w:val="22"/>
        </w:rPr>
        <w:t>Si se’n disposa, cal facilitar, com a mínim, la informació següent:</w:t>
      </w:r>
    </w:p>
    <w:p>
      <w:pPr>
        <w:pStyle w:val="Normal"/>
        <w:jc w:val="both"/>
        <w:rPr>
          <w:sz w:val="22"/>
        </w:rPr>
      </w:pPr>
      <w:r>
        <w:rPr>
          <w:sz w:val="22"/>
        </w:rPr>
      </w:r>
    </w:p>
    <w:p>
      <w:pPr>
        <w:pStyle w:val="Prrafodelista1"/>
        <w:numPr>
          <w:ilvl w:val="0"/>
          <w:numId w:val="26"/>
        </w:numPr>
        <w:tabs>
          <w:tab w:val="clear" w:pos="720"/>
          <w:tab w:val="left" w:pos="0" w:leader="none"/>
        </w:tabs>
        <w:spacing w:before="0" w:after="0"/>
        <w:ind w:left="1080" w:hanging="360"/>
        <w:contextualSpacing/>
        <w:jc w:val="both"/>
        <w:rPr>
          <w:i/>
          <w:i/>
          <w:kern w:val="2"/>
          <w:sz w:val="22"/>
        </w:rPr>
      </w:pPr>
      <w:r>
        <w:rPr>
          <w:rFonts w:cs="Arial" w:ascii="Arial" w:hAnsi="Arial"/>
          <w:sz w:val="22"/>
        </w:rPr>
        <w:t>Descripció de la naturalesa de la violació de la seguretat de les dades personals, incloses, quan sigui possible, les categories i el nombre aproximat d'interessats afectats i les categories i el nombre aproximat de registres de dades personals afectats.</w:t>
      </w:r>
    </w:p>
    <w:p>
      <w:pPr>
        <w:pStyle w:val="Prrafodelista1"/>
        <w:spacing w:before="0" w:after="0"/>
        <w:ind w:left="1080" w:hanging="0"/>
        <w:contextualSpacing/>
        <w:jc w:val="both"/>
        <w:rPr>
          <w:rFonts w:ascii="Arial" w:hAnsi="Arial" w:cs="Arial"/>
          <w:sz w:val="22"/>
        </w:rPr>
      </w:pPr>
      <w:r>
        <w:rPr>
          <w:rFonts w:cs="Arial" w:ascii="Arial" w:hAnsi="Arial"/>
          <w:sz w:val="22"/>
        </w:rPr>
      </w:r>
    </w:p>
    <w:p>
      <w:pPr>
        <w:pStyle w:val="Prrafodelista1"/>
        <w:numPr>
          <w:ilvl w:val="0"/>
          <w:numId w:val="26"/>
        </w:numPr>
        <w:tabs>
          <w:tab w:val="clear" w:pos="720"/>
          <w:tab w:val="left" w:pos="0" w:leader="none"/>
        </w:tabs>
        <w:spacing w:before="0" w:after="0"/>
        <w:ind w:left="1080" w:hanging="360"/>
        <w:contextualSpacing/>
        <w:jc w:val="both"/>
        <w:rPr>
          <w:i/>
          <w:i/>
          <w:kern w:val="2"/>
          <w:sz w:val="22"/>
        </w:rPr>
      </w:pPr>
      <w:r>
        <w:rPr>
          <w:rFonts w:cs="Arial" w:ascii="Arial" w:hAnsi="Arial"/>
          <w:sz w:val="22"/>
        </w:rPr>
        <w:t>Nom i dades de contacte del delegat de protecció de dades o d'un altre punt de contacte en el qual es pugui obtenir més informació.</w:t>
      </w:r>
    </w:p>
    <w:p>
      <w:pPr>
        <w:pStyle w:val="Prrafodelista1"/>
        <w:spacing w:before="0" w:after="0"/>
        <w:ind w:left="1080" w:hanging="0"/>
        <w:contextualSpacing/>
        <w:jc w:val="both"/>
        <w:rPr>
          <w:rFonts w:ascii="Arial" w:hAnsi="Arial" w:cs="Arial"/>
          <w:sz w:val="22"/>
        </w:rPr>
      </w:pPr>
      <w:r>
        <w:rPr>
          <w:rFonts w:cs="Arial" w:ascii="Arial" w:hAnsi="Arial"/>
          <w:sz w:val="22"/>
        </w:rPr>
      </w:r>
    </w:p>
    <w:p>
      <w:pPr>
        <w:pStyle w:val="Prrafodelista1"/>
        <w:numPr>
          <w:ilvl w:val="0"/>
          <w:numId w:val="26"/>
        </w:numPr>
        <w:tabs>
          <w:tab w:val="clear" w:pos="720"/>
          <w:tab w:val="left" w:pos="0" w:leader="none"/>
        </w:tabs>
        <w:spacing w:before="0" w:after="0"/>
        <w:ind w:left="1080" w:hanging="360"/>
        <w:contextualSpacing/>
        <w:jc w:val="both"/>
        <w:rPr>
          <w:i/>
          <w:i/>
          <w:kern w:val="2"/>
          <w:sz w:val="22"/>
        </w:rPr>
      </w:pPr>
      <w:r>
        <w:rPr>
          <w:rFonts w:cs="Arial" w:ascii="Arial" w:hAnsi="Arial"/>
          <w:sz w:val="22"/>
        </w:rPr>
        <w:t>Descripció de les possibles conseqüències de la violació de la seguretat de les dades personals.</w:t>
      </w:r>
    </w:p>
    <w:p>
      <w:pPr>
        <w:pStyle w:val="Prrafodelista1"/>
        <w:spacing w:before="0" w:after="0"/>
        <w:ind w:left="1080" w:hanging="0"/>
        <w:contextualSpacing/>
        <w:jc w:val="both"/>
        <w:rPr>
          <w:rFonts w:ascii="Arial" w:hAnsi="Arial" w:cs="Arial"/>
          <w:sz w:val="22"/>
        </w:rPr>
      </w:pPr>
      <w:r>
        <w:rPr>
          <w:rFonts w:cs="Arial" w:ascii="Arial" w:hAnsi="Arial"/>
          <w:sz w:val="22"/>
        </w:rPr>
      </w:r>
    </w:p>
    <w:p>
      <w:pPr>
        <w:pStyle w:val="Prrafodelista1"/>
        <w:numPr>
          <w:ilvl w:val="0"/>
          <w:numId w:val="26"/>
        </w:numPr>
        <w:tabs>
          <w:tab w:val="clear" w:pos="720"/>
          <w:tab w:val="left" w:pos="0" w:leader="none"/>
        </w:tabs>
        <w:spacing w:before="0" w:after="0"/>
        <w:ind w:left="1080" w:hanging="360"/>
        <w:contextualSpacing/>
        <w:jc w:val="both"/>
        <w:rPr>
          <w:i/>
          <w:i/>
          <w:kern w:val="2"/>
          <w:sz w:val="22"/>
        </w:rPr>
      </w:pPr>
      <w:r>
        <w:rPr>
          <w:rFonts w:cs="Arial" w:ascii="Arial" w:hAnsi="Arial"/>
          <w:sz w:val="22"/>
        </w:rPr>
        <w:t xml:space="preserve">Descripció de les mesures adoptades o proposades per posar remei a la violació de la seguretat de les dades personals, incloses, si escau, les mesures adoptades per mitigar els possibles efectes negatius. </w:t>
      </w:r>
    </w:p>
    <w:p>
      <w:pPr>
        <w:pStyle w:val="Normal"/>
        <w:jc w:val="both"/>
        <w:rPr>
          <w:sz w:val="22"/>
        </w:rPr>
      </w:pPr>
      <w:r>
        <w:rPr>
          <w:sz w:val="22"/>
        </w:rPr>
      </w:r>
    </w:p>
    <w:p>
      <w:pPr>
        <w:pStyle w:val="Normal"/>
        <w:ind w:left="360" w:hanging="0"/>
        <w:jc w:val="both"/>
        <w:rPr>
          <w:i/>
          <w:i/>
          <w:kern w:val="2"/>
          <w:sz w:val="22"/>
        </w:rPr>
      </w:pPr>
      <w:r>
        <w:rPr>
          <w:sz w:val="22"/>
        </w:rPr>
        <w:t>Si no és possible facilitar la informació simultàniament, i en la mesura en què no ho sigui, la informació s’ha de facilitar de manera gradual sense dilació indeguda.</w:t>
      </w:r>
    </w:p>
    <w:p>
      <w:pPr>
        <w:pStyle w:val="Normal"/>
        <w:ind w:left="360" w:hanging="0"/>
        <w:jc w:val="both"/>
        <w:rPr>
          <w:sz w:val="22"/>
        </w:rPr>
      </w:pPr>
      <w:r>
        <w:rPr>
          <w:sz w:val="22"/>
        </w:rPr>
      </w:r>
    </w:p>
    <w:p>
      <w:pPr>
        <w:pStyle w:val="Prrafodelista1"/>
        <w:spacing w:before="0" w:after="0"/>
        <w:ind w:left="397" w:hanging="0"/>
        <w:contextualSpacing/>
        <w:jc w:val="both"/>
        <w:rPr>
          <w:i/>
          <w:i/>
          <w:kern w:val="2"/>
          <w:sz w:val="22"/>
        </w:rPr>
      </w:pPr>
      <w:r>
        <w:rPr>
          <w:rFonts w:cs="Arial" w:ascii="Arial" w:hAnsi="Arial"/>
          <w:sz w:val="22"/>
        </w:rPr>
        <w:t xml:space="preserve">Correspon al responsable del tractament comunicar en el menor temps possible als interessats les violacions de la seguretat de les dades, quan sigui probable que la violació suposi un alt risc per als drets i les llibertats de les persones físiques.  </w:t>
      </w:r>
    </w:p>
    <w:p>
      <w:pPr>
        <w:pStyle w:val="Prrafodelista1"/>
        <w:spacing w:before="0" w:after="0"/>
        <w:ind w:left="397" w:hanging="0"/>
        <w:contextualSpacing/>
        <w:jc w:val="both"/>
        <w:rPr>
          <w:i/>
          <w:i/>
          <w:kern w:val="2"/>
          <w:sz w:val="22"/>
        </w:rPr>
      </w:pPr>
      <w:r>
        <w:rPr>
          <w:rFonts w:eastAsia="Arial" w:cs="Arial" w:ascii="Arial" w:hAnsi="Arial"/>
          <w:sz w:val="22"/>
        </w:rPr>
        <w:t xml:space="preserve">                                                  </w:t>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Donar suport al responsable del tractament a l’hora de fer les avaluacions d'impacte relatives a la protecció de dades, quan escaigui.</w:t>
      </w:r>
    </w:p>
    <w:p>
      <w:pPr>
        <w:pStyle w:val="Prrafodelista1"/>
        <w:spacing w:before="0" w:after="0"/>
        <w:contextualSpacing/>
        <w:jc w:val="both"/>
        <w:rPr>
          <w:rFonts w:ascii="Arial" w:hAnsi="Arial" w:cs="Arial"/>
          <w:sz w:val="22"/>
        </w:rPr>
      </w:pPr>
      <w:r>
        <w:rPr>
          <w:rFonts w:cs="Arial" w:ascii="Arial" w:hAnsi="Arial"/>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Donar suport al responsable del tractament a l’hora de fer les consultes prèvies a l'autoritat de control, quan escaigui.</w:t>
      </w:r>
    </w:p>
    <w:p>
      <w:pPr>
        <w:pStyle w:val="Normal"/>
        <w:jc w:val="both"/>
        <w:rPr>
          <w:sz w:val="22"/>
        </w:rPr>
      </w:pPr>
      <w:r>
        <w:rPr>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 xml:space="preserve">Posar a disposició del responsable tota la informació necessària per demostrar que compleix les seves obligacions, així com per realitzar les auditories o les inspeccions que efectuïn el responsable o un altre auditor autoritzat per ell. </w:t>
      </w:r>
    </w:p>
    <w:p>
      <w:pPr>
        <w:pStyle w:val="Prrafodelista1"/>
        <w:spacing w:before="0" w:after="0"/>
        <w:contextualSpacing/>
        <w:jc w:val="both"/>
        <w:rPr>
          <w:rFonts w:ascii="Arial" w:hAnsi="Arial" w:cs="Arial"/>
          <w:sz w:val="22"/>
        </w:rPr>
      </w:pPr>
      <w:r>
        <w:rPr>
          <w:rFonts w:cs="Arial" w:ascii="Arial" w:hAnsi="Arial"/>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Implantar les mesures de seguretat següents:</w:t>
      </w:r>
    </w:p>
    <w:p>
      <w:pPr>
        <w:pStyle w:val="Prrafodelista1"/>
        <w:spacing w:before="0" w:after="0"/>
        <w:ind w:left="1416" w:hanging="0"/>
        <w:contextualSpacing/>
        <w:jc w:val="both"/>
        <w:rPr>
          <w:rFonts w:ascii="Arial" w:hAnsi="Arial" w:cs="Arial"/>
          <w:b/>
          <w:b/>
          <w:sz w:val="22"/>
        </w:rPr>
      </w:pPr>
      <w:r>
        <w:rPr>
          <w:rFonts w:cs="Arial" w:ascii="Arial" w:hAnsi="Arial"/>
          <w:b/>
          <w:sz w:val="22"/>
        </w:rPr>
      </w:r>
    </w:p>
    <w:p>
      <w:pPr>
        <w:pStyle w:val="Prrafodelista1"/>
        <w:spacing w:before="0" w:after="0"/>
        <w:ind w:left="1416" w:hanging="0"/>
        <w:contextualSpacing/>
        <w:jc w:val="both"/>
        <w:rPr>
          <w:i/>
          <w:i/>
          <w:kern w:val="2"/>
          <w:sz w:val="22"/>
        </w:rPr>
      </w:pPr>
      <w:r>
        <w:rPr>
          <w:rFonts w:cs="Arial" w:ascii="Arial" w:hAnsi="Arial"/>
          <w:sz w:val="22"/>
        </w:rPr>
        <w:t>Les mesures de seguretat que es deriven de l’aplicació de l’Esquema Nacional de Seguretat (ENS) i de les altres que indiqui el responsable del tractament.</w:t>
      </w:r>
    </w:p>
    <w:p>
      <w:pPr>
        <w:pStyle w:val="Prrafodelista1"/>
        <w:spacing w:before="0" w:after="0"/>
        <w:ind w:left="1416" w:hanging="0"/>
        <w:contextualSpacing/>
        <w:jc w:val="both"/>
        <w:rPr>
          <w:i/>
          <w:i/>
          <w:kern w:val="2"/>
          <w:sz w:val="22"/>
        </w:rPr>
      </w:pPr>
      <w:r>
        <w:rPr>
          <w:rFonts w:cs="Arial" w:ascii="Arial" w:hAnsi="Arial"/>
          <w:sz w:val="22"/>
        </w:rPr>
        <w:t>En tot cas, cal implantar mecanismes per:</w:t>
      </w:r>
    </w:p>
    <w:p>
      <w:pPr>
        <w:pStyle w:val="Normal"/>
        <w:jc w:val="both"/>
        <w:rPr>
          <w:sz w:val="22"/>
        </w:rPr>
      </w:pPr>
      <w:r>
        <w:rPr>
          <w:sz w:val="22"/>
        </w:rPr>
      </w:r>
    </w:p>
    <w:p>
      <w:pPr>
        <w:pStyle w:val="Normal"/>
        <w:numPr>
          <w:ilvl w:val="0"/>
          <w:numId w:val="27"/>
        </w:numPr>
        <w:ind w:left="2160" w:hanging="360"/>
        <w:jc w:val="both"/>
        <w:rPr>
          <w:i/>
          <w:i/>
          <w:kern w:val="2"/>
          <w:sz w:val="22"/>
        </w:rPr>
      </w:pPr>
      <w:r>
        <w:rPr>
          <w:sz w:val="22"/>
        </w:rPr>
        <w:t>Garantir la confidencialitat, integritat, disponibilitat i resiliència permanents dels sistemes i serveis de tractament.</w:t>
      </w:r>
    </w:p>
    <w:p>
      <w:pPr>
        <w:pStyle w:val="Normal"/>
        <w:jc w:val="both"/>
        <w:rPr>
          <w:sz w:val="22"/>
        </w:rPr>
      </w:pPr>
      <w:r>
        <w:rPr>
          <w:sz w:val="22"/>
        </w:rPr>
      </w:r>
    </w:p>
    <w:p>
      <w:pPr>
        <w:pStyle w:val="Normal"/>
        <w:numPr>
          <w:ilvl w:val="0"/>
          <w:numId w:val="27"/>
        </w:numPr>
        <w:ind w:left="2160" w:hanging="360"/>
        <w:jc w:val="both"/>
        <w:rPr>
          <w:i/>
          <w:i/>
          <w:kern w:val="2"/>
          <w:sz w:val="22"/>
        </w:rPr>
      </w:pPr>
      <w:r>
        <w:rPr>
          <w:sz w:val="22"/>
        </w:rPr>
        <w:t>Restaurar la disponibilitat i l'accés a les dades personals de forma ràpida, en cas d'incident físic o tècnic.</w:t>
      </w:r>
    </w:p>
    <w:p>
      <w:pPr>
        <w:pStyle w:val="Normal"/>
        <w:jc w:val="both"/>
        <w:rPr>
          <w:sz w:val="22"/>
        </w:rPr>
      </w:pPr>
      <w:r>
        <w:rPr>
          <w:sz w:val="22"/>
        </w:rPr>
      </w:r>
    </w:p>
    <w:p>
      <w:pPr>
        <w:pStyle w:val="Normal"/>
        <w:numPr>
          <w:ilvl w:val="0"/>
          <w:numId w:val="27"/>
        </w:numPr>
        <w:ind w:left="2160" w:hanging="360"/>
        <w:jc w:val="both"/>
        <w:rPr>
          <w:i/>
          <w:i/>
          <w:kern w:val="2"/>
          <w:sz w:val="22"/>
        </w:rPr>
      </w:pPr>
      <w:r>
        <w:rPr>
          <w:sz w:val="22"/>
        </w:rPr>
        <w:t>Verificar, avaluar i valorar, de forma regular, l'eficàcia de les mesures tècniques i organitzatives implantades per garantir la seguretat del tractament.</w:t>
      </w:r>
    </w:p>
    <w:p>
      <w:pPr>
        <w:pStyle w:val="Normal"/>
        <w:jc w:val="both"/>
        <w:rPr>
          <w:sz w:val="22"/>
        </w:rPr>
      </w:pPr>
      <w:r>
        <w:rPr>
          <w:sz w:val="22"/>
        </w:rPr>
      </w:r>
    </w:p>
    <w:p>
      <w:pPr>
        <w:pStyle w:val="Normal"/>
        <w:numPr>
          <w:ilvl w:val="0"/>
          <w:numId w:val="27"/>
        </w:numPr>
        <w:ind w:left="2160" w:hanging="360"/>
        <w:jc w:val="both"/>
        <w:rPr>
          <w:i/>
          <w:i/>
          <w:kern w:val="2"/>
          <w:sz w:val="22"/>
        </w:rPr>
      </w:pPr>
      <w:r>
        <w:rPr>
          <w:sz w:val="22"/>
        </w:rPr>
        <w:t>Seudonimitzar i xifrar les dades personals, si escau.</w:t>
      </w:r>
    </w:p>
    <w:p>
      <w:pPr>
        <w:pStyle w:val="Normal"/>
        <w:jc w:val="both"/>
        <w:rPr>
          <w:sz w:val="22"/>
        </w:rPr>
      </w:pPr>
      <w:r>
        <w:rPr>
          <w:sz w:val="22"/>
        </w:rPr>
      </w:r>
    </w:p>
    <w:p>
      <w:pPr>
        <w:pStyle w:val="Normal"/>
        <w:ind w:left="709" w:hanging="0"/>
        <w:jc w:val="both"/>
        <w:rPr>
          <w:i/>
          <w:i/>
          <w:kern w:val="2"/>
          <w:sz w:val="22"/>
        </w:rPr>
      </w:pPr>
      <w:r>
        <w:rPr>
          <w:sz w:val="22"/>
        </w:rPr>
        <w:t>També ha d’adoptar totes aquelles altres mesures que, tenint en compte el conjunt de tractaments que duu a terme, siguin necessàries per garantir un nivell de seguretat adequat al risc.</w:t>
      </w:r>
      <w:bookmarkStart w:id="11" w:name="_Hlk511301611"/>
      <w:bookmarkEnd w:id="11"/>
    </w:p>
    <w:p>
      <w:pPr>
        <w:pStyle w:val="Normal"/>
        <w:ind w:left="709" w:hanging="0"/>
        <w:jc w:val="both"/>
        <w:rPr>
          <w:sz w:val="22"/>
        </w:rPr>
      </w:pPr>
      <w:r>
        <w:rPr>
          <w:sz w:val="22"/>
        </w:rPr>
      </w:r>
    </w:p>
    <w:p>
      <w:pPr>
        <w:pStyle w:val="Normal"/>
        <w:ind w:left="709" w:hanging="0"/>
        <w:jc w:val="both"/>
        <w:rPr>
          <w:i/>
          <w:i/>
          <w:kern w:val="2"/>
          <w:sz w:val="22"/>
        </w:rPr>
      </w:pPr>
      <w:r>
        <w:rPr>
          <w:sz w:val="22"/>
        </w:rPr>
        <w:t xml:space="preserve">La documentació relacionada amb la gestió dels riscos, incloent el resultat de les auditories periòdiques que es realitzin, pot ser sol·licitada en qualsevol moment pel responsable del tractament.    </w:t>
      </w:r>
    </w:p>
    <w:p>
      <w:pPr>
        <w:pStyle w:val="Normal"/>
        <w:jc w:val="both"/>
        <w:rPr>
          <w:i/>
          <w:i/>
          <w:kern w:val="2"/>
          <w:sz w:val="22"/>
        </w:rPr>
      </w:pPr>
      <w:r>
        <w:rPr>
          <w:rFonts w:eastAsia="Arial"/>
          <w:sz w:val="22"/>
        </w:rPr>
        <w:t xml:space="preserve">                         </w:t>
      </w:r>
    </w:p>
    <w:p>
      <w:pPr>
        <w:pStyle w:val="Normal"/>
        <w:jc w:val="both"/>
        <w:rPr>
          <w:sz w:val="22"/>
        </w:rPr>
      </w:pPr>
      <w:r>
        <w:rPr>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Designar un delegat de protecció de dades, si escau, i comunicar-ne la identitat i les dades de contacte al responsable.</w:t>
      </w:r>
    </w:p>
    <w:p>
      <w:pPr>
        <w:pStyle w:val="Normal"/>
        <w:jc w:val="both"/>
        <w:rPr>
          <w:i/>
          <w:i/>
          <w:kern w:val="2"/>
          <w:sz w:val="22"/>
        </w:rPr>
      </w:pPr>
      <w:r>
        <w:rPr>
          <w:rFonts w:eastAsia="Arial"/>
          <w:sz w:val="22"/>
        </w:rPr>
        <w:t xml:space="preserve">            </w:t>
      </w:r>
    </w:p>
    <w:p>
      <w:pPr>
        <w:pStyle w:val="Normal"/>
        <w:jc w:val="both"/>
        <w:rPr>
          <w:i/>
          <w:i/>
          <w:kern w:val="2"/>
          <w:sz w:val="22"/>
        </w:rPr>
      </w:pPr>
      <w:r>
        <w:rPr>
          <w:rFonts w:eastAsia="Arial"/>
          <w:sz w:val="22"/>
        </w:rPr>
        <w:t xml:space="preserve">           </w:t>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Destí de les dades.</w:t>
      </w:r>
    </w:p>
    <w:p>
      <w:pPr>
        <w:pStyle w:val="Normal"/>
        <w:jc w:val="both"/>
        <w:rPr>
          <w:b/>
          <w:b/>
          <w:i/>
          <w:i/>
          <w:sz w:val="22"/>
        </w:rPr>
      </w:pPr>
      <w:r>
        <w:rPr>
          <w:b/>
          <w:i/>
          <w:sz w:val="22"/>
        </w:rPr>
      </w:r>
    </w:p>
    <w:p>
      <w:pPr>
        <w:pStyle w:val="Prrafodelista1"/>
        <w:spacing w:before="0" w:after="0"/>
        <w:ind w:left="737" w:hanging="0"/>
        <w:contextualSpacing/>
        <w:jc w:val="both"/>
        <w:rPr>
          <w:i/>
          <w:i/>
          <w:kern w:val="2"/>
          <w:sz w:val="22"/>
        </w:rPr>
      </w:pPr>
      <w:r>
        <w:rPr>
          <w:rFonts w:cs="Arial" w:ascii="Arial" w:hAnsi="Arial"/>
          <w:sz w:val="22"/>
        </w:rPr>
        <w:t xml:space="preserve">Retornar al responsable del tractament les dades de caràcter personal i, si escau, els suports on constin, una vegada complerta la prestació. </w:t>
      </w:r>
    </w:p>
    <w:p>
      <w:pPr>
        <w:pStyle w:val="Prrafodelista1"/>
        <w:spacing w:before="0" w:after="0"/>
        <w:ind w:left="737" w:hanging="0"/>
        <w:contextualSpacing/>
        <w:jc w:val="both"/>
        <w:rPr>
          <w:i/>
          <w:i/>
          <w:kern w:val="2"/>
          <w:sz w:val="22"/>
        </w:rPr>
      </w:pPr>
      <w:r>
        <w:rPr>
          <w:rFonts w:eastAsia="Calibri" w:cs="Arial" w:ascii="Arial" w:hAnsi="Arial"/>
          <w:sz w:val="22"/>
          <w:szCs w:val="22"/>
          <w:lang w:bidi="ar-SA"/>
        </w:rPr>
        <w:t>Cal també que retorneu les dades que hagueu elaborat a partir de les dades facilitades per l’Ajuntament, i les que hagueu recollit per compte de l’Ajuntament amb posterioritat a la formalització del contracte. És a dir, tota la informació personal que s’hagi tractat per a l’execució de l’objecte del contracte.</w:t>
      </w:r>
    </w:p>
    <w:p>
      <w:pPr>
        <w:pStyle w:val="Prrafodelista1"/>
        <w:spacing w:before="0" w:after="0"/>
        <w:ind w:left="737" w:hanging="0"/>
        <w:contextualSpacing/>
        <w:jc w:val="both"/>
        <w:rPr>
          <w:i/>
          <w:i/>
          <w:kern w:val="2"/>
          <w:sz w:val="22"/>
        </w:rPr>
      </w:pPr>
      <w:r>
        <w:rPr>
          <w:rFonts w:eastAsia="Calibri" w:cs="Arial" w:ascii="Arial" w:hAnsi="Arial"/>
          <w:sz w:val="22"/>
          <w:szCs w:val="22"/>
          <w:lang w:bidi="ar-SA"/>
        </w:rPr>
        <w:t>El retorn de les dades s’haurà d’efectuar adoptant les mesures escaients per garantir-ne una seguretat adequada, particularment, als efectes d’evitar, durant el seu trasllat o traspàs a l’Ajuntament, accessos no autoritzats o il·lícits, així com la seva pèrdua, destrucció o dany accidental (article 5.1.f) RGPD). Aquestes mesures de seguretat hauran d’adequar-se en tot cas als criteris establerts a l’Esquema Nacional de Seguretat.</w:t>
      </w:r>
    </w:p>
    <w:p>
      <w:pPr>
        <w:pStyle w:val="Prrafodelista1"/>
        <w:spacing w:before="0" w:after="0"/>
        <w:ind w:left="737" w:hanging="0"/>
        <w:contextualSpacing/>
        <w:jc w:val="both"/>
        <w:rPr>
          <w:i/>
          <w:i/>
          <w:kern w:val="2"/>
          <w:sz w:val="22"/>
        </w:rPr>
      </w:pPr>
      <w:r>
        <w:rPr>
          <w:rFonts w:cs="Arial" w:ascii="Arial" w:hAnsi="Arial"/>
          <w:sz w:val="22"/>
        </w:rPr>
        <w:t xml:space="preserve">La devolució ha de comportar la destrucció de les còpies i l'esborrat total de les dades existents en els equips informàtics utilitzats per l'encarregat. </w:t>
      </w:r>
    </w:p>
    <w:p>
      <w:pPr>
        <w:pStyle w:val="Prrafodelista1"/>
        <w:spacing w:before="0" w:after="0"/>
        <w:ind w:left="737" w:hanging="0"/>
        <w:contextualSpacing/>
        <w:jc w:val="both"/>
        <w:rPr>
          <w:i/>
          <w:i/>
          <w:kern w:val="2"/>
          <w:sz w:val="22"/>
        </w:rPr>
      </w:pPr>
      <w:r>
        <w:rPr>
          <w:rFonts w:cs="Arial" w:ascii="Arial" w:hAnsi="Arial"/>
          <w:sz w:val="22"/>
        </w:rPr>
        <w:t>No obstant això, l'encarregat pot conservar-ne una còpia, amb les dades degudament bloquejades, mentre es puguin derivar responsabilitats de l'execució de la prestació.</w:t>
      </w:r>
      <w:r>
        <w:rPr>
          <w:rFonts w:cs="Arial" w:ascii="Arial" w:hAnsi="Arial"/>
          <w:color w:val="8D1D75"/>
          <w:sz w:val="22"/>
        </w:rPr>
        <w:t xml:space="preserve">  </w:t>
      </w:r>
    </w:p>
    <w:p>
      <w:pPr>
        <w:pStyle w:val="Prrafodelista1"/>
        <w:spacing w:before="0" w:after="0"/>
        <w:ind w:left="1416" w:hanging="0"/>
        <w:contextualSpacing/>
        <w:jc w:val="both"/>
        <w:rPr>
          <w:i/>
          <w:i/>
          <w:kern w:val="2"/>
          <w:sz w:val="22"/>
        </w:rPr>
      </w:pPr>
      <w:r>
        <w:rPr>
          <w:rFonts w:eastAsia="Arial" w:cs="Arial" w:ascii="Arial" w:hAnsi="Arial"/>
          <w:b/>
          <w:i/>
          <w:sz w:val="22"/>
        </w:rPr>
        <w:t xml:space="preserve">                     </w:t>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El contractista s’ha de sotmetre a la normativa nacional i de la Unió Europea en matèria de protecció de dades. Aquesta obligació té la condició d’obligació contractual essencial.</w:t>
      </w:r>
    </w:p>
    <w:p>
      <w:pPr>
        <w:pStyle w:val="Prrafodelista1"/>
        <w:spacing w:before="0" w:after="0"/>
        <w:ind w:left="1440" w:hanging="0"/>
        <w:contextualSpacing/>
        <w:jc w:val="both"/>
        <w:rPr>
          <w:rFonts w:ascii="Arial" w:hAnsi="Arial" w:cs="Arial"/>
          <w:sz w:val="22"/>
        </w:rPr>
      </w:pPr>
      <w:r>
        <w:rPr>
          <w:rFonts w:cs="Arial" w:ascii="Arial" w:hAnsi="Arial"/>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Quan l’execució del contracte impliqui la utilització de servidors per part del contractista, l’empresa adjudicatària ha de presentar, abans de formalitzar el contracte, i quan es produeixi qualsevol canvi durant l’execució del contracte, una declaració sobre el lloc on estaran ubicats els servidors i des d’on es prestaran els serveis associats a aquests.</w:t>
      </w:r>
    </w:p>
    <w:p>
      <w:pPr>
        <w:pStyle w:val="Prrafodelista1"/>
        <w:spacing w:before="0" w:after="0"/>
        <w:ind w:left="1440" w:hanging="0"/>
        <w:contextualSpacing/>
        <w:jc w:val="both"/>
        <w:rPr>
          <w:rFonts w:ascii="Arial" w:hAnsi="Arial" w:cs="Arial"/>
          <w:sz w:val="22"/>
        </w:rPr>
      </w:pPr>
      <w:r>
        <w:rPr>
          <w:rFonts w:cs="Arial" w:ascii="Arial" w:hAnsi="Arial"/>
          <w:sz w:val="22"/>
        </w:rPr>
      </w:r>
    </w:p>
    <w:p>
      <w:pPr>
        <w:pStyle w:val="Prrafodelista1"/>
        <w:numPr>
          <w:ilvl w:val="0"/>
          <w:numId w:val="25"/>
        </w:numPr>
        <w:tabs>
          <w:tab w:val="clear" w:pos="720"/>
          <w:tab w:val="left" w:pos="0" w:leader="none"/>
        </w:tabs>
        <w:spacing w:before="0" w:after="0"/>
        <w:contextualSpacing/>
        <w:jc w:val="both"/>
        <w:rPr>
          <w:i/>
          <w:i/>
          <w:kern w:val="2"/>
          <w:sz w:val="22"/>
        </w:rPr>
      </w:pPr>
      <w:r>
        <w:rPr>
          <w:rFonts w:cs="Arial" w:ascii="Arial" w:hAnsi="Arial"/>
          <w:sz w:val="22"/>
        </w:rPr>
        <w:t>Els licitadors han d’indicar a la seva oferta si tenen previst subcontractar els servidors o serveis associats a aquests i, en cas afirmatiu, el nom o el perfil empresarial dels subcontractistes, definit per referència a les condicions de solvència professional o tècnica.</w:t>
      </w:r>
    </w:p>
    <w:p>
      <w:pPr>
        <w:pStyle w:val="Normal"/>
        <w:jc w:val="both"/>
        <w:rPr>
          <w:i/>
          <w:i/>
          <w:kern w:val="2"/>
          <w:sz w:val="22"/>
        </w:rPr>
      </w:pPr>
      <w:r>
        <w:rPr>
          <w:rFonts w:eastAsia="Arial"/>
          <w:sz w:val="22"/>
        </w:rPr>
        <w:t xml:space="preserve">           </w:t>
      </w:r>
    </w:p>
    <w:p>
      <w:pPr>
        <w:pStyle w:val="Normal"/>
        <w:jc w:val="both"/>
        <w:rPr>
          <w:i/>
          <w:i/>
          <w:kern w:val="2"/>
          <w:sz w:val="22"/>
        </w:rPr>
      </w:pPr>
      <w:r>
        <w:rPr>
          <w:sz w:val="22"/>
        </w:rPr>
        <w:tab/>
      </w:r>
    </w:p>
    <w:p>
      <w:pPr>
        <w:pStyle w:val="Normal"/>
        <w:jc w:val="both"/>
        <w:rPr>
          <w:i/>
          <w:i/>
          <w:kern w:val="2"/>
          <w:sz w:val="22"/>
        </w:rPr>
      </w:pPr>
      <w:r>
        <w:rPr>
          <w:b/>
        </w:rPr>
        <w:t>5. Obligacions del responsable del tractament</w:t>
      </w:r>
    </w:p>
    <w:p>
      <w:pPr>
        <w:pStyle w:val="Normal"/>
        <w:jc w:val="both"/>
        <w:rPr>
          <w:b/>
          <w:b/>
        </w:rPr>
      </w:pPr>
      <w:r>
        <w:rPr>
          <w:b/>
        </w:rPr>
      </w:r>
    </w:p>
    <w:p>
      <w:pPr>
        <w:pStyle w:val="Normal"/>
        <w:jc w:val="both"/>
        <w:rPr>
          <w:i/>
          <w:i/>
          <w:kern w:val="2"/>
          <w:sz w:val="22"/>
        </w:rPr>
      </w:pPr>
      <w:r>
        <w:rPr>
          <w:sz w:val="22"/>
        </w:rPr>
        <w:t>Correspon al responsable del tractament:</w:t>
      </w:r>
    </w:p>
    <w:p>
      <w:pPr>
        <w:pStyle w:val="Normal"/>
        <w:jc w:val="both"/>
        <w:rPr>
          <w:sz w:val="22"/>
        </w:rPr>
      </w:pPr>
      <w:r>
        <w:rPr>
          <w:sz w:val="22"/>
        </w:rPr>
      </w:r>
    </w:p>
    <w:p>
      <w:pPr>
        <w:pStyle w:val="Normal"/>
        <w:numPr>
          <w:ilvl w:val="0"/>
          <w:numId w:val="28"/>
        </w:numPr>
        <w:tabs>
          <w:tab w:val="clear" w:pos="720"/>
          <w:tab w:val="left" w:pos="709" w:leader="none"/>
        </w:tabs>
        <w:ind w:left="709" w:hanging="0"/>
        <w:jc w:val="both"/>
        <w:rPr>
          <w:i/>
          <w:i/>
          <w:kern w:val="2"/>
          <w:sz w:val="22"/>
        </w:rPr>
      </w:pPr>
      <w:r>
        <w:rPr>
          <w:sz w:val="22"/>
        </w:rPr>
        <w:t>Lliurar a l'encarregat les dades a les quals es refereix la clàusula 2 d'aquest document.</w:t>
      </w:r>
    </w:p>
    <w:p>
      <w:pPr>
        <w:pStyle w:val="Normal"/>
        <w:tabs>
          <w:tab w:val="clear" w:pos="720"/>
          <w:tab w:val="left" w:pos="709" w:leader="none"/>
        </w:tabs>
        <w:jc w:val="both"/>
        <w:rPr>
          <w:sz w:val="22"/>
        </w:rPr>
      </w:pPr>
      <w:r>
        <w:rPr>
          <w:sz w:val="22"/>
        </w:rPr>
      </w:r>
    </w:p>
    <w:p>
      <w:pPr>
        <w:pStyle w:val="Normal"/>
        <w:numPr>
          <w:ilvl w:val="0"/>
          <w:numId w:val="28"/>
        </w:numPr>
        <w:tabs>
          <w:tab w:val="clear" w:pos="720"/>
          <w:tab w:val="left" w:pos="709" w:leader="none"/>
        </w:tabs>
        <w:ind w:left="709" w:hanging="0"/>
        <w:jc w:val="both"/>
        <w:rPr>
          <w:i/>
          <w:i/>
          <w:kern w:val="2"/>
          <w:sz w:val="22"/>
        </w:rPr>
      </w:pPr>
      <w:r>
        <w:rPr>
          <w:sz w:val="22"/>
        </w:rPr>
        <w:t>Fer una avaluació de l'impacte en la protecció de dades personals de les operacions de tractament que ha d’efectuar l'encarregat.</w:t>
      </w:r>
    </w:p>
    <w:p>
      <w:pPr>
        <w:pStyle w:val="Normal"/>
        <w:tabs>
          <w:tab w:val="clear" w:pos="720"/>
          <w:tab w:val="left" w:pos="709" w:leader="none"/>
        </w:tabs>
        <w:ind w:firstLine="6360"/>
        <w:jc w:val="both"/>
        <w:rPr>
          <w:i/>
          <w:i/>
          <w:kern w:val="2"/>
          <w:sz w:val="22"/>
        </w:rPr>
      </w:pPr>
      <w:r>
        <w:rPr>
          <w:i/>
          <w:kern w:val="2"/>
          <w:sz w:val="22"/>
        </w:rPr>
      </w:r>
    </w:p>
    <w:p>
      <w:pPr>
        <w:pStyle w:val="Normal"/>
        <w:numPr>
          <w:ilvl w:val="0"/>
          <w:numId w:val="28"/>
        </w:numPr>
        <w:tabs>
          <w:tab w:val="clear" w:pos="720"/>
          <w:tab w:val="left" w:pos="709" w:leader="none"/>
        </w:tabs>
        <w:ind w:left="709" w:hanging="0"/>
        <w:jc w:val="both"/>
        <w:rPr>
          <w:i/>
          <w:i/>
          <w:kern w:val="2"/>
          <w:sz w:val="22"/>
        </w:rPr>
      </w:pPr>
      <w:r>
        <w:rPr>
          <w:sz w:val="22"/>
        </w:rPr>
        <w:t>Fer les consultes prèvies que correspongui.</w:t>
      </w:r>
    </w:p>
    <w:p>
      <w:pPr>
        <w:pStyle w:val="Normal"/>
        <w:tabs>
          <w:tab w:val="clear" w:pos="720"/>
          <w:tab w:val="left" w:pos="709" w:leader="none"/>
        </w:tabs>
        <w:ind w:firstLine="1410"/>
        <w:jc w:val="both"/>
        <w:rPr>
          <w:i/>
          <w:i/>
          <w:kern w:val="2"/>
          <w:sz w:val="22"/>
        </w:rPr>
      </w:pPr>
      <w:r>
        <w:rPr>
          <w:i/>
          <w:kern w:val="2"/>
          <w:sz w:val="22"/>
        </w:rPr>
      </w:r>
    </w:p>
    <w:p>
      <w:pPr>
        <w:pStyle w:val="Normal"/>
        <w:numPr>
          <w:ilvl w:val="0"/>
          <w:numId w:val="28"/>
        </w:numPr>
        <w:tabs>
          <w:tab w:val="clear" w:pos="720"/>
          <w:tab w:val="left" w:pos="709" w:leader="none"/>
        </w:tabs>
        <w:ind w:left="709" w:hanging="0"/>
        <w:jc w:val="both"/>
        <w:rPr>
          <w:i/>
          <w:i/>
          <w:kern w:val="2"/>
          <w:sz w:val="22"/>
        </w:rPr>
      </w:pPr>
      <w:r>
        <w:rPr>
          <w:sz w:val="22"/>
        </w:rPr>
        <w:t>Vetllar, abans i durant tot el tractament, perquè l’encarregat compleixi l’RGPD.</w:t>
      </w:r>
    </w:p>
    <w:p>
      <w:pPr>
        <w:pStyle w:val="Prrafodelista1"/>
        <w:tabs>
          <w:tab w:val="clear" w:pos="720"/>
          <w:tab w:val="left" w:pos="709" w:leader="none"/>
        </w:tabs>
        <w:jc w:val="both"/>
        <w:rPr>
          <w:rFonts w:ascii="Arial" w:hAnsi="Arial" w:cs="Arial"/>
          <w:sz w:val="22"/>
        </w:rPr>
      </w:pPr>
      <w:r>
        <w:rPr>
          <w:rFonts w:cs="Arial" w:ascii="Arial" w:hAnsi="Arial"/>
          <w:sz w:val="22"/>
        </w:rPr>
      </w:r>
    </w:p>
    <w:p>
      <w:pPr>
        <w:pStyle w:val="Normal"/>
        <w:numPr>
          <w:ilvl w:val="0"/>
          <w:numId w:val="28"/>
        </w:numPr>
        <w:tabs>
          <w:tab w:val="clear" w:pos="720"/>
          <w:tab w:val="left" w:pos="709" w:leader="none"/>
        </w:tabs>
        <w:ind w:left="709" w:hanging="0"/>
        <w:jc w:val="both"/>
        <w:rPr>
          <w:i/>
          <w:i/>
          <w:kern w:val="2"/>
          <w:sz w:val="22"/>
        </w:rPr>
      </w:pPr>
      <w:r>
        <w:rPr>
          <w:sz w:val="22"/>
        </w:rPr>
        <w:t xml:space="preserve">Supervisar el tractament, inclosa l’execució d’inspeccions i auditories.    </w:t>
      </w:r>
    </w:p>
    <w:p>
      <w:pPr>
        <w:pStyle w:val="Normal"/>
        <w:tabs>
          <w:tab w:val="clear" w:pos="720"/>
          <w:tab w:val="left" w:pos="709" w:leader="none"/>
        </w:tabs>
        <w:rPr>
          <w:sz w:val="22"/>
        </w:rPr>
      </w:pPr>
      <w:r>
        <w:rPr>
          <w:sz w:val="22"/>
        </w:rPr>
      </w:r>
    </w:p>
    <w:p>
      <w:pPr>
        <w:pStyle w:val="Normal"/>
        <w:rPr>
          <w:i/>
          <w:i/>
          <w:kern w:val="2"/>
          <w:sz w:val="22"/>
        </w:rPr>
      </w:pPr>
      <w:r>
        <w:rPr>
          <w:rFonts w:eastAsia="Arial"/>
          <w:sz w:val="22"/>
        </w:rPr>
        <w:t xml:space="preserve">                                                           </w:t>
      </w:r>
    </w:p>
    <w:p>
      <w:pPr>
        <w:pStyle w:val="Normal"/>
        <w:rPr>
          <w:i/>
          <w:i/>
          <w:kern w:val="2"/>
          <w:sz w:val="22"/>
        </w:rPr>
      </w:pPr>
      <w:r>
        <w:rPr>
          <w:i/>
          <w:kern w:val="2"/>
          <w:sz w:val="22"/>
        </w:rPr>
      </w:r>
    </w:p>
    <w:p>
      <w:pPr>
        <w:pStyle w:val="PlainText"/>
        <w:rPr>
          <w:rFonts w:ascii="Arial" w:hAnsi="Arial" w:cs="Arial"/>
          <w:b/>
          <w:b/>
          <w:sz w:val="22"/>
        </w:rPr>
      </w:pPr>
      <w:r>
        <w:rPr>
          <w:rFonts w:cs="Arial" w:ascii="Arial" w:hAnsi="Arial"/>
          <w:b/>
          <w:sz w:val="22"/>
        </w:rPr>
        <w:t>Signatura electrònica del/de la declarant</w:t>
      </w:r>
    </w:p>
    <w:p>
      <w:pPr>
        <w:pStyle w:val="Normal"/>
        <w:rPr>
          <w:b/>
          <w:b/>
        </w:rPr>
      </w:pPr>
      <w:r>
        <w:rPr>
          <w:b/>
        </w:rPr>
      </w:r>
    </w:p>
    <w:p>
      <w:pPr>
        <w:pStyle w:val="Textosinformato3"/>
        <w:jc w:val="both"/>
        <w:rPr>
          <w:i/>
          <w:i/>
          <w:kern w:val="2"/>
          <w:sz w:val="22"/>
        </w:rPr>
      </w:pPr>
      <w:r>
        <w:rPr>
          <w:i/>
          <w:kern w:val="2"/>
          <w:sz w:val="22"/>
        </w:rPr>
      </w:r>
    </w:p>
    <w:p>
      <w:pPr>
        <w:pStyle w:val="Normal"/>
        <w:suppressAutoHyphens w:val="false"/>
        <w:jc w:val="both"/>
        <w:rPr>
          <w:i/>
          <w:i/>
          <w:kern w:val="2"/>
          <w:sz w:val="22"/>
        </w:rPr>
      </w:pPr>
      <w:r>
        <w:rPr/>
      </w:r>
    </w:p>
    <w:sectPr>
      <w:headerReference w:type="default" r:id="rId27"/>
      <w:footerReference w:type="default" r:id="rId28"/>
      <w:type w:val="nextPage"/>
      <w:pgSz w:w="11906" w:h="16838"/>
      <w:pgMar w:left="1080" w:right="1080" w:header="397" w:top="1440" w:footer="452"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Arial">
    <w:charset w:val="00"/>
    <w:family w:val="roman"/>
    <w:pitch w:val="variable"/>
  </w:font>
  <w:font w:name="Cambria">
    <w:charset w:val="00"/>
    <w:family w:val="roman"/>
    <w:pitch w:val="variable"/>
  </w:font>
  <w:font w:name="Calibri">
    <w:charset w:val="00"/>
    <w:family w:val="roman"/>
    <w:pitch w:val="variable"/>
  </w:font>
  <w:font w:name="Courier New">
    <w:charset w:val="00"/>
    <w:family w:val="roman"/>
    <w:pitch w:val="variable"/>
  </w:font>
  <w:font w:name="Symbol">
    <w:charset w:val="00"/>
    <w:family w:val="roman"/>
    <w:pitch w:val="variable"/>
  </w:font>
  <w:font w:name="Wingdings">
    <w:charset w:val="00"/>
    <w:family w:val="roman"/>
    <w:pitch w:val="variable"/>
  </w:font>
  <w:font w:name="Tahoma">
    <w:charset w:val="00"/>
    <w:family w:val="roman"/>
    <w:pitch w:val="variable"/>
  </w:font>
  <w:font w:name="OpenSymbol">
    <w:altName w:val="Arial Unicode MS"/>
    <w:charset w:val="00"/>
    <w:family w:val="roman"/>
    <w:pitch w:val="variable"/>
  </w:font>
  <w:font w:name="Liberation Sans">
    <w:altName w:val="Arial"/>
    <w:charset w:val="00"/>
    <w:family w:val="roman"/>
    <w:pitch w:val="variable"/>
  </w:font>
  <w:font w:name="Dutch">
    <w:altName w:val="Cambria"/>
    <w:charset w:val="00"/>
    <w:family w:val="roman"/>
    <w:pitch w:val="variable"/>
  </w:font>
  <w:font w:name="Arial MT">
    <w:charset w:val="00"/>
    <w:family w:val="roman"/>
    <w:pitch w:val="variable"/>
  </w:font>
  <w:font w:name="ArialNarrow">
    <w:altName w:val="MS Mincho"/>
    <w:charset w:val="00"/>
    <w:family w:val="roman"/>
    <w:pitch w:val="variable"/>
  </w:font>
  <w:font w:name="ArialMT">
    <w:altName w:val="MS Mincho"/>
    <w:charset w:val="00"/>
    <w:family w:val="roman"/>
    <w:pitch w:val="variable"/>
  </w:font>
  <w:font w:name="Arial-ItalicMT">
    <w:altName w:val="Arial"/>
    <w:charset w:val="00"/>
    <w:family w:val="roman"/>
    <w:pitch w:val="variable"/>
  </w:font>
  <w:font w:name="Helvetica">
    <w:altName w:val="Arial"/>
    <w:charset w:val="00"/>
    <w:family w:val="roman"/>
    <w:pitch w:val="variable"/>
  </w:font>
  <w:font w:name="ArialMT">
    <w:charset w:val="00"/>
    <w:family w:val="roman"/>
    <w:pitch w:val="variable"/>
  </w:font>
  <w:font w:name="Arial-BoldMT">
    <w:altName w:val="Arial"/>
    <w:charset w:val="00"/>
    <w:family w:val="roman"/>
    <w:pitch w:val="variable"/>
  </w:font>
  <w:font w:name="Times New Roman">
    <w:charset w:val="01"/>
    <w:family w:val="roman"/>
    <w:pitch w:val="variable"/>
  </w:font>
  <w:font w:name="Courier New">
    <w:charset w:val="01"/>
    <w:family w:val="modern"/>
    <w:pitch w:val="fixed"/>
  </w:font>
  <w:font w:name="Wingdings">
    <w:charset w:val="02"/>
    <w:family w:val="auto"/>
    <w:pitch w:val="variable"/>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Peudepgina"/>
      <w:jc w:val="right"/>
      <w:rPr/>
    </w:pPr>
    <w:r>
      <w:rPr/>
      <w:fldChar w:fldCharType="begin"/>
    </w:r>
    <w:r>
      <w:rPr/>
      <w:instrText> PAGE </w:instrText>
    </w:r>
    <w:r>
      <w:rPr/>
      <w:fldChar w:fldCharType="separate"/>
    </w:r>
    <w:r>
      <w:rPr/>
      <w:t>1</w:t>
    </w:r>
    <w:r>
      <w:rP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Peudepgina"/>
      <w:jc w:val="right"/>
      <w:rPr/>
    </w:pPr>
    <w:r>
      <w:rPr/>
      <w:fldChar w:fldCharType="begin"/>
    </w:r>
    <w:r>
      <w:rPr/>
      <w:instrText> PAGE </w:instrText>
    </w:r>
    <w:r>
      <w:rPr/>
      <w:fldChar w:fldCharType="separate"/>
    </w:r>
    <w:r>
      <w:rPr/>
      <w:t>73</w:t>
    </w:r>
    <w:r>
      <w:rPr/>
      <w:fldChar w:fldCharType="end"/>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apalera"/>
      <w:rPr/>
    </w:pPr>
    <w:r>
      <w:rPr/>
    </w:r>
  </w:p>
  <w:tbl>
    <w:tblPr>
      <w:tblW w:w="10028" w:type="dxa"/>
      <w:jc w:val="left"/>
      <w:tblInd w:w="-140" w:type="dxa"/>
      <w:tblLayout w:type="fixed"/>
      <w:tblCellMar>
        <w:top w:w="0" w:type="dxa"/>
        <w:left w:w="70" w:type="dxa"/>
        <w:bottom w:w="0" w:type="dxa"/>
        <w:right w:w="70" w:type="dxa"/>
      </w:tblCellMar>
      <w:tblLook w:firstRow="0" w:noVBand="0" w:lastRow="0" w:firstColumn="0" w:lastColumn="0" w:noHBand="0" w:val="0000"/>
    </w:tblPr>
    <w:tblGrid>
      <w:gridCol w:w="3711"/>
      <w:gridCol w:w="6316"/>
    </w:tblGrid>
    <w:tr>
      <w:trPr>
        <w:trHeight w:val="1522" w:hRule="atLeast"/>
      </w:trPr>
      <w:tc>
        <w:tcPr>
          <w:tcW w:w="3711" w:type="dxa"/>
          <w:tcBorders/>
          <w:vAlign w:val="center"/>
        </w:tcPr>
        <w:p>
          <w:pPr>
            <w:pStyle w:val="Capalera"/>
            <w:widowControl w:val="false"/>
            <w:snapToGrid w:val="false"/>
            <w:ind w:right="-4724" w:hanging="0"/>
            <w:rPr/>
          </w:pPr>
          <w:r>
            <w:rPr/>
            <w:drawing>
              <wp:inline distT="0" distB="0" distL="0" distR="0">
                <wp:extent cx="1957070" cy="351790"/>
                <wp:effectExtent l="0" t="0" r="0" b="0"/>
                <wp:docPr id="2" name="Imagen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descr=""/>
                        <pic:cNvPicPr>
                          <a:picLocks noChangeAspect="1" noChangeArrowheads="1"/>
                        </pic:cNvPicPr>
                      </pic:nvPicPr>
                      <pic:blipFill>
                        <a:blip r:embed="rId1"/>
                        <a:stretch>
                          <a:fillRect/>
                        </a:stretch>
                      </pic:blipFill>
                      <pic:spPr bwMode="auto">
                        <a:xfrm>
                          <a:off x="0" y="0"/>
                          <a:ext cx="1957070" cy="351790"/>
                        </a:xfrm>
                        <a:prstGeom prst="rect">
                          <a:avLst/>
                        </a:prstGeom>
                      </pic:spPr>
                    </pic:pic>
                  </a:graphicData>
                </a:graphic>
              </wp:inline>
            </w:drawing>
          </w:r>
        </w:p>
        <w:p>
          <w:pPr>
            <w:pStyle w:val="Capalera"/>
            <w:widowControl w:val="false"/>
            <w:ind w:right="-4724" w:hanging="0"/>
            <w:rPr/>
          </w:pPr>
          <w:r>
            <w:rPr/>
          </w:r>
        </w:p>
        <w:p>
          <w:pPr>
            <w:pStyle w:val="Capalera"/>
            <w:widowControl w:val="false"/>
            <w:ind w:right="-4724" w:hanging="0"/>
            <w:rPr>
              <w:rFonts w:eastAsia="Times New Roman"/>
            </w:rPr>
          </w:pPr>
          <w:r>
            <w:rPr>
              <w:rFonts w:eastAsia="Times New Roman"/>
            </w:rPr>
          </w:r>
        </w:p>
        <w:p>
          <w:pPr>
            <w:pStyle w:val="Capalera"/>
            <w:widowControl w:val="false"/>
            <w:ind w:right="-4724" w:hanging="0"/>
            <w:rPr/>
          </w:pPr>
          <w:r>
            <w:rPr/>
          </w:r>
        </w:p>
        <w:p>
          <w:pPr>
            <w:pStyle w:val="Capalera"/>
            <w:widowControl w:val="false"/>
            <w:ind w:right="-4724" w:hanging="0"/>
            <w:rPr/>
          </w:pPr>
          <w:r>
            <w:rPr/>
          </w:r>
        </w:p>
      </w:tc>
      <w:tc>
        <w:tcPr>
          <w:tcW w:w="6316" w:type="dxa"/>
          <w:tcBorders/>
          <w:vAlign w:val="center"/>
        </w:tcPr>
        <w:p>
          <w:pPr>
            <w:pStyle w:val="Capalera"/>
            <w:widowControl w:val="false"/>
            <w:jc w:val="right"/>
            <w:rPr>
              <w:b/>
              <w:b/>
              <w:sz w:val="18"/>
            </w:rPr>
          </w:pPr>
          <w:r>
            <w:rPr>
              <w:b/>
              <w:sz w:val="18"/>
            </w:rPr>
            <w:t>Servei de Contractació</w:t>
          </w:r>
        </w:p>
        <w:p>
          <w:pPr>
            <w:pStyle w:val="Capalera"/>
            <w:widowControl w:val="false"/>
            <w:jc w:val="right"/>
            <w:rPr>
              <w:sz w:val="18"/>
            </w:rPr>
          </w:pPr>
          <w:r>
            <w:rPr>
              <w:sz w:val="18"/>
            </w:rPr>
            <w:t>Plaça Didó, 5</w:t>
          </w:r>
        </w:p>
        <w:p>
          <w:pPr>
            <w:pStyle w:val="Capalera"/>
            <w:widowControl w:val="false"/>
            <w:jc w:val="right"/>
            <w:rPr>
              <w:sz w:val="18"/>
            </w:rPr>
          </w:pPr>
          <w:r>
            <w:rPr>
              <w:sz w:val="18"/>
            </w:rPr>
            <w:t>08221 Terrassa</w:t>
          </w:r>
        </w:p>
        <w:p>
          <w:pPr>
            <w:pStyle w:val="Capalera"/>
            <w:widowControl w:val="false"/>
            <w:jc w:val="right"/>
            <w:rPr>
              <w:sz w:val="18"/>
            </w:rPr>
          </w:pPr>
          <w:r>
            <w:rPr>
              <w:sz w:val="18"/>
            </w:rPr>
            <w:t>Tel. 93 739 70 00</w:t>
          </w:r>
        </w:p>
        <w:p>
          <w:pPr>
            <w:pStyle w:val="Capalera"/>
            <w:widowControl w:val="false"/>
            <w:jc w:val="right"/>
            <w:rPr/>
          </w:pPr>
          <w:hyperlink r:id="rId2">
            <w:r>
              <w:rPr>
                <w:rStyle w:val="EnlacedeInternet"/>
                <w:rFonts w:cs="Times New Roman"/>
                <w:sz w:val="18"/>
              </w:rPr>
              <w:t>contractacio@terrassa.cat</w:t>
            </w:r>
          </w:hyperlink>
        </w:p>
        <w:p>
          <w:pPr>
            <w:pStyle w:val="Capalera"/>
            <w:widowControl w:val="false"/>
            <w:jc w:val="right"/>
            <w:rPr>
              <w:sz w:val="18"/>
            </w:rPr>
          </w:pPr>
          <w:hyperlink r:id="rId3">
            <w:r>
              <w:rPr>
                <w:rStyle w:val="EnlacedeInternet"/>
                <w:rFonts w:cs="Times New Roman"/>
                <w:sz w:val="18"/>
              </w:rPr>
              <w:t>http://seuelectronica.terrassa.cat/web/seu/perfil-de-contractant</w:t>
            </w:r>
          </w:hyperlink>
        </w:p>
      </w:tc>
    </w:tr>
    <w:tr>
      <w:trPr>
        <w:trHeight w:val="658" w:hRule="atLeast"/>
      </w:trPr>
      <w:tc>
        <w:tcPr>
          <w:tcW w:w="3711" w:type="dxa"/>
          <w:tcBorders/>
        </w:tcPr>
        <w:p>
          <w:pPr>
            <w:pStyle w:val="Capalera"/>
            <w:widowControl w:val="false"/>
            <w:snapToGrid w:val="false"/>
            <w:ind w:right="-4724" w:hanging="0"/>
            <w:rPr>
              <w:sz w:val="18"/>
            </w:rPr>
          </w:pPr>
          <w:r>
            <w:rPr>
              <w:sz w:val="18"/>
            </w:rPr>
          </w:r>
        </w:p>
      </w:tc>
      <w:tc>
        <w:tcPr>
          <w:tcW w:w="6316" w:type="dxa"/>
          <w:tcBorders/>
        </w:tcPr>
        <w:p>
          <w:pPr>
            <w:pStyle w:val="Capalera"/>
            <w:widowControl w:val="false"/>
            <w:spacing w:before="60" w:after="60"/>
            <w:jc w:val="right"/>
            <w:rPr>
              <w:shd w:fill="auto" w:val="clear"/>
            </w:rPr>
          </w:pPr>
          <w:r>
            <w:rPr>
              <w:shd w:fill="auto" w:val="clear"/>
            </w:rPr>
            <w:t>Ref.: Expedient ECAS-08257/2024</w:t>
          </w:r>
        </w:p>
        <w:p>
          <w:pPr>
            <w:pStyle w:val="Capalera"/>
            <w:widowControl w:val="false"/>
            <w:spacing w:before="60" w:after="60"/>
            <w:jc w:val="right"/>
            <w:rPr/>
          </w:pPr>
          <w:r>
            <w:rPr/>
          </w:r>
        </w:p>
      </w:tc>
    </w:tr>
  </w:tbl>
  <w:p>
    <w:pPr>
      <w:pStyle w:val="Capalera"/>
      <w:rPr/>
    </w:pPr>
    <w:r>
      <w:rPr/>
    </w:r>
  </w:p>
  <w:p>
    <w:pPr>
      <w:pStyle w:val="Capalera"/>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apalera"/>
      <w:rPr/>
    </w:pPr>
    <w:r>
      <w:rPr/>
    </w:r>
  </w:p>
  <w:tbl>
    <w:tblPr>
      <w:tblW w:w="10028" w:type="dxa"/>
      <w:jc w:val="left"/>
      <w:tblInd w:w="-140" w:type="dxa"/>
      <w:tblLayout w:type="fixed"/>
      <w:tblCellMar>
        <w:top w:w="0" w:type="dxa"/>
        <w:left w:w="70" w:type="dxa"/>
        <w:bottom w:w="0" w:type="dxa"/>
        <w:right w:w="70" w:type="dxa"/>
      </w:tblCellMar>
      <w:tblLook w:firstRow="0" w:noVBand="0" w:lastRow="0" w:firstColumn="0" w:lastColumn="0" w:noHBand="0" w:val="0000"/>
    </w:tblPr>
    <w:tblGrid>
      <w:gridCol w:w="3711"/>
      <w:gridCol w:w="6316"/>
    </w:tblGrid>
    <w:tr>
      <w:trPr>
        <w:trHeight w:val="1522" w:hRule="atLeast"/>
      </w:trPr>
      <w:tc>
        <w:tcPr>
          <w:tcW w:w="3711" w:type="dxa"/>
          <w:tcBorders/>
          <w:vAlign w:val="center"/>
        </w:tcPr>
        <w:p>
          <w:pPr>
            <w:pStyle w:val="Capalera"/>
            <w:widowControl w:val="false"/>
            <w:snapToGrid w:val="false"/>
            <w:ind w:right="-4724" w:hanging="0"/>
            <w:rPr/>
          </w:pPr>
          <w:r>
            <w:rPr/>
            <w:drawing>
              <wp:inline distT="0" distB="0" distL="0" distR="0">
                <wp:extent cx="1957070" cy="351790"/>
                <wp:effectExtent l="0" t="0" r="0" b="0"/>
                <wp:docPr id="4" name="Imat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tge2" descr=""/>
                        <pic:cNvPicPr>
                          <a:picLocks noChangeAspect="1" noChangeArrowheads="1"/>
                        </pic:cNvPicPr>
                      </pic:nvPicPr>
                      <pic:blipFill>
                        <a:blip r:embed="rId1"/>
                        <a:stretch>
                          <a:fillRect/>
                        </a:stretch>
                      </pic:blipFill>
                      <pic:spPr bwMode="auto">
                        <a:xfrm>
                          <a:off x="0" y="0"/>
                          <a:ext cx="1957070" cy="351790"/>
                        </a:xfrm>
                        <a:prstGeom prst="rect">
                          <a:avLst/>
                        </a:prstGeom>
                      </pic:spPr>
                    </pic:pic>
                  </a:graphicData>
                </a:graphic>
              </wp:inline>
            </w:drawing>
          </w:r>
        </w:p>
        <w:p>
          <w:pPr>
            <w:pStyle w:val="Capalera"/>
            <w:widowControl w:val="false"/>
            <w:ind w:right="-4724" w:hanging="0"/>
            <w:rPr/>
          </w:pPr>
          <w:r>
            <w:rPr/>
          </w:r>
        </w:p>
        <w:p>
          <w:pPr>
            <w:pStyle w:val="Capalera"/>
            <w:widowControl w:val="false"/>
            <w:ind w:right="-4724" w:hanging="0"/>
            <w:rPr>
              <w:rFonts w:eastAsia="Times New Roman"/>
            </w:rPr>
          </w:pPr>
          <w:r>
            <w:rPr>
              <w:rFonts w:eastAsia="Times New Roman"/>
            </w:rPr>
          </w:r>
        </w:p>
        <w:p>
          <w:pPr>
            <w:pStyle w:val="Capalera"/>
            <w:widowControl w:val="false"/>
            <w:ind w:right="-4724" w:hanging="0"/>
            <w:rPr/>
          </w:pPr>
          <w:r>
            <w:rPr/>
          </w:r>
        </w:p>
        <w:p>
          <w:pPr>
            <w:pStyle w:val="Capalera"/>
            <w:widowControl w:val="false"/>
            <w:ind w:right="-4724" w:hanging="0"/>
            <w:rPr/>
          </w:pPr>
          <w:r>
            <w:rPr/>
          </w:r>
        </w:p>
      </w:tc>
      <w:tc>
        <w:tcPr>
          <w:tcW w:w="6316" w:type="dxa"/>
          <w:tcBorders/>
          <w:vAlign w:val="center"/>
        </w:tcPr>
        <w:p>
          <w:pPr>
            <w:pStyle w:val="Capalera"/>
            <w:widowControl w:val="false"/>
            <w:jc w:val="right"/>
            <w:rPr>
              <w:b/>
              <w:b/>
              <w:sz w:val="18"/>
            </w:rPr>
          </w:pPr>
          <w:r>
            <w:rPr>
              <w:b/>
              <w:sz w:val="18"/>
            </w:rPr>
            <w:t>Servei de Contractació</w:t>
          </w:r>
        </w:p>
        <w:p>
          <w:pPr>
            <w:pStyle w:val="Capalera"/>
            <w:widowControl w:val="false"/>
            <w:jc w:val="right"/>
            <w:rPr>
              <w:sz w:val="18"/>
            </w:rPr>
          </w:pPr>
          <w:r>
            <w:rPr>
              <w:sz w:val="18"/>
            </w:rPr>
            <w:t>Plaça Didó, 5</w:t>
          </w:r>
        </w:p>
        <w:p>
          <w:pPr>
            <w:pStyle w:val="Capalera"/>
            <w:widowControl w:val="false"/>
            <w:jc w:val="right"/>
            <w:rPr>
              <w:sz w:val="18"/>
            </w:rPr>
          </w:pPr>
          <w:r>
            <w:rPr>
              <w:sz w:val="18"/>
            </w:rPr>
            <w:t>08221 Terrassa</w:t>
          </w:r>
        </w:p>
        <w:p>
          <w:pPr>
            <w:pStyle w:val="Capalera"/>
            <w:widowControl w:val="false"/>
            <w:jc w:val="right"/>
            <w:rPr>
              <w:sz w:val="18"/>
            </w:rPr>
          </w:pPr>
          <w:r>
            <w:rPr>
              <w:sz w:val="18"/>
            </w:rPr>
            <w:t>Tel. 93 739 70 00</w:t>
          </w:r>
        </w:p>
        <w:p>
          <w:pPr>
            <w:pStyle w:val="Capalera"/>
            <w:widowControl w:val="false"/>
            <w:jc w:val="right"/>
            <w:rPr/>
          </w:pPr>
          <w:hyperlink r:id="rId2">
            <w:r>
              <w:rPr>
                <w:rStyle w:val="EnlacedeInternet"/>
                <w:rFonts w:cs="Times New Roman"/>
                <w:sz w:val="18"/>
              </w:rPr>
              <w:t>contractacio@terrassa.cat</w:t>
            </w:r>
          </w:hyperlink>
        </w:p>
        <w:p>
          <w:pPr>
            <w:pStyle w:val="Capalera"/>
            <w:widowControl w:val="false"/>
            <w:jc w:val="right"/>
            <w:rPr>
              <w:sz w:val="18"/>
            </w:rPr>
          </w:pPr>
          <w:hyperlink r:id="rId3">
            <w:r>
              <w:rPr>
                <w:rStyle w:val="EnlacedeInternet"/>
                <w:rFonts w:cs="Times New Roman"/>
                <w:sz w:val="18"/>
              </w:rPr>
              <w:t>http://seuelectronica.terrassa.cat/web/seu/perfil-de-contractant</w:t>
            </w:r>
          </w:hyperlink>
        </w:p>
      </w:tc>
    </w:tr>
    <w:tr>
      <w:trPr>
        <w:trHeight w:val="658" w:hRule="atLeast"/>
      </w:trPr>
      <w:tc>
        <w:tcPr>
          <w:tcW w:w="3711" w:type="dxa"/>
          <w:tcBorders/>
        </w:tcPr>
        <w:p>
          <w:pPr>
            <w:pStyle w:val="Capalera"/>
            <w:widowControl w:val="false"/>
            <w:snapToGrid w:val="false"/>
            <w:ind w:right="-4724" w:hanging="0"/>
            <w:rPr>
              <w:sz w:val="18"/>
            </w:rPr>
          </w:pPr>
          <w:r>
            <w:rPr>
              <w:sz w:val="18"/>
            </w:rPr>
          </w:r>
        </w:p>
      </w:tc>
      <w:tc>
        <w:tcPr>
          <w:tcW w:w="6316" w:type="dxa"/>
          <w:tcBorders/>
        </w:tcPr>
        <w:p>
          <w:pPr>
            <w:pStyle w:val="Capalera"/>
            <w:widowControl w:val="false"/>
            <w:spacing w:before="60" w:after="60"/>
            <w:jc w:val="right"/>
            <w:rPr>
              <w:shd w:fill="auto" w:val="clear"/>
            </w:rPr>
          </w:pPr>
          <w:r>
            <w:rPr>
              <w:shd w:fill="auto" w:val="clear"/>
            </w:rPr>
            <w:t>Ref.: Expedient ECAS-08257/2024</w:t>
          </w:r>
        </w:p>
        <w:p>
          <w:pPr>
            <w:pStyle w:val="Capalera"/>
            <w:widowControl w:val="false"/>
            <w:spacing w:before="60" w:after="60"/>
            <w:jc w:val="right"/>
            <w:rPr/>
          </w:pPr>
          <w:r>
            <w:rPr/>
          </w:r>
        </w:p>
      </w:tc>
    </w:tr>
  </w:tbl>
  <w:p>
    <w:pPr>
      <w:pStyle w:val="Capalera"/>
      <w:rPr/>
    </w:pPr>
    <w:r>
      <w:rPr/>
    </w:r>
  </w:p>
  <w:p>
    <w:pPr>
      <w:pStyle w:val="Capalera"/>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pStyle w:val="Encapalament1"/>
      <w:numFmt w:val="none"/>
      <w:suff w:val="nothing"/>
      <w:lvlText w:val=""/>
      <w:lvlJc w:val="left"/>
      <w:pPr>
        <w:tabs>
          <w:tab w:val="num" w:pos="0"/>
        </w:tabs>
        <w:ind w:left="0" w:hanging="0"/>
      </w:pPr>
      <w:rPr>
        <w:rFonts w:cs="Times New Roman"/>
      </w:rPr>
    </w:lvl>
    <w:lvl w:ilvl="1">
      <w:start w:val="1"/>
      <w:pStyle w:val="Encapalament2"/>
      <w:numFmt w:val="none"/>
      <w:suff w:val="nothing"/>
      <w:lvlText w:val=""/>
      <w:lvlJc w:val="left"/>
      <w:pPr>
        <w:tabs>
          <w:tab w:val="num" w:pos="0"/>
        </w:tabs>
        <w:ind w:left="0" w:hanging="0"/>
      </w:pPr>
      <w:rPr>
        <w:rFonts w:cs="Times New Roman"/>
      </w:rPr>
    </w:lvl>
    <w:lvl w:ilvl="2">
      <w:start w:val="1"/>
      <w:pStyle w:val="Encapalament3"/>
      <w:numFmt w:val="none"/>
      <w:suff w:val="nothing"/>
      <w:lvlText w:val=""/>
      <w:lvlJc w:val="left"/>
      <w:pPr>
        <w:tabs>
          <w:tab w:val="num" w:pos="0"/>
        </w:tabs>
        <w:ind w:left="0" w:hanging="0"/>
      </w:pPr>
      <w:rPr>
        <w:rFonts w:cs="Times New Roman"/>
      </w:rPr>
    </w:lvl>
    <w:lvl w:ilvl="3">
      <w:start w:val="1"/>
      <w:pStyle w:val="Encapalament4"/>
      <w:numFmt w:val="none"/>
      <w:suff w:val="nothing"/>
      <w:lvlText w:val=""/>
      <w:lvlJc w:val="left"/>
      <w:pPr>
        <w:tabs>
          <w:tab w:val="num" w:pos="0"/>
        </w:tabs>
        <w:ind w:left="0" w:hanging="0"/>
      </w:pPr>
      <w:rPr>
        <w:rFonts w:cs="Times New Roman"/>
      </w:rPr>
    </w:lvl>
    <w:lvl w:ilvl="4">
      <w:start w:val="1"/>
      <w:pStyle w:val="Encapalament5"/>
      <w:numFmt w:val="none"/>
      <w:suff w:val="nothing"/>
      <w:lvlText w:val=""/>
      <w:lvlJc w:val="left"/>
      <w:pPr>
        <w:tabs>
          <w:tab w:val="num" w:pos="0"/>
        </w:tabs>
        <w:ind w:left="0" w:hanging="0"/>
      </w:pPr>
      <w:rPr>
        <w:rFonts w:cs="Times New Roman"/>
      </w:rPr>
    </w:lvl>
    <w:lvl w:ilvl="5">
      <w:start w:val="1"/>
      <w:pStyle w:val="Encapalament6"/>
      <w:numFmt w:val="none"/>
      <w:suff w:val="nothing"/>
      <w:lvlText w:val=""/>
      <w:lvlJc w:val="left"/>
      <w:pPr>
        <w:tabs>
          <w:tab w:val="num" w:pos="0"/>
        </w:tabs>
        <w:ind w:left="0" w:hanging="0"/>
      </w:pPr>
      <w:rPr>
        <w:rFonts w:cs="Times New Roman"/>
      </w:rPr>
    </w:lvl>
    <w:lvl w:ilvl="6">
      <w:start w:val="1"/>
      <w:pStyle w:val="Encapalament7"/>
      <w:numFmt w:val="none"/>
      <w:suff w:val="nothing"/>
      <w:lvlText w:val=""/>
      <w:lvlJc w:val="left"/>
      <w:pPr>
        <w:tabs>
          <w:tab w:val="num" w:pos="0"/>
        </w:tabs>
        <w:ind w:left="0" w:hanging="0"/>
      </w:pPr>
      <w:rPr>
        <w:b w:val="false"/>
        <w:rFonts w:cs="Times New Roman"/>
      </w:rPr>
    </w:lvl>
    <w:lvl w:ilvl="7">
      <w:start w:val="1"/>
      <w:pStyle w:val="Encapalament8"/>
      <w:numFmt w:val="none"/>
      <w:suff w:val="nothing"/>
      <w:lvlText w:val=""/>
      <w:lvlJc w:val="left"/>
      <w:pPr>
        <w:tabs>
          <w:tab w:val="num" w:pos="0"/>
        </w:tabs>
        <w:ind w:left="0" w:hanging="0"/>
      </w:pPr>
      <w:rPr>
        <w:rFonts w:cs="Times New Roman"/>
      </w:rPr>
    </w:lvl>
    <w:lvl w:ilvl="8">
      <w:start w:val="1"/>
      <w:pStyle w:val="Encapalament9"/>
      <w:numFmt w:val="none"/>
      <w:suff w:val="nothing"/>
      <w:lvlText w:val=""/>
      <w:lvlJc w:val="left"/>
      <w:pPr>
        <w:tabs>
          <w:tab w:val="num" w:pos="0"/>
        </w:tabs>
        <w:ind w:left="0" w:hanging="0"/>
      </w:pPr>
      <w:rPr>
        <w:rFonts w:cs="Times New Roman"/>
      </w:rPr>
    </w:lvl>
  </w:abstractNum>
  <w:abstractNum w:abstractNumId="2">
    <w:lvl w:ilvl="0">
      <w:start w:val="1"/>
      <w:numFmt w:val="none"/>
      <w:suff w:val="nothing"/>
      <w:lvlText w:val=""/>
      <w:lvlJc w:val="left"/>
      <w:pPr>
        <w:tabs>
          <w:tab w:val="num" w:pos="0"/>
        </w:tabs>
        <w:ind w:left="0" w:hanging="0"/>
      </w:pPr>
      <w:rPr>
        <w:rFonts w:cs="Times New Roman"/>
      </w:rPr>
    </w:lvl>
    <w:lvl w:ilvl="1">
      <w:start w:val="1"/>
      <w:numFmt w:val="none"/>
      <w:suff w:val="nothing"/>
      <w:lvlText w:val=""/>
      <w:lvlJc w:val="left"/>
      <w:pPr>
        <w:tabs>
          <w:tab w:val="num" w:pos="0"/>
        </w:tabs>
        <w:ind w:left="0" w:hanging="0"/>
      </w:pPr>
      <w:rPr>
        <w:rFonts w:cs="Times New Roman"/>
      </w:rPr>
    </w:lvl>
    <w:lvl w:ilvl="2">
      <w:start w:val="1"/>
      <w:numFmt w:val="none"/>
      <w:suff w:val="nothing"/>
      <w:lvlText w:val=""/>
      <w:lvlJc w:val="left"/>
      <w:pPr>
        <w:tabs>
          <w:tab w:val="num" w:pos="0"/>
        </w:tabs>
        <w:ind w:left="0" w:hanging="0"/>
      </w:pPr>
      <w:rPr>
        <w:rFonts w:cs="Times New Roman"/>
      </w:rPr>
    </w:lvl>
    <w:lvl w:ilvl="3">
      <w:start w:val="1"/>
      <w:numFmt w:val="none"/>
      <w:suff w:val="nothing"/>
      <w:lvlText w:val=""/>
      <w:lvlJc w:val="left"/>
      <w:pPr>
        <w:tabs>
          <w:tab w:val="num" w:pos="0"/>
        </w:tabs>
        <w:ind w:left="0" w:hanging="0"/>
      </w:pPr>
      <w:rPr>
        <w:rFonts w:cs="Times New Roman"/>
      </w:rPr>
    </w:lvl>
    <w:lvl w:ilvl="4">
      <w:start w:val="1"/>
      <w:numFmt w:val="none"/>
      <w:suff w:val="nothing"/>
      <w:lvlText w:val=""/>
      <w:lvlJc w:val="left"/>
      <w:pPr>
        <w:tabs>
          <w:tab w:val="num" w:pos="0"/>
        </w:tabs>
        <w:ind w:left="0" w:hanging="0"/>
      </w:pPr>
      <w:rPr>
        <w:rFonts w:cs="Times New Roman"/>
      </w:rPr>
    </w:lvl>
    <w:lvl w:ilvl="5">
      <w:start w:val="1"/>
      <w:numFmt w:val="none"/>
      <w:suff w:val="nothing"/>
      <w:lvlText w:val=""/>
      <w:lvlJc w:val="left"/>
      <w:pPr>
        <w:tabs>
          <w:tab w:val="num" w:pos="0"/>
        </w:tabs>
        <w:ind w:left="0" w:hanging="0"/>
      </w:pPr>
      <w:rPr>
        <w:rFonts w:cs="Times New Roman"/>
      </w:rPr>
    </w:lvl>
    <w:lvl w:ilvl="6">
      <w:start w:val="1"/>
      <w:numFmt w:val="none"/>
      <w:suff w:val="nothing"/>
      <w:lvlText w:val=""/>
      <w:lvlJc w:val="left"/>
      <w:pPr>
        <w:tabs>
          <w:tab w:val="num" w:pos="0"/>
        </w:tabs>
        <w:ind w:left="0" w:hanging="0"/>
      </w:pPr>
      <w:rPr>
        <w:b w:val="false"/>
        <w:rFonts w:cs="Times New Roman"/>
      </w:rPr>
    </w:lvl>
    <w:lvl w:ilvl="7">
      <w:start w:val="1"/>
      <w:numFmt w:val="none"/>
      <w:suff w:val="nothing"/>
      <w:lvlText w:val=""/>
      <w:lvlJc w:val="left"/>
      <w:pPr>
        <w:tabs>
          <w:tab w:val="num" w:pos="0"/>
        </w:tabs>
        <w:ind w:left="0" w:hanging="0"/>
      </w:pPr>
      <w:rPr>
        <w:rFonts w:cs="Times New Roman"/>
      </w:rPr>
    </w:lvl>
    <w:lvl w:ilvl="8">
      <w:start w:val="1"/>
      <w:numFmt w:val="none"/>
      <w:suff w:val="nothing"/>
      <w:lvlText w:val=""/>
      <w:lvlJc w:val="left"/>
      <w:pPr>
        <w:tabs>
          <w:tab w:val="num" w:pos="0"/>
        </w:tabs>
        <w:ind w:left="0" w:hanging="0"/>
      </w:pPr>
      <w:rPr>
        <w:rFonts w:cs="Times New Roman"/>
      </w:rPr>
    </w:lvl>
  </w:abstractNum>
  <w:abstractNum w:abstractNumId="3">
    <w:lvl w:ilvl="0">
      <w:start w:val="1"/>
      <w:numFmt w:val="none"/>
      <w:suff w:val="nothing"/>
      <w:lvlText w:val=""/>
      <w:lvlJc w:val="left"/>
      <w:pPr>
        <w:tabs>
          <w:tab w:val="num" w:pos="0"/>
        </w:tabs>
        <w:ind w:left="0" w:hanging="0"/>
      </w:pPr>
      <w:rPr>
        <w:sz w:val="22"/>
        <w:b/>
        <w:szCs w:val="22"/>
        <w:bCs/>
        <w:rFonts w:cs="Times New Roman"/>
        <w:color w:val="000000"/>
      </w:rPr>
    </w:lvl>
    <w:lvl w:ilvl="1">
      <w:start w:val="1"/>
      <w:numFmt w:val="none"/>
      <w:suff w:val="nothing"/>
      <w:lvlText w:val=""/>
      <w:lvlJc w:val="left"/>
      <w:pPr>
        <w:tabs>
          <w:tab w:val="num" w:pos="0"/>
        </w:tabs>
        <w:ind w:left="0" w:hanging="0"/>
      </w:pPr>
      <w:rPr>
        <w:sz w:val="22"/>
        <w:b/>
        <w:szCs w:val="22"/>
        <w:bCs/>
        <w:rFonts w:cs="Times New Roman"/>
        <w:color w:val="000000"/>
      </w:rPr>
    </w:lvl>
    <w:lvl w:ilvl="2">
      <w:start w:val="1"/>
      <w:numFmt w:val="none"/>
      <w:suff w:val="nothing"/>
      <w:lvlText w:val=""/>
      <w:lvlJc w:val="left"/>
      <w:pPr>
        <w:tabs>
          <w:tab w:val="num" w:pos="0"/>
        </w:tabs>
        <w:ind w:left="0" w:hanging="0"/>
      </w:pPr>
      <w:rPr>
        <w:sz w:val="22"/>
        <w:b/>
        <w:szCs w:val="22"/>
        <w:bCs/>
        <w:rFonts w:cs="Times New Roman"/>
        <w:color w:val="000000"/>
      </w:rPr>
    </w:lvl>
    <w:lvl w:ilvl="3">
      <w:start w:val="1"/>
      <w:numFmt w:val="none"/>
      <w:suff w:val="nothing"/>
      <w:lvlText w:val=""/>
      <w:lvlJc w:val="left"/>
      <w:pPr>
        <w:tabs>
          <w:tab w:val="num" w:pos="0"/>
        </w:tabs>
        <w:ind w:left="0" w:hanging="0"/>
      </w:pPr>
      <w:rPr>
        <w:sz w:val="22"/>
        <w:b/>
        <w:szCs w:val="22"/>
        <w:bCs/>
        <w:rFonts w:cs="Times New Roman"/>
        <w:color w:val="000000"/>
      </w:rPr>
    </w:lvl>
    <w:lvl w:ilvl="4">
      <w:start w:val="1"/>
      <w:numFmt w:val="none"/>
      <w:suff w:val="nothing"/>
      <w:lvlText w:val=""/>
      <w:lvlJc w:val="left"/>
      <w:pPr>
        <w:tabs>
          <w:tab w:val="num" w:pos="0"/>
        </w:tabs>
        <w:ind w:left="0" w:hanging="0"/>
      </w:pPr>
      <w:rPr>
        <w:sz w:val="22"/>
        <w:b/>
        <w:szCs w:val="22"/>
        <w:bCs/>
        <w:rFonts w:cs="Times New Roman"/>
        <w:color w:val="000000"/>
      </w:rPr>
    </w:lvl>
    <w:lvl w:ilvl="5">
      <w:start w:val="1"/>
      <w:numFmt w:val="none"/>
      <w:suff w:val="nothing"/>
      <w:lvlText w:val=""/>
      <w:lvlJc w:val="left"/>
      <w:pPr>
        <w:tabs>
          <w:tab w:val="num" w:pos="0"/>
        </w:tabs>
        <w:ind w:left="0" w:hanging="0"/>
      </w:pPr>
      <w:rPr>
        <w:sz w:val="22"/>
        <w:b/>
        <w:szCs w:val="22"/>
        <w:bCs/>
        <w:rFonts w:cs="Times New Roman"/>
        <w:color w:val="000000"/>
      </w:rPr>
    </w:lvl>
    <w:lvl w:ilvl="6">
      <w:start w:val="1"/>
      <w:numFmt w:val="none"/>
      <w:suff w:val="nothing"/>
      <w:lvlText w:val=""/>
      <w:lvlJc w:val="left"/>
      <w:pPr>
        <w:tabs>
          <w:tab w:val="num" w:pos="0"/>
        </w:tabs>
        <w:ind w:left="0" w:hanging="0"/>
      </w:pPr>
      <w:rPr>
        <w:sz w:val="22"/>
        <w:b/>
        <w:szCs w:val="22"/>
        <w:bCs/>
        <w:rFonts w:cs="Times New Roman"/>
        <w:color w:val="000000"/>
      </w:rPr>
    </w:lvl>
    <w:lvl w:ilvl="7">
      <w:start w:val="1"/>
      <w:numFmt w:val="none"/>
      <w:suff w:val="nothing"/>
      <w:lvlText w:val=""/>
      <w:lvlJc w:val="left"/>
      <w:pPr>
        <w:tabs>
          <w:tab w:val="num" w:pos="0"/>
        </w:tabs>
        <w:ind w:left="0" w:hanging="0"/>
      </w:pPr>
      <w:rPr>
        <w:sz w:val="22"/>
        <w:b/>
        <w:szCs w:val="22"/>
        <w:bCs/>
        <w:rFonts w:cs="Times New Roman"/>
        <w:color w:val="000000"/>
      </w:rPr>
    </w:lvl>
    <w:lvl w:ilvl="8">
      <w:start w:val="1"/>
      <w:numFmt w:val="none"/>
      <w:suff w:val="nothing"/>
      <w:lvlText w:val=""/>
      <w:lvlJc w:val="left"/>
      <w:pPr>
        <w:tabs>
          <w:tab w:val="num" w:pos="0"/>
        </w:tabs>
        <w:ind w:left="0" w:hanging="0"/>
      </w:pPr>
      <w:rPr>
        <w:sz w:val="22"/>
        <w:b/>
        <w:szCs w:val="22"/>
        <w:bCs/>
        <w:rFonts w:cs="Times New Roman"/>
        <w:color w:val="000000"/>
      </w:rPr>
    </w:lvl>
  </w:abstractNum>
  <w:abstractNum w:abstractNumId="4">
    <w:lvl w:ilvl="0">
      <w:start w:val="1"/>
      <w:numFmt w:val="bullet"/>
      <w:lvlText w:val=""/>
      <w:lvlJc w:val="left"/>
      <w:pPr>
        <w:tabs>
          <w:tab w:val="num" w:pos="754"/>
        </w:tabs>
        <w:ind w:left="754" w:hanging="360"/>
      </w:pPr>
      <w:rPr>
        <w:rFonts w:ascii="Symbol" w:hAnsi="Symbol" w:cs="Symbol" w:hint="default"/>
      </w:rPr>
    </w:lvl>
    <w:lvl w:ilvl="1">
      <w:start w:val="0"/>
      <w:numFmt w:val="bullet"/>
      <w:lvlText w:val=""/>
      <w:lvlJc w:val="left"/>
      <w:pPr>
        <w:tabs>
          <w:tab w:val="num" w:pos="0"/>
        </w:tabs>
        <w:ind w:left="0" w:hanging="0"/>
      </w:pPr>
      <w:rPr>
        <w:rFonts w:ascii="Symbol" w:hAnsi="Symbol" w:cs="Symbol" w:hint="default"/>
      </w:rPr>
    </w:lvl>
    <w:lvl w:ilvl="2">
      <w:start w:val="0"/>
      <w:numFmt w:val="bullet"/>
      <w:lvlText w:val=""/>
      <w:lvlJc w:val="left"/>
      <w:pPr>
        <w:tabs>
          <w:tab w:val="num" w:pos="0"/>
        </w:tabs>
        <w:ind w:left="0" w:hanging="0"/>
      </w:pPr>
      <w:rPr>
        <w:rFonts w:ascii="Symbol" w:hAnsi="Symbol" w:cs="Symbol" w:hint="default"/>
      </w:rPr>
    </w:lvl>
    <w:lvl w:ilvl="3">
      <w:start w:val="0"/>
      <w:numFmt w:val="decimal"/>
      <w:lvlText w:val=""/>
      <w:lvlJc w:val="left"/>
      <w:pPr>
        <w:tabs>
          <w:tab w:val="num" w:pos="0"/>
        </w:tabs>
        <w:ind w:left="0" w:hanging="0"/>
      </w:pPr>
      <w:rPr>
        <w:rFonts w:cs="Times New Roman"/>
      </w:rPr>
    </w:lvl>
    <w:lvl w:ilvl="4">
      <w:start w:val="0"/>
      <w:numFmt w:val="decimal"/>
      <w:lvlText w:val=""/>
      <w:lvlJc w:val="left"/>
      <w:pPr>
        <w:tabs>
          <w:tab w:val="num" w:pos="0"/>
        </w:tabs>
        <w:ind w:left="0" w:hanging="0"/>
      </w:pPr>
      <w:rPr>
        <w:rFonts w:cs="Times New Roman"/>
      </w:rPr>
    </w:lvl>
    <w:lvl w:ilvl="5">
      <w:start w:val="0"/>
      <w:numFmt w:val="decimal"/>
      <w:lvlText w:val=""/>
      <w:lvlJc w:val="left"/>
      <w:pPr>
        <w:tabs>
          <w:tab w:val="num" w:pos="0"/>
        </w:tabs>
        <w:ind w:left="0" w:hanging="0"/>
      </w:pPr>
      <w:rPr>
        <w:rFonts w:cs="Times New Roman"/>
      </w:rPr>
    </w:lvl>
    <w:lvl w:ilvl="6">
      <w:start w:val="0"/>
      <w:numFmt w:val="decimal"/>
      <w:lvlText w:val=""/>
      <w:lvlJc w:val="left"/>
      <w:pPr>
        <w:tabs>
          <w:tab w:val="num" w:pos="0"/>
        </w:tabs>
        <w:ind w:left="0" w:hanging="0"/>
      </w:pPr>
      <w:rPr>
        <w:rFonts w:cs="Times New Roman"/>
      </w:rPr>
    </w:lvl>
    <w:lvl w:ilvl="7">
      <w:start w:val="0"/>
      <w:numFmt w:val="decimal"/>
      <w:lvlText w:val=""/>
      <w:lvlJc w:val="left"/>
      <w:pPr>
        <w:tabs>
          <w:tab w:val="num" w:pos="0"/>
        </w:tabs>
        <w:ind w:left="0" w:hanging="0"/>
      </w:pPr>
      <w:rPr>
        <w:rFonts w:cs="Times New Roman"/>
      </w:rPr>
    </w:lvl>
    <w:lvl w:ilvl="8">
      <w:start w:val="0"/>
      <w:numFmt w:val="decimal"/>
      <w:lvlText w:val=""/>
      <w:lvlJc w:val="left"/>
      <w:pPr>
        <w:tabs>
          <w:tab w:val="num" w:pos="0"/>
        </w:tabs>
        <w:ind w:left="0" w:hanging="0"/>
      </w:pPr>
      <w:rPr>
        <w:rFonts w:cs="Times New Roman"/>
      </w:rPr>
    </w:lvl>
  </w:abstractNum>
  <w:abstractNum w:abstractNumId="5">
    <w:lvl w:ilvl="0">
      <w:start w:val="1"/>
      <w:numFmt w:val="bullet"/>
      <w:lvlText w:val="-"/>
      <w:lvlJc w:val="left"/>
      <w:pPr>
        <w:tabs>
          <w:tab w:val="num" w:pos="360"/>
        </w:tabs>
        <w:ind w:left="360" w:hanging="360"/>
      </w:pPr>
      <w:rPr>
        <w:rFonts w:ascii="Times New Roman" w:hAnsi="Times New Roman" w:cs="Times New Roman" w:hint="default"/>
        <w:sz w:val="22"/>
        <w:u w:val="none"/>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6">
    <w:lvl w:ilvl="0">
      <w:start w:val="1"/>
      <w:numFmt w:val="lowerLetter"/>
      <w:lvlText w:val="%1)"/>
      <w:lvlJc w:val="left"/>
      <w:pPr>
        <w:tabs>
          <w:tab w:val="num" w:pos="0"/>
        </w:tabs>
        <w:ind w:left="1146" w:hanging="360"/>
      </w:pPr>
      <w:rPr>
        <w:sz w:val="23"/>
        <w:szCs w:val="23"/>
        <w:rFonts w:cs="Times New Roman"/>
      </w:rPr>
    </w:lvl>
    <w:lvl w:ilvl="1">
      <w:start w:val="0"/>
      <w:numFmt w:val="decimal"/>
      <w:lvlText w:val=""/>
      <w:lvlJc w:val="left"/>
      <w:pPr>
        <w:tabs>
          <w:tab w:val="num" w:pos="0"/>
        </w:tabs>
        <w:ind w:left="0" w:hanging="0"/>
      </w:pPr>
      <w:rPr>
        <w:rFonts w:cs="Times New Roman"/>
      </w:rPr>
    </w:lvl>
    <w:lvl w:ilvl="2">
      <w:start w:val="0"/>
      <w:numFmt w:val="decimal"/>
      <w:lvlText w:val=""/>
      <w:lvlJc w:val="left"/>
      <w:pPr>
        <w:tabs>
          <w:tab w:val="num" w:pos="0"/>
        </w:tabs>
        <w:ind w:left="0" w:hanging="0"/>
      </w:pPr>
      <w:rPr>
        <w:rFonts w:cs="Times New Roman"/>
      </w:rPr>
    </w:lvl>
    <w:lvl w:ilvl="3">
      <w:start w:val="0"/>
      <w:numFmt w:val="decimal"/>
      <w:lvlText w:val=""/>
      <w:lvlJc w:val="left"/>
      <w:pPr>
        <w:tabs>
          <w:tab w:val="num" w:pos="0"/>
        </w:tabs>
        <w:ind w:left="0" w:hanging="0"/>
      </w:pPr>
      <w:rPr>
        <w:rFonts w:cs="Times New Roman"/>
      </w:rPr>
    </w:lvl>
    <w:lvl w:ilvl="4">
      <w:start w:val="0"/>
      <w:numFmt w:val="decimal"/>
      <w:lvlText w:val=""/>
      <w:lvlJc w:val="left"/>
      <w:pPr>
        <w:tabs>
          <w:tab w:val="num" w:pos="0"/>
        </w:tabs>
        <w:ind w:left="0" w:hanging="0"/>
      </w:pPr>
      <w:rPr>
        <w:rFonts w:cs="Times New Roman"/>
      </w:rPr>
    </w:lvl>
    <w:lvl w:ilvl="5">
      <w:start w:val="0"/>
      <w:numFmt w:val="decimal"/>
      <w:lvlText w:val=""/>
      <w:lvlJc w:val="left"/>
      <w:pPr>
        <w:tabs>
          <w:tab w:val="num" w:pos="0"/>
        </w:tabs>
        <w:ind w:left="0" w:hanging="0"/>
      </w:pPr>
      <w:rPr>
        <w:rFonts w:cs="Times New Roman"/>
      </w:rPr>
    </w:lvl>
    <w:lvl w:ilvl="6">
      <w:start w:val="0"/>
      <w:numFmt w:val="decimal"/>
      <w:lvlText w:val=""/>
      <w:lvlJc w:val="left"/>
      <w:pPr>
        <w:tabs>
          <w:tab w:val="num" w:pos="0"/>
        </w:tabs>
        <w:ind w:left="0" w:hanging="0"/>
      </w:pPr>
      <w:rPr>
        <w:rFonts w:cs="Times New Roman"/>
      </w:rPr>
    </w:lvl>
    <w:lvl w:ilvl="7">
      <w:start w:val="0"/>
      <w:numFmt w:val="decimal"/>
      <w:lvlText w:val=""/>
      <w:lvlJc w:val="left"/>
      <w:pPr>
        <w:tabs>
          <w:tab w:val="num" w:pos="0"/>
        </w:tabs>
        <w:ind w:left="0" w:hanging="0"/>
      </w:pPr>
      <w:rPr>
        <w:rFonts w:cs="Times New Roman"/>
      </w:rPr>
    </w:lvl>
    <w:lvl w:ilvl="8">
      <w:start w:val="0"/>
      <w:numFmt w:val="decimal"/>
      <w:lvlText w:val=""/>
      <w:lvlJc w:val="left"/>
      <w:pPr>
        <w:tabs>
          <w:tab w:val="num" w:pos="0"/>
        </w:tabs>
        <w:ind w:left="0" w:hanging="0"/>
      </w:pPr>
      <w:rPr>
        <w:rFonts w:cs="Times New Roman"/>
      </w:rPr>
    </w:lvl>
  </w:abstractNum>
  <w:abstractNum w:abstractNumId="7">
    <w:lvl w:ilvl="0">
      <w:start w:val="1"/>
      <w:numFmt w:val="decimal"/>
      <w:lvlText w:val="%1."/>
      <w:lvlJc w:val="left"/>
      <w:pPr>
        <w:tabs>
          <w:tab w:val="num" w:pos="720"/>
        </w:tabs>
        <w:ind w:left="720" w:hanging="360"/>
      </w:pPr>
      <w:rPr>
        <w:sz w:val="22"/>
        <w:szCs w:val="22"/>
        <w:rFonts w:ascii="Arial" w:hAnsi="Arial" w:cs="Times New Roman"/>
      </w:rPr>
    </w:lvl>
    <w:lvl w:ilvl="1">
      <w:start w:val="1"/>
      <w:numFmt w:val="lowerLetter"/>
      <w:lvlText w:val="%2)"/>
      <w:lvlJc w:val="left"/>
      <w:pPr>
        <w:tabs>
          <w:tab w:val="num" w:pos="720"/>
        </w:tabs>
        <w:ind w:left="1500" w:hanging="420"/>
      </w:pPr>
      <w:rPr>
        <w:sz w:val="22"/>
        <w:i w:val="false"/>
        <w:b w:val="false"/>
        <w:szCs w:val="22"/>
        <w:rFonts w:cs="Arial"/>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lvl w:ilvl="0">
      <w:start w:val="1"/>
      <w:numFmt w:val="lowerLetter"/>
      <w:suff w:val="nothing"/>
      <w:lvlText w:val="%1)"/>
      <w:lvlJc w:val="left"/>
      <w:pPr>
        <w:tabs>
          <w:tab w:val="num" w:pos="0"/>
        </w:tabs>
        <w:ind w:left="707" w:hanging="0"/>
      </w:pPr>
      <w:rPr>
        <w:sz w:val="22"/>
        <w:szCs w:val="22"/>
        <w:rFonts w:ascii="Arial" w:hAnsi="Arial" w:cs="Arial"/>
        <w:color w:val="000000"/>
      </w:rPr>
    </w:lvl>
    <w:lvl w:ilvl="1">
      <w:start w:val="1"/>
      <w:numFmt w:val="lowerLetter"/>
      <w:lvlText w:val="%2."/>
      <w:lvlJc w:val="left"/>
      <w:pPr>
        <w:tabs>
          <w:tab w:val="num" w:pos="1414"/>
        </w:tabs>
        <w:ind w:left="1414" w:hanging="283"/>
      </w:pPr>
      <w:rPr>
        <w:rFonts w:cs="Times New Roman"/>
      </w:rPr>
    </w:lvl>
    <w:lvl w:ilvl="2">
      <w:start w:val="1"/>
      <w:numFmt w:val="lowerLetter"/>
      <w:lvlText w:val="%3."/>
      <w:lvlJc w:val="left"/>
      <w:pPr>
        <w:tabs>
          <w:tab w:val="num" w:pos="2121"/>
        </w:tabs>
        <w:ind w:left="2121" w:hanging="283"/>
      </w:pPr>
      <w:rPr>
        <w:rFonts w:cs="Times New Roman"/>
      </w:rPr>
    </w:lvl>
    <w:lvl w:ilvl="3">
      <w:start w:val="1"/>
      <w:numFmt w:val="lowerLetter"/>
      <w:lvlText w:val="%4."/>
      <w:lvlJc w:val="left"/>
      <w:pPr>
        <w:tabs>
          <w:tab w:val="num" w:pos="2828"/>
        </w:tabs>
        <w:ind w:left="2828" w:hanging="283"/>
      </w:pPr>
      <w:rPr>
        <w:rFonts w:cs="Times New Roman"/>
      </w:rPr>
    </w:lvl>
    <w:lvl w:ilvl="4">
      <w:start w:val="1"/>
      <w:numFmt w:val="lowerLetter"/>
      <w:lvlText w:val="%5."/>
      <w:lvlJc w:val="left"/>
      <w:pPr>
        <w:tabs>
          <w:tab w:val="num" w:pos="3535"/>
        </w:tabs>
        <w:ind w:left="3535" w:hanging="283"/>
      </w:pPr>
      <w:rPr>
        <w:rFonts w:cs="Times New Roman"/>
      </w:rPr>
    </w:lvl>
    <w:lvl w:ilvl="5">
      <w:start w:val="1"/>
      <w:numFmt w:val="lowerLetter"/>
      <w:lvlText w:val="%6."/>
      <w:lvlJc w:val="left"/>
      <w:pPr>
        <w:tabs>
          <w:tab w:val="num" w:pos="4242"/>
        </w:tabs>
        <w:ind w:left="4242" w:hanging="283"/>
      </w:pPr>
      <w:rPr>
        <w:rFonts w:cs="Times New Roman"/>
      </w:rPr>
    </w:lvl>
    <w:lvl w:ilvl="6">
      <w:start w:val="1"/>
      <w:numFmt w:val="lowerLetter"/>
      <w:lvlText w:val="%7."/>
      <w:lvlJc w:val="left"/>
      <w:pPr>
        <w:tabs>
          <w:tab w:val="num" w:pos="4949"/>
        </w:tabs>
        <w:ind w:left="4949" w:hanging="283"/>
      </w:pPr>
      <w:rPr>
        <w:rFonts w:cs="Times New Roman"/>
      </w:rPr>
    </w:lvl>
    <w:lvl w:ilvl="7">
      <w:start w:val="1"/>
      <w:numFmt w:val="lowerLetter"/>
      <w:lvlText w:val="%8."/>
      <w:lvlJc w:val="left"/>
      <w:pPr>
        <w:tabs>
          <w:tab w:val="num" w:pos="5656"/>
        </w:tabs>
        <w:ind w:left="5656" w:hanging="283"/>
      </w:pPr>
      <w:rPr>
        <w:rFonts w:cs="Times New Roman"/>
      </w:rPr>
    </w:lvl>
    <w:lvl w:ilvl="8">
      <w:start w:val="1"/>
      <w:numFmt w:val="lowerLetter"/>
      <w:lvlText w:val="%9."/>
      <w:lvlJc w:val="left"/>
      <w:pPr>
        <w:tabs>
          <w:tab w:val="num" w:pos="6363"/>
        </w:tabs>
        <w:ind w:left="6363" w:hanging="283"/>
      </w:pPr>
      <w:rPr>
        <w:rFonts w:cs="Times New Roman"/>
      </w:rPr>
    </w:lvl>
  </w:abstractNum>
  <w:abstractNum w:abstractNumId="9">
    <w:lvl w:ilvl="0">
      <w:start w:val="1"/>
      <w:numFmt w:val="decimal"/>
      <w:lvlText w:val="%1."/>
      <w:lvlJc w:val="left"/>
      <w:pPr>
        <w:tabs>
          <w:tab w:val="num" w:pos="720"/>
        </w:tabs>
        <w:ind w:left="720" w:hanging="360"/>
      </w:pPr>
      <w:rPr>
        <w:sz w:val="22"/>
        <w:b w:val="false"/>
        <w:szCs w:val="22"/>
        <w:bCs/>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1">
    <w:lvl w:ilvl="0">
      <w:start w:val="1"/>
      <w:numFmt w:val="bullet"/>
      <w:lvlText w:val=""/>
      <w:lvlJc w:val="left"/>
      <w:pPr>
        <w:tabs>
          <w:tab w:val="num" w:pos="720"/>
        </w:tabs>
        <w:ind w:left="720" w:hanging="360"/>
      </w:pPr>
      <w:rPr>
        <w:rFonts w:ascii="Symbol" w:hAnsi="Symbol" w:cs="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340"/>
        </w:tabs>
        <w:ind w:left="2340" w:hanging="360"/>
      </w:pPr>
    </w:lvl>
    <w:lvl w:ilvl="3">
      <w:start w:val="2"/>
      <w:numFmt w:val="decimal"/>
      <w:lvlText w:val="%4)"/>
      <w:lvlJc w:val="left"/>
      <w:pPr>
        <w:tabs>
          <w:tab w:val="num" w:pos="720"/>
        </w:tabs>
        <w:ind w:left="2880" w:hanging="360"/>
      </w:pPr>
    </w:lvl>
    <w:lvl w:ilvl="4">
      <w:start w:val="1"/>
      <w:numFmt w:val="decimal"/>
      <w:lvlText w:val="%5."/>
      <w:lvlJc w:val="left"/>
      <w:pPr>
        <w:tabs>
          <w:tab w:val="num" w:pos="3600"/>
        </w:tabs>
        <w:ind w:left="3600" w:hanging="360"/>
      </w:pPr>
    </w:lvl>
    <w:lvl w:ilvl="5">
      <w:start w:val="1"/>
      <w:numFmt w:val="decimal"/>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right"/>
      <w:pPr>
        <w:tabs>
          <w:tab w:val="num" w:pos="6480"/>
        </w:tabs>
        <w:ind w:left="6480" w:hanging="180"/>
      </w:pPr>
    </w:lvl>
  </w:abstractNum>
  <w:abstractNum w:abstractNumId="12">
    <w:lvl w:ilvl="0">
      <w:start w:val="1"/>
      <w:numFmt w:val="decimal"/>
      <w:lvlText w:val="%1."/>
      <w:lvlJc w:val="left"/>
      <w:pPr>
        <w:tabs>
          <w:tab w:val="num" w:pos="720"/>
        </w:tabs>
        <w:ind w:left="720" w:hanging="360"/>
      </w:pPr>
      <w:rPr>
        <w:sz w:val="22"/>
        <w:szCs w:val="22"/>
        <w:rFonts w:ascii="Arial" w:hAnsi="Arial" w:cs="Times New Roman"/>
      </w:rPr>
    </w:lvl>
    <w:lvl w:ilvl="1">
      <w:start w:val="1"/>
      <w:numFmt w:val="lowerLetter"/>
      <w:lvlText w:val="%2)"/>
      <w:lvlJc w:val="left"/>
      <w:pPr>
        <w:tabs>
          <w:tab w:val="num" w:pos="720"/>
        </w:tabs>
        <w:ind w:left="1500" w:hanging="420"/>
      </w:pPr>
      <w:rPr>
        <w:sz w:val="22"/>
        <w:i w:val="false"/>
        <w:b w:val="false"/>
        <w:szCs w:val="22"/>
        <w:rFonts w:cs="Arial"/>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
    <w:lvl w:ilvl="0">
      <w:start w:val="1"/>
      <w:numFmt w:val="decimal"/>
      <w:lvlText w:val="%1."/>
      <w:lvlJc w:val="left"/>
      <w:pPr>
        <w:tabs>
          <w:tab w:val="num" w:pos="720"/>
        </w:tabs>
        <w:ind w:left="720" w:hanging="360"/>
      </w:pPr>
      <w:rPr>
        <w:sz w:val="22"/>
        <w:szCs w:val="22"/>
        <w:rFonts w:ascii="Arial" w:hAnsi="Arial" w:cs="Times New Roman"/>
      </w:rPr>
    </w:lvl>
    <w:lvl w:ilvl="1">
      <w:start w:val="1"/>
      <w:numFmt w:val="lowerLetter"/>
      <w:lvlText w:val="%2)"/>
      <w:lvlJc w:val="left"/>
      <w:pPr>
        <w:tabs>
          <w:tab w:val="num" w:pos="720"/>
        </w:tabs>
        <w:ind w:left="1500" w:hanging="420"/>
      </w:pPr>
      <w:rPr>
        <w:sz w:val="22"/>
        <w:i w:val="false"/>
        <w:b w:val="false"/>
        <w:szCs w:val="22"/>
        <w:rFonts w:cs="Arial"/>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5">
    <w:lvl w:ilvl="0">
      <w:start w:val="1"/>
      <w:numFmt w:val="upperRoman"/>
      <w:lvlText w:val="%1."/>
      <w:lvlJc w:val="right"/>
      <w:pPr>
        <w:tabs>
          <w:tab w:val="num" w:pos="0"/>
        </w:tabs>
        <w:ind w:left="360" w:hanging="360"/>
      </w:pPr>
      <w:rPr>
        <w:sz w:val="22"/>
        <w:szCs w:val="22"/>
      </w:rPr>
    </w:lvl>
    <w:lvl w:ilvl="1">
      <w:start w:val="1"/>
      <w:numFmt w:val="decimal"/>
      <w:lvlText w:val="%1.%2."/>
      <w:lvlJc w:val="left"/>
      <w:pPr>
        <w:tabs>
          <w:tab w:val="num" w:pos="0"/>
        </w:tabs>
        <w:ind w:left="858" w:hanging="432"/>
      </w:pPr>
      <w:rPr>
        <w:sz w:val="22"/>
        <w:szCs w:val="22"/>
        <w:rFonts w:cs="Times New Roman"/>
      </w:rPr>
    </w:lvl>
    <w:lvl w:ilvl="2">
      <w:start w:val="1"/>
      <w:numFmt w:val="decimal"/>
      <w:lvlText w:val="%1.%2.%3."/>
      <w:lvlJc w:val="left"/>
      <w:pPr>
        <w:tabs>
          <w:tab w:val="num" w:pos="0"/>
        </w:tabs>
        <w:ind w:left="1224" w:hanging="504"/>
      </w:pPr>
      <w:rPr>
        <w:rFonts w:cs="Times New Roman"/>
      </w:rPr>
    </w:lvl>
    <w:lvl w:ilvl="3">
      <w:start w:val="1"/>
      <w:numFmt w:val="decimal"/>
      <w:lvlText w:val="%1.%2.%3.%4."/>
      <w:lvlJc w:val="left"/>
      <w:pPr>
        <w:tabs>
          <w:tab w:val="num" w:pos="0"/>
        </w:tabs>
        <w:ind w:left="1728" w:hanging="648"/>
      </w:pPr>
      <w:rPr>
        <w:rFonts w:cs="Times New Roman"/>
      </w:rPr>
    </w:lvl>
    <w:lvl w:ilvl="4">
      <w:start w:val="1"/>
      <w:numFmt w:val="decimal"/>
      <w:lvlText w:val="%1.%2.%3.%4.%5."/>
      <w:lvlJc w:val="left"/>
      <w:pPr>
        <w:tabs>
          <w:tab w:val="num" w:pos="0"/>
        </w:tabs>
        <w:ind w:left="2232" w:hanging="792"/>
      </w:pPr>
      <w:rPr>
        <w:rFonts w:cs="Times New Roman"/>
      </w:rPr>
    </w:lvl>
    <w:lvl w:ilvl="5">
      <w:start w:val="1"/>
      <w:numFmt w:val="decimal"/>
      <w:lvlText w:val="%1.%2.%3.%4.%5.%6."/>
      <w:lvlJc w:val="left"/>
      <w:pPr>
        <w:tabs>
          <w:tab w:val="num" w:pos="0"/>
        </w:tabs>
        <w:ind w:left="2736" w:hanging="936"/>
      </w:pPr>
      <w:rPr>
        <w:rFonts w:cs="Times New Roman"/>
      </w:rPr>
    </w:lvl>
    <w:lvl w:ilvl="6">
      <w:start w:val="1"/>
      <w:numFmt w:val="decimal"/>
      <w:lvlText w:val="%1.%2.%3.%4.%5.%6.%7."/>
      <w:lvlJc w:val="left"/>
      <w:pPr>
        <w:tabs>
          <w:tab w:val="num" w:pos="0"/>
        </w:tabs>
        <w:ind w:left="3240" w:hanging="1080"/>
      </w:pPr>
      <w:rPr>
        <w:rFonts w:cs="Times New Roman"/>
      </w:rPr>
    </w:lvl>
    <w:lvl w:ilvl="7">
      <w:start w:val="1"/>
      <w:numFmt w:val="decimal"/>
      <w:lvlText w:val="%1.%2.%3.%4.%5.%6.%7.%8."/>
      <w:lvlJc w:val="left"/>
      <w:pPr>
        <w:tabs>
          <w:tab w:val="num" w:pos="0"/>
        </w:tabs>
        <w:ind w:left="3744" w:hanging="1224"/>
      </w:pPr>
      <w:rPr>
        <w:rFonts w:cs="Times New Roman"/>
      </w:rPr>
    </w:lvl>
    <w:lvl w:ilvl="8">
      <w:start w:val="1"/>
      <w:numFmt w:val="decimal"/>
      <w:lvlText w:val="%1.%2.%3.%4.%5.%6.%7.%8.%9."/>
      <w:lvlJc w:val="left"/>
      <w:pPr>
        <w:tabs>
          <w:tab w:val="num" w:pos="0"/>
        </w:tabs>
        <w:ind w:left="4320" w:hanging="1440"/>
      </w:pPr>
      <w:rPr>
        <w:rFonts w:cs="Times New Roman"/>
      </w:rPr>
    </w:lvl>
  </w:abstractNum>
  <w:abstractNum w:abstractNumId="1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8">
    <w:lvl w:ilvl="0">
      <w:start w:val="1"/>
      <w:numFmt w:val="bullet"/>
      <w:lvlText w:val=""/>
      <w:lvlJc w:val="left"/>
      <w:pPr>
        <w:tabs>
          <w:tab w:val="num" w:pos="1206"/>
        </w:tabs>
        <w:ind w:left="1206" w:hanging="360"/>
      </w:pPr>
      <w:rPr>
        <w:rFonts w:ascii="Symbol" w:hAnsi="Symbol" w:cs="Symbol" w:hint="default"/>
      </w:rPr>
    </w:lvl>
    <w:lvl w:ilvl="1">
      <w:start w:val="1"/>
      <w:numFmt w:val="bullet"/>
      <w:lvlText w:val="o"/>
      <w:lvlJc w:val="left"/>
      <w:pPr>
        <w:tabs>
          <w:tab w:val="num" w:pos="1926"/>
        </w:tabs>
        <w:ind w:left="1926" w:hanging="360"/>
      </w:pPr>
      <w:rPr>
        <w:rFonts w:ascii="Courier New" w:hAnsi="Courier New" w:cs="Courier New" w:hint="default"/>
      </w:rPr>
    </w:lvl>
    <w:lvl w:ilvl="2">
      <w:start w:val="1"/>
      <w:numFmt w:val="bullet"/>
      <w:lvlText w:val=""/>
      <w:lvlJc w:val="left"/>
      <w:pPr>
        <w:tabs>
          <w:tab w:val="num" w:pos="2646"/>
        </w:tabs>
        <w:ind w:left="2646" w:hanging="360"/>
      </w:pPr>
      <w:rPr>
        <w:rFonts w:ascii="Wingdings" w:hAnsi="Wingdings" w:cs="Wingdings" w:hint="default"/>
      </w:rPr>
    </w:lvl>
    <w:lvl w:ilvl="3">
      <w:start w:val="1"/>
      <w:numFmt w:val="bullet"/>
      <w:lvlText w:val=""/>
      <w:lvlJc w:val="left"/>
      <w:pPr>
        <w:tabs>
          <w:tab w:val="num" w:pos="3366"/>
        </w:tabs>
        <w:ind w:left="3366" w:hanging="360"/>
      </w:pPr>
      <w:rPr>
        <w:rFonts w:ascii="Symbol" w:hAnsi="Symbol" w:cs="Symbol" w:hint="default"/>
      </w:rPr>
    </w:lvl>
    <w:lvl w:ilvl="4">
      <w:start w:val="1"/>
      <w:numFmt w:val="bullet"/>
      <w:lvlText w:val="o"/>
      <w:lvlJc w:val="left"/>
      <w:pPr>
        <w:tabs>
          <w:tab w:val="num" w:pos="4086"/>
        </w:tabs>
        <w:ind w:left="4086" w:hanging="360"/>
      </w:pPr>
      <w:rPr>
        <w:rFonts w:ascii="Courier New" w:hAnsi="Courier New" w:cs="Courier New" w:hint="default"/>
      </w:rPr>
    </w:lvl>
    <w:lvl w:ilvl="5">
      <w:start w:val="1"/>
      <w:numFmt w:val="bullet"/>
      <w:lvlText w:val=""/>
      <w:lvlJc w:val="left"/>
      <w:pPr>
        <w:tabs>
          <w:tab w:val="num" w:pos="4806"/>
        </w:tabs>
        <w:ind w:left="4806" w:hanging="360"/>
      </w:pPr>
      <w:rPr>
        <w:rFonts w:ascii="Wingdings" w:hAnsi="Wingdings" w:cs="Wingdings" w:hint="default"/>
      </w:rPr>
    </w:lvl>
    <w:lvl w:ilvl="6">
      <w:start w:val="1"/>
      <w:numFmt w:val="bullet"/>
      <w:lvlText w:val=""/>
      <w:lvlJc w:val="left"/>
      <w:pPr>
        <w:tabs>
          <w:tab w:val="num" w:pos="5526"/>
        </w:tabs>
        <w:ind w:left="5526" w:hanging="360"/>
      </w:pPr>
      <w:rPr>
        <w:rFonts w:ascii="Symbol" w:hAnsi="Symbol" w:cs="Symbol" w:hint="default"/>
      </w:rPr>
    </w:lvl>
    <w:lvl w:ilvl="7">
      <w:start w:val="1"/>
      <w:numFmt w:val="bullet"/>
      <w:lvlText w:val="o"/>
      <w:lvlJc w:val="left"/>
      <w:pPr>
        <w:tabs>
          <w:tab w:val="num" w:pos="6246"/>
        </w:tabs>
        <w:ind w:left="6246" w:hanging="360"/>
      </w:pPr>
      <w:rPr>
        <w:rFonts w:ascii="Courier New" w:hAnsi="Courier New" w:cs="Courier New" w:hint="default"/>
      </w:rPr>
    </w:lvl>
    <w:lvl w:ilvl="8">
      <w:start w:val="1"/>
      <w:numFmt w:val="bullet"/>
      <w:lvlText w:val=""/>
      <w:lvlJc w:val="left"/>
      <w:pPr>
        <w:tabs>
          <w:tab w:val="num" w:pos="6966"/>
        </w:tabs>
        <w:ind w:left="6966" w:hanging="360"/>
      </w:pPr>
      <w:rPr>
        <w:rFonts w:ascii="Wingdings" w:hAnsi="Wingdings" w:cs="Wingdings" w:hint="default"/>
      </w:rPr>
    </w:lvl>
  </w:abstractNum>
  <w:abstractNum w:abstractNumId="19">
    <w:lvl w:ilvl="0">
      <w:start w:val="1"/>
      <w:numFmt w:val="bullet"/>
      <w:lvlText w:val=""/>
      <w:lvlJc w:val="left"/>
      <w:pPr>
        <w:tabs>
          <w:tab w:val="num" w:pos="420"/>
        </w:tabs>
        <w:ind w:left="4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1">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4">
    <w:lvl w:ilvl="0">
      <w:start w:val="1"/>
      <w:numFmt w:val="decimal"/>
      <w:lvlText w:val="%1."/>
      <w:lvlJc w:val="left"/>
      <w:pPr>
        <w:tabs>
          <w:tab w:val="num" w:pos="480"/>
        </w:tabs>
        <w:ind w:left="480" w:hanging="480"/>
      </w:pPr>
      <w:rPr>
        <w:rFonts w:ascii="Arial" w:hAnsi="Arial" w:cs="Arial"/>
      </w:rPr>
    </w:lvl>
    <w:lvl w:ilvl="1">
      <w:start w:val="1"/>
      <w:numFmt w:val="decimal"/>
      <w:lvlText w:val="%1.%2."/>
      <w:lvlJc w:val="left"/>
      <w:pPr>
        <w:tabs>
          <w:tab w:val="num" w:pos="720"/>
        </w:tabs>
        <w:ind w:left="720" w:hanging="720"/>
      </w:pPr>
      <w:rPr>
        <w:sz w:val="22"/>
        <w:i w:val="false"/>
        <w:u w:val="none"/>
        <w:b/>
        <w:szCs w:val="22"/>
        <w:rFonts w:cs="Arial"/>
      </w:rPr>
    </w:lvl>
    <w:lvl w:ilvl="2">
      <w:start w:val="1"/>
      <w:numFmt w:val="decimal"/>
      <w:lvlText w:val="%1.%2.%3."/>
      <w:lvlJc w:val="left"/>
      <w:pPr>
        <w:tabs>
          <w:tab w:val="num" w:pos="720"/>
        </w:tabs>
        <w:ind w:left="720" w:hanging="720"/>
      </w:pPr>
      <w:rPr>
        <w:i w:val="false"/>
        <w:b/>
        <w:rFonts w:cs="Times New Roman"/>
      </w:rPr>
    </w:lvl>
    <w:lvl w:ilvl="3">
      <w:start w:val="1"/>
      <w:numFmt w:val="decimal"/>
      <w:lvlText w:val="%1.%2.%3.%4."/>
      <w:lvlJc w:val="left"/>
      <w:pPr>
        <w:tabs>
          <w:tab w:val="num" w:pos="1080"/>
        </w:tabs>
        <w:ind w:left="1080" w:hanging="1080"/>
      </w:pPr>
      <w:rPr>
        <w:i w:val="false"/>
        <w:b w:val="false"/>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25">
    <w:lvl w:ilvl="0">
      <w:start w:val="1"/>
      <w:numFmt w:val="lowerLetter"/>
      <w:lvlText w:val="%1)"/>
      <w:lvlJc w:val="left"/>
      <w:pPr>
        <w:tabs>
          <w:tab w:val="num" w:pos="720"/>
        </w:tabs>
        <w:ind w:left="720" w:hanging="360"/>
      </w:pPr>
      <w:rPr>
        <w:sz w:val="22"/>
        <w:b w:val="false"/>
        <w:szCs w:val="22"/>
        <w:bCs/>
        <w:rFonts w:ascii="Arial" w:hAnsi="Arial" w:cs="Arial"/>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6">
    <w:lvl w:ilvl="0">
      <w:start w:val="1"/>
      <w:numFmt w:val="decimal"/>
      <w:lvlText w:val="%1."/>
      <w:lvlJc w:val="left"/>
      <w:pPr>
        <w:tabs>
          <w:tab w:val="num" w:pos="720"/>
        </w:tabs>
        <w:ind w:left="720" w:hanging="360"/>
      </w:pPr>
      <w:rPr>
        <w:sz w:val="22"/>
        <w:szCs w:val="22"/>
        <w:rFonts w:ascii="Arial" w:hAnsi="Arial" w:cs="Arial"/>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7">
    <w:lvl w:ilvl="0">
      <w:start w:val="1"/>
      <w:numFmt w:val="lowerLetter"/>
      <w:lvlText w:val="%1)"/>
      <w:lvlJc w:val="left"/>
      <w:pPr>
        <w:tabs>
          <w:tab w:val="num" w:pos="0"/>
        </w:tabs>
        <w:ind w:left="720" w:hanging="360"/>
      </w:pPr>
      <w:rPr>
        <w:sz w:val="22"/>
        <w:rFonts w:cs="Times New Roman"/>
      </w:rPr>
    </w:lvl>
    <w:lvl w:ilvl="1">
      <w:start w:val="1"/>
      <w:numFmt w:val="none"/>
      <w:suff w:val="nothing"/>
      <w:lvlText w:val=""/>
      <w:lvlJc w:val="left"/>
      <w:pPr>
        <w:tabs>
          <w:tab w:val="num" w:pos="0"/>
        </w:tabs>
        <w:ind w:left="0" w:hanging="0"/>
      </w:pPr>
      <w:rPr>
        <w:rFonts w:cs="Times New Roman"/>
      </w:rPr>
    </w:lvl>
    <w:lvl w:ilvl="2">
      <w:start w:val="1"/>
      <w:numFmt w:val="none"/>
      <w:suff w:val="nothing"/>
      <w:lvlText w:val=""/>
      <w:lvlJc w:val="left"/>
      <w:pPr>
        <w:tabs>
          <w:tab w:val="num" w:pos="0"/>
        </w:tabs>
        <w:ind w:left="0" w:hanging="0"/>
      </w:pPr>
      <w:rPr>
        <w:rFonts w:cs="Times New Roman"/>
      </w:rPr>
    </w:lvl>
    <w:lvl w:ilvl="3">
      <w:start w:val="1"/>
      <w:numFmt w:val="none"/>
      <w:suff w:val="nothing"/>
      <w:lvlText w:val=""/>
      <w:lvlJc w:val="left"/>
      <w:pPr>
        <w:tabs>
          <w:tab w:val="num" w:pos="0"/>
        </w:tabs>
        <w:ind w:left="0" w:hanging="0"/>
      </w:pPr>
      <w:rPr>
        <w:rFonts w:cs="Times New Roman"/>
      </w:rPr>
    </w:lvl>
    <w:lvl w:ilvl="4">
      <w:start w:val="1"/>
      <w:numFmt w:val="none"/>
      <w:suff w:val="nothing"/>
      <w:lvlText w:val=""/>
      <w:lvlJc w:val="left"/>
      <w:pPr>
        <w:tabs>
          <w:tab w:val="num" w:pos="0"/>
        </w:tabs>
        <w:ind w:left="0" w:hanging="0"/>
      </w:pPr>
      <w:rPr>
        <w:rFonts w:cs="Times New Roman"/>
      </w:rPr>
    </w:lvl>
    <w:lvl w:ilvl="5">
      <w:start w:val="1"/>
      <w:numFmt w:val="none"/>
      <w:suff w:val="nothing"/>
      <w:lvlText w:val=""/>
      <w:lvlJc w:val="left"/>
      <w:pPr>
        <w:tabs>
          <w:tab w:val="num" w:pos="0"/>
        </w:tabs>
        <w:ind w:left="0" w:hanging="0"/>
      </w:pPr>
      <w:rPr>
        <w:rFonts w:cs="Times New Roman"/>
      </w:rPr>
    </w:lvl>
    <w:lvl w:ilvl="6">
      <w:start w:val="1"/>
      <w:numFmt w:val="none"/>
      <w:suff w:val="nothing"/>
      <w:lvlText w:val=""/>
      <w:lvlJc w:val="left"/>
      <w:pPr>
        <w:tabs>
          <w:tab w:val="num" w:pos="0"/>
        </w:tabs>
        <w:ind w:left="0" w:hanging="0"/>
      </w:pPr>
      <w:rPr>
        <w:rFonts w:cs="Times New Roman"/>
      </w:rPr>
    </w:lvl>
    <w:lvl w:ilvl="7">
      <w:start w:val="1"/>
      <w:numFmt w:val="none"/>
      <w:suff w:val="nothing"/>
      <w:lvlText w:val=""/>
      <w:lvlJc w:val="left"/>
      <w:pPr>
        <w:tabs>
          <w:tab w:val="num" w:pos="0"/>
        </w:tabs>
        <w:ind w:left="0" w:hanging="0"/>
      </w:pPr>
      <w:rPr>
        <w:rFonts w:cs="Times New Roman"/>
      </w:rPr>
    </w:lvl>
    <w:lvl w:ilvl="8">
      <w:start w:val="1"/>
      <w:numFmt w:val="none"/>
      <w:suff w:val="nothing"/>
      <w:lvlText w:val=""/>
      <w:lvlJc w:val="left"/>
      <w:pPr>
        <w:tabs>
          <w:tab w:val="num" w:pos="0"/>
        </w:tabs>
        <w:ind w:left="0" w:hanging="0"/>
      </w:pPr>
      <w:rPr>
        <w:rFonts w:cs="Times New Roman"/>
      </w:rPr>
    </w:lvl>
  </w:abstractNum>
  <w:abstractNum w:abstractNumId="28">
    <w:lvl w:ilvl="0">
      <w:start w:val="1"/>
      <w:numFmt w:val="lowerLetter"/>
      <w:lvlText w:val="%1)"/>
      <w:lvlJc w:val="left"/>
      <w:pPr>
        <w:tabs>
          <w:tab w:val="num" w:pos="0"/>
        </w:tabs>
        <w:ind w:left="0" w:hanging="0"/>
      </w:pPr>
    </w:lvl>
    <w:lvl w:ilvl="1">
      <w:start w:val="1"/>
      <w:numFmt w:val="none"/>
      <w:suff w:val="nothing"/>
      <w:lvlText w:val=""/>
      <w:lvlJc w:val="left"/>
      <w:pPr>
        <w:tabs>
          <w:tab w:val="num" w:pos="0"/>
        </w:tabs>
        <w:ind w:left="0" w:hanging="0"/>
      </w:pPr>
      <w:rPr>
        <w:rFonts w:cs="Times New Roman"/>
      </w:rPr>
    </w:lvl>
    <w:lvl w:ilvl="2">
      <w:start w:val="1"/>
      <w:numFmt w:val="none"/>
      <w:suff w:val="nothing"/>
      <w:lvlText w:val=""/>
      <w:lvlJc w:val="left"/>
      <w:pPr>
        <w:tabs>
          <w:tab w:val="num" w:pos="0"/>
        </w:tabs>
        <w:ind w:left="0" w:hanging="0"/>
      </w:pPr>
      <w:rPr>
        <w:rFonts w:cs="Times New Roman"/>
      </w:rPr>
    </w:lvl>
    <w:lvl w:ilvl="3">
      <w:start w:val="1"/>
      <w:numFmt w:val="none"/>
      <w:suff w:val="nothing"/>
      <w:lvlText w:val=""/>
      <w:lvlJc w:val="left"/>
      <w:pPr>
        <w:tabs>
          <w:tab w:val="num" w:pos="0"/>
        </w:tabs>
        <w:ind w:left="0" w:hanging="0"/>
      </w:pPr>
      <w:rPr>
        <w:rFonts w:cs="Times New Roman"/>
      </w:rPr>
    </w:lvl>
    <w:lvl w:ilvl="4">
      <w:start w:val="1"/>
      <w:numFmt w:val="none"/>
      <w:suff w:val="nothing"/>
      <w:lvlText w:val=""/>
      <w:lvlJc w:val="left"/>
      <w:pPr>
        <w:tabs>
          <w:tab w:val="num" w:pos="0"/>
        </w:tabs>
        <w:ind w:left="0" w:hanging="0"/>
      </w:pPr>
      <w:rPr>
        <w:sz w:val="22"/>
        <w:b w:val="false"/>
        <w:rFonts w:cs="Times New Roman"/>
      </w:rPr>
    </w:lvl>
    <w:lvl w:ilvl="5">
      <w:start w:val="1"/>
      <w:numFmt w:val="none"/>
      <w:suff w:val="nothing"/>
      <w:lvlText w:val=""/>
      <w:lvlJc w:val="left"/>
      <w:pPr>
        <w:tabs>
          <w:tab w:val="num" w:pos="0"/>
        </w:tabs>
        <w:ind w:left="0" w:hanging="0"/>
      </w:pPr>
      <w:rPr>
        <w:rFonts w:cs="Times New Roman"/>
      </w:rPr>
    </w:lvl>
    <w:lvl w:ilvl="6">
      <w:start w:val="1"/>
      <w:numFmt w:val="none"/>
      <w:suff w:val="nothing"/>
      <w:lvlText w:val=""/>
      <w:lvlJc w:val="left"/>
      <w:pPr>
        <w:tabs>
          <w:tab w:val="num" w:pos="0"/>
        </w:tabs>
        <w:ind w:left="0" w:hanging="0"/>
      </w:pPr>
      <w:rPr>
        <w:b w:val="false"/>
        <w:rFonts w:cs="Times New Roman"/>
      </w:rPr>
    </w:lvl>
    <w:lvl w:ilvl="7">
      <w:start w:val="1"/>
      <w:numFmt w:val="none"/>
      <w:suff w:val="nothing"/>
      <w:lvlText w:val=""/>
      <w:lvlJc w:val="left"/>
      <w:pPr>
        <w:tabs>
          <w:tab w:val="num" w:pos="0"/>
        </w:tabs>
        <w:ind w:left="0" w:hanging="0"/>
      </w:pPr>
      <w:rPr>
        <w:rFonts w:cs="Times New Roman"/>
      </w:rPr>
    </w:lvl>
    <w:lvl w:ilvl="8">
      <w:start w:val="1"/>
      <w:numFmt w:val="none"/>
      <w:suff w:val="nothing"/>
      <w:lvlText w:val=""/>
      <w:lvlJc w:val="left"/>
      <w:pPr>
        <w:tabs>
          <w:tab w:val="num" w:pos="0"/>
        </w:tabs>
        <w:ind w:left="0" w:hanging="0"/>
      </w:pPr>
      <w:rPr>
        <w:rFonts w:cs="Times New Roman"/>
      </w:rPr>
    </w:lvl>
  </w:abstractNum>
  <w:abstractNum w:abstractNumId="29">
    <w:lvl w:ilvl="0">
      <w:start w:val="15"/>
      <w:numFmt w:val="decimal"/>
      <w:lvlText w:val=" %1 "/>
      <w:lvlJc w:val="left"/>
      <w:pPr>
        <w:tabs>
          <w:tab w:val="num" w:pos="720"/>
        </w:tabs>
        <w:ind w:left="720" w:hanging="360"/>
      </w:pPr>
    </w:lvl>
    <w:lvl w:ilvl="1">
      <w:start w:val="1"/>
      <w:numFmt w:val="decimal"/>
      <w:lvlText w:val=" %1.%2 "/>
      <w:lvlJc w:val="left"/>
      <w:pPr>
        <w:tabs>
          <w:tab w:val="num" w:pos="561"/>
        </w:tabs>
        <w:ind w:left="567" w:hanging="0"/>
      </w:pPr>
    </w:lvl>
    <w:lvl w:ilvl="2">
      <w:start w:val="1"/>
      <w:numFmt w:val="decimal"/>
      <w:lvlText w:val=" %1.%2.%3 "/>
      <w:lvlJc w:val="left"/>
      <w:pPr>
        <w:tabs>
          <w:tab w:val="num" w:pos="0"/>
        </w:tabs>
        <w:ind w:left="0" w:firstLine="567"/>
      </w:pPr>
    </w:lvl>
    <w:lvl w:ilvl="3">
      <w:start w:val="1"/>
      <w:numFmt w:val="decimal"/>
      <w:lvlText w:val=" %1.%2.%3.%4 "/>
      <w:lvlJc w:val="left"/>
      <w:pPr>
        <w:tabs>
          <w:tab w:val="num" w:pos="1800"/>
        </w:tabs>
        <w:ind w:left="1800" w:hanging="360"/>
      </w:pPr>
    </w:lvl>
    <w:lvl w:ilvl="4">
      <w:start w:val="1"/>
      <w:numFmt w:val="decimal"/>
      <w:lvlText w:val=" %1.%2.%3.%4.%5 "/>
      <w:lvlJc w:val="left"/>
      <w:pPr>
        <w:tabs>
          <w:tab w:val="num" w:pos="2160"/>
        </w:tabs>
        <w:ind w:left="2160" w:hanging="360"/>
      </w:pPr>
    </w:lvl>
    <w:lvl w:ilvl="5">
      <w:start w:val="1"/>
      <w:numFmt w:val="decimal"/>
      <w:lvlText w:val=" %1.%2.%3.%4.%5.%6 "/>
      <w:lvlJc w:val="left"/>
      <w:pPr>
        <w:tabs>
          <w:tab w:val="num" w:pos="2520"/>
        </w:tabs>
        <w:ind w:left="2520" w:hanging="360"/>
      </w:pPr>
    </w:lvl>
    <w:lvl w:ilvl="6">
      <w:start w:val="1"/>
      <w:numFmt w:val="decimal"/>
      <w:lvlText w:val=" %1.%2.%3.%4.%5.%6.%7 "/>
      <w:lvlJc w:val="left"/>
      <w:pPr>
        <w:tabs>
          <w:tab w:val="num" w:pos="2880"/>
        </w:tabs>
        <w:ind w:left="2880" w:hanging="360"/>
      </w:pPr>
    </w:lvl>
    <w:lvl w:ilvl="7">
      <w:start w:val="1"/>
      <w:numFmt w:val="decimal"/>
      <w:lvlText w:val=" %1.%2.%3.%4.%5.%6.%7.%8 "/>
      <w:lvlJc w:val="left"/>
      <w:pPr>
        <w:tabs>
          <w:tab w:val="num" w:pos="3240"/>
        </w:tabs>
        <w:ind w:left="3240" w:hanging="360"/>
      </w:pPr>
    </w:lvl>
    <w:lvl w:ilvl="8">
      <w:start w:val="1"/>
      <w:numFmt w:val="decimal"/>
      <w:lvlText w:val=" %1.%2.%3.%4.%5.%6.%7.%8.%9 "/>
      <w:lvlJc w:val="left"/>
      <w:pPr>
        <w:tabs>
          <w:tab w:val="num" w:pos="3600"/>
        </w:tabs>
        <w:ind w:left="3600" w:hanging="360"/>
      </w:pPr>
    </w:lvl>
  </w:abstractNum>
  <w:abstractNum w:abstractNumId="30">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Wingdings" w:hAnsi="Wingdings" w:cs="Wingdings"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1800"/>
        </w:tabs>
        <w:ind w:left="1800" w:hanging="360"/>
      </w:pPr>
      <w:rPr>
        <w:rFonts w:ascii="Wingdings" w:hAnsi="Wingdings" w:cs="Wingdings" w:hint="default"/>
      </w:rPr>
    </w:lvl>
    <w:lvl w:ilvl="4">
      <w:start w:val="1"/>
      <w:numFmt w:val="bullet"/>
      <w:lvlText w:val=""/>
      <w:lvlJc w:val="left"/>
      <w:pPr>
        <w:tabs>
          <w:tab w:val="num" w:pos="2160"/>
        </w:tabs>
        <w:ind w:left="2160" w:hanging="360"/>
      </w:pPr>
      <w:rPr>
        <w:rFonts w:ascii="Wingdings" w:hAnsi="Wingdings" w:cs="Wingdings" w:hint="default"/>
      </w:rPr>
    </w:lvl>
    <w:lvl w:ilvl="5">
      <w:start w:val="1"/>
      <w:numFmt w:val="bullet"/>
      <w:lvlText w:val=""/>
      <w:lvlJc w:val="left"/>
      <w:pPr>
        <w:tabs>
          <w:tab w:val="num" w:pos="2520"/>
        </w:tabs>
        <w:ind w:left="2520" w:hanging="360"/>
      </w:pPr>
      <w:rPr>
        <w:rFonts w:ascii="Wingdings" w:hAnsi="Wingdings" w:cs="Wingdings" w:hint="default"/>
      </w:rPr>
    </w:lvl>
    <w:lvl w:ilvl="6">
      <w:start w:val="1"/>
      <w:numFmt w:val="bullet"/>
      <w:lvlText w:val=""/>
      <w:lvlJc w:val="left"/>
      <w:pPr>
        <w:tabs>
          <w:tab w:val="num" w:pos="2880"/>
        </w:tabs>
        <w:ind w:left="2880" w:hanging="360"/>
      </w:pPr>
      <w:rPr>
        <w:rFonts w:ascii="Wingdings" w:hAnsi="Wingdings" w:cs="Wingdings" w:hint="default"/>
      </w:rPr>
    </w:lvl>
    <w:lvl w:ilvl="7">
      <w:start w:val="1"/>
      <w:numFmt w:val="bullet"/>
      <w:lvlText w:val=""/>
      <w:lvlJc w:val="left"/>
      <w:pPr>
        <w:tabs>
          <w:tab w:val="num" w:pos="3240"/>
        </w:tabs>
        <w:ind w:left="3240" w:hanging="360"/>
      </w:pPr>
      <w:rPr>
        <w:rFonts w:ascii="Wingdings" w:hAnsi="Wingdings" w:cs="Wingdings" w:hint="default"/>
      </w:rPr>
    </w:lvl>
    <w:lvl w:ilvl="8">
      <w:start w:val="1"/>
      <w:numFmt w:val="bullet"/>
      <w:lvlText w:val=""/>
      <w:lvlJc w:val="left"/>
      <w:pPr>
        <w:tabs>
          <w:tab w:val="num" w:pos="3600"/>
        </w:tabs>
        <w:ind w:left="3600" w:hanging="360"/>
      </w:pPr>
      <w:rPr>
        <w:rFonts w:ascii="Wingdings" w:hAnsi="Wingdings" w:cs="Wingdings" w:hint="default"/>
      </w:rPr>
    </w:lvl>
  </w:abstractNum>
  <w:abstractNum w:abstractNumId="31">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32">
    <w:lvl w:ilvl="0">
      <w:start w:val="1"/>
      <w:numFmt w:val="decimal"/>
      <w:lvlText w:val=" %1."/>
      <w:lvlJc w:val="left"/>
      <w:pPr>
        <w:tabs>
          <w:tab w:val="num" w:pos="754"/>
        </w:tabs>
        <w:ind w:left="754" w:hanging="329"/>
      </w:pPr>
    </w:lvl>
    <w:lvl w:ilvl="1">
      <w:start w:val="1"/>
      <w:numFmt w:val="lowerLetter"/>
      <w:lvlText w:val=" %2)"/>
      <w:lvlJc w:val="left"/>
      <w:pPr>
        <w:tabs>
          <w:tab w:val="num" w:pos="567"/>
        </w:tabs>
        <w:ind w:left="567" w:hanging="0"/>
      </w:pPr>
    </w:lvl>
    <w:lvl w:ilvl="2">
      <w:start w:val="1"/>
      <w:numFmt w:val="bullet"/>
      <w:lvlText w:val=""/>
      <w:lvlJc w:val="left"/>
      <w:pPr>
        <w:tabs>
          <w:tab w:val="num" w:pos="1548"/>
        </w:tabs>
        <w:ind w:left="1548" w:hanging="397"/>
      </w:pPr>
      <w:rPr>
        <w:rFonts w:ascii="Symbol" w:hAnsi="Symbol" w:cs="Symbol" w:hint="default"/>
      </w:rPr>
    </w:lvl>
    <w:lvl w:ilvl="3">
      <w:start w:val="1"/>
      <w:numFmt w:val="bullet"/>
      <w:lvlText w:val=""/>
      <w:lvlJc w:val="left"/>
      <w:pPr>
        <w:tabs>
          <w:tab w:val="num" w:pos="1945"/>
        </w:tabs>
        <w:ind w:left="1945" w:hanging="397"/>
      </w:pPr>
      <w:rPr>
        <w:rFonts w:ascii="Symbol" w:hAnsi="Symbol" w:cs="Symbol" w:hint="default"/>
      </w:rPr>
    </w:lvl>
    <w:lvl w:ilvl="4">
      <w:start w:val="1"/>
      <w:numFmt w:val="bullet"/>
      <w:lvlText w:val=""/>
      <w:lvlJc w:val="left"/>
      <w:pPr>
        <w:tabs>
          <w:tab w:val="num" w:pos="2342"/>
        </w:tabs>
        <w:ind w:left="2342" w:hanging="397"/>
      </w:pPr>
      <w:rPr>
        <w:rFonts w:ascii="Symbol" w:hAnsi="Symbol" w:cs="Symbol" w:hint="default"/>
      </w:rPr>
    </w:lvl>
    <w:lvl w:ilvl="5">
      <w:start w:val="1"/>
      <w:numFmt w:val="bullet"/>
      <w:lvlText w:val=""/>
      <w:lvlJc w:val="left"/>
      <w:pPr>
        <w:tabs>
          <w:tab w:val="num" w:pos="2739"/>
        </w:tabs>
        <w:ind w:left="2739" w:hanging="397"/>
      </w:pPr>
      <w:rPr>
        <w:rFonts w:ascii="Symbol" w:hAnsi="Symbol" w:cs="Symbol" w:hint="default"/>
      </w:rPr>
    </w:lvl>
    <w:lvl w:ilvl="6">
      <w:start w:val="1"/>
      <w:numFmt w:val="bullet"/>
      <w:lvlText w:val=""/>
      <w:lvlJc w:val="left"/>
      <w:pPr>
        <w:tabs>
          <w:tab w:val="num" w:pos="3136"/>
        </w:tabs>
        <w:ind w:left="3136" w:hanging="397"/>
      </w:pPr>
      <w:rPr>
        <w:rFonts w:ascii="Symbol" w:hAnsi="Symbol" w:cs="Symbol" w:hint="default"/>
      </w:rPr>
    </w:lvl>
    <w:lvl w:ilvl="7">
      <w:start w:val="1"/>
      <w:numFmt w:val="bullet"/>
      <w:lvlText w:val=""/>
      <w:lvlJc w:val="left"/>
      <w:pPr>
        <w:tabs>
          <w:tab w:val="num" w:pos="3533"/>
        </w:tabs>
        <w:ind w:left="3533" w:hanging="397"/>
      </w:pPr>
      <w:rPr>
        <w:rFonts w:ascii="Symbol" w:hAnsi="Symbol" w:cs="Symbol" w:hint="default"/>
      </w:rPr>
    </w:lvl>
    <w:lvl w:ilvl="8">
      <w:start w:val="1"/>
      <w:numFmt w:val="bullet"/>
      <w:lvlText w:val=""/>
      <w:lvlJc w:val="left"/>
      <w:pPr>
        <w:tabs>
          <w:tab w:val="num" w:pos="3930"/>
        </w:tabs>
        <w:ind w:left="3930" w:hanging="397"/>
      </w:pPr>
      <w:rPr>
        <w:rFonts w:ascii="Symbol" w:hAnsi="Symbol" w:cs="Symbol" w:hint="default"/>
      </w:rPr>
    </w:lvl>
  </w:abstractNum>
  <w:abstractNum w:abstractNumId="33">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bering>
</file>

<file path=word/settings.xml><?xml version="1.0" encoding="utf-8"?>
<w:settings xmlns:w="http://schemas.openxmlformats.org/wordprocessingml/2006/main">
  <w:zoom w:percent="12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sz w:val="22"/>
        <w:szCs w:val="22"/>
        <w:lang w:val="es-ES" w:eastAsia="es-ES" w:bidi="ar-SA"/>
      </w:rPr>
    </w:rPrDefault>
    <w:pPrDefault>
      <w:pPr>
        <w:suppressAutoHyphens w:val="true"/>
      </w:pPr>
    </w:pPrDefault>
  </w:docDefaults>
  <w:latentStyles w:defLockedState="1"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semiHidden="0" w:unhideWhenUsed="0" w:qFormat="1"/>
    <w:lsdException w:name="heading 3" w:uiPriority="9" w:semiHidden="0" w:unhideWhenUsed="0" w:qFormat="1"/>
    <w:lsdException w:name="heading 4" w:uiPriority="9" w:semiHidden="0" w:unhideWhenUsed="0" w:qFormat="1"/>
    <w:lsdException w:name="heading 5" w:uiPriority="9" w:semiHidden="0" w:unhideWhenUsed="0" w:qFormat="1"/>
    <w:lsdException w:name="heading 6" w:uiPriority="9" w:semiHidden="0" w:unhideWhenUsed="0" w:qFormat="1"/>
    <w:lsdException w:name="heading 7" w:uiPriority="0" w:semiHidden="0" w:unhideWhenUsed="0" w:qFormat="1"/>
    <w:lsdException w:name="heading 8" w:uiPriority="9" w:semiHidden="0" w:unhideWhenUsed="0" w:qFormat="1"/>
    <w:lsdException w:name="heading 9" w:uiPriority="9" w:semiHidden="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semiHidden="0" w:unhideWhenUsed="0" w:qFormat="1"/>
    <w:lsdException w:name="Title" w:uiPriority="10" w:semiHidden="0" w:unhideWhenUsed="0" w:qFormat="1"/>
    <w:lsdException w:name="Default Paragraph Font" w:uiPriority="1"/>
    <w:lsdException w:name="Subtitle" w:uiPriority="11" w:semiHidden="0" w:unhideWhenUsed="0" w:qFormat="1"/>
    <w:lsdException w:name="Hyperlink" w:qFormat="1"/>
    <w:lsdException w:name="Strong" w:uiPriority="0" w:semiHidden="0" w:unhideWhenUsed="0" w:qFormat="1"/>
    <w:lsdException w:name="Emphasis" w:uiPriority="20" w:semiHidden="0" w:unhideWhenUsed="0" w:qFormat="1"/>
    <w:lsdException w:name="Table Grid" w:uiPriority="59" w:semiHidden="0" w:unhideWhenUsed="0"/>
    <w:lsdException w:name="Placeholder Text" w:locked="0" w:unhideWhenUsed="0"/>
    <w:lsdException w:name="No Spacing" w:locked="0" w:uiPriority="1" w:semiHidden="0" w:unhideWhenUsed="0" w:qFormat="1"/>
    <w:lsdException w:name="Light Shading" w:locked="0" w:uiPriority="60" w:semiHidden="0" w:unhideWhenUsed="0"/>
    <w:lsdException w:name="Light List" w:locked="0" w:uiPriority="61" w:semiHidden="0" w:unhideWhenUsed="0"/>
    <w:lsdException w:name="Light Grid" w:locked="0" w:uiPriority="62" w:semiHidden="0" w:unhideWhenUsed="0"/>
    <w:lsdException w:name="Medium Shading 1" w:locked="0" w:uiPriority="63" w:semiHidden="0" w:unhideWhenUsed="0"/>
    <w:lsdException w:name="Medium Shading 2" w:locked="0" w:uiPriority="64" w:semiHidden="0" w:unhideWhenUsed="0"/>
    <w:lsdException w:name="Medium List 1" w:locked="0" w:uiPriority="65" w:semiHidden="0" w:unhideWhenUsed="0"/>
    <w:lsdException w:name="Medium List 2" w:locked="0" w:uiPriority="66" w:semiHidden="0" w:unhideWhenUsed="0"/>
    <w:lsdException w:name="Medium Grid 1" w:locked="0" w:uiPriority="67" w:semiHidden="0" w:unhideWhenUsed="0"/>
    <w:lsdException w:name="Medium Grid 2" w:locked="0" w:uiPriority="68" w:semiHidden="0" w:unhideWhenUsed="0"/>
    <w:lsdException w:name="Medium Grid 3" w:locked="0" w:uiPriority="69" w:semiHidden="0" w:unhideWhenUsed="0"/>
    <w:lsdException w:name="Dark List" w:locked="0" w:uiPriority="70" w:semiHidden="0" w:unhideWhenUsed="0"/>
    <w:lsdException w:name="Colorful Shading" w:locked="0" w:uiPriority="71" w:semiHidden="0" w:unhideWhenUsed="0"/>
    <w:lsdException w:name="Colorful List" w:locked="0" w:uiPriority="72" w:semiHidden="0" w:unhideWhenUsed="0"/>
    <w:lsdException w:name="Colorful Grid" w:locked="0" w:uiPriority="73" w:semiHidden="0" w:unhideWhenUsed="0"/>
    <w:lsdException w:name="Light Shading Accent 1" w:locked="0" w:uiPriority="60" w:semiHidden="0" w:unhideWhenUsed="0"/>
    <w:lsdException w:name="Light List Accent 1" w:locked="0" w:uiPriority="61" w:semiHidden="0" w:unhideWhenUsed="0"/>
    <w:lsdException w:name="Light Grid Accent 1" w:locked="0" w:uiPriority="62" w:semiHidden="0" w:unhideWhenUsed="0"/>
    <w:lsdException w:name="Medium Shading 1 Accent 1" w:locked="0" w:uiPriority="63" w:semiHidden="0" w:unhideWhenUsed="0"/>
    <w:lsdException w:name="Medium Shading 2 Accent 1" w:locked="0" w:uiPriority="64" w:semiHidden="0" w:unhideWhenUsed="0"/>
    <w:lsdException w:name="Medium List 1 Accent 1" w:locked="0" w:uiPriority="65" w:semiHidden="0" w:unhideWhenUsed="0"/>
    <w:lsdException w:name="Revision" w:locked="0" w:unhideWhenUsed="0"/>
    <w:lsdException w:name="List Paragraph" w:locked="0" w:semiHidden="0" w:unhideWhenUsed="0" w:qFormat="1"/>
    <w:lsdException w:name="Quote" w:locked="0" w:uiPriority="29" w:semiHidden="0" w:unhideWhenUsed="0" w:qFormat="1"/>
    <w:lsdException w:name="Intense Quote" w:locked="0" w:uiPriority="30" w:semiHidden="0" w:unhideWhenUsed="0" w:qFormat="1"/>
    <w:lsdException w:name="Medium List 2 Accent 1" w:locked="0" w:uiPriority="66" w:semiHidden="0" w:unhideWhenUsed="0"/>
    <w:lsdException w:name="Medium Grid 1 Accent 1" w:locked="0" w:uiPriority="67" w:semiHidden="0" w:unhideWhenUsed="0"/>
    <w:lsdException w:name="Medium Grid 2 Accent 1" w:locked="0" w:uiPriority="68" w:semiHidden="0" w:unhideWhenUsed="0"/>
    <w:lsdException w:name="Medium Grid 3 Accent 1" w:locked="0" w:uiPriority="69" w:semiHidden="0" w:unhideWhenUsed="0"/>
    <w:lsdException w:name="Dark List Accent 1" w:locked="0" w:uiPriority="70" w:semiHidden="0" w:unhideWhenUsed="0"/>
    <w:lsdException w:name="Colorful Shading Accent 1" w:locked="0" w:uiPriority="71" w:semiHidden="0" w:unhideWhenUsed="0"/>
    <w:lsdException w:name="Colorful List Accent 1" w:locked="0" w:uiPriority="72" w:semiHidden="0" w:unhideWhenUsed="0"/>
    <w:lsdException w:name="Colorful Grid Accent 1" w:locked="0" w:uiPriority="73" w:semiHidden="0" w:unhideWhenUsed="0"/>
    <w:lsdException w:name="Light Shading Accent 2" w:locked="0" w:uiPriority="60" w:semiHidden="0" w:unhideWhenUsed="0"/>
    <w:lsdException w:name="Light List Accent 2" w:locked="0" w:uiPriority="61" w:semiHidden="0" w:unhideWhenUsed="0"/>
    <w:lsdException w:name="Light Grid Accent 2" w:locked="0" w:uiPriority="62" w:semiHidden="0" w:unhideWhenUsed="0"/>
    <w:lsdException w:name="Medium Shading 1 Accent 2" w:locked="0" w:uiPriority="63" w:semiHidden="0" w:unhideWhenUsed="0"/>
    <w:lsdException w:name="Medium Shading 2 Accent 2" w:locked="0" w:uiPriority="64" w:semiHidden="0" w:unhideWhenUsed="0"/>
    <w:lsdException w:name="Medium List 1 Accent 2" w:locked="0" w:uiPriority="65" w:semiHidden="0" w:unhideWhenUsed="0"/>
    <w:lsdException w:name="Medium List 2 Accent 2" w:locked="0" w:uiPriority="66" w:semiHidden="0" w:unhideWhenUsed="0"/>
    <w:lsdException w:name="Medium Grid 1 Accent 2" w:locked="0" w:uiPriority="67" w:semiHidden="0" w:unhideWhenUsed="0"/>
    <w:lsdException w:name="Medium Grid 2 Accent 2" w:locked="0" w:uiPriority="68" w:semiHidden="0" w:unhideWhenUsed="0"/>
    <w:lsdException w:name="Medium Grid 3 Accent 2" w:locked="0" w:uiPriority="69" w:semiHidden="0" w:unhideWhenUsed="0"/>
    <w:lsdException w:name="Dark List Accent 2" w:locked="0" w:uiPriority="70" w:semiHidden="0" w:unhideWhenUsed="0"/>
    <w:lsdException w:name="Colorful Shading Accent 2" w:locked="0" w:uiPriority="71" w:semiHidden="0" w:unhideWhenUsed="0"/>
    <w:lsdException w:name="Colorful List Accent 2" w:locked="0" w:uiPriority="72" w:semiHidden="0" w:unhideWhenUsed="0"/>
    <w:lsdException w:name="Colorful Grid Accent 2" w:locked="0" w:uiPriority="73" w:semiHidden="0" w:unhideWhenUsed="0"/>
    <w:lsdException w:name="Light Shading Accent 3" w:locked="0" w:uiPriority="60" w:semiHidden="0" w:unhideWhenUsed="0"/>
    <w:lsdException w:name="Light List Accent 3" w:locked="0" w:uiPriority="61" w:semiHidden="0" w:unhideWhenUsed="0"/>
    <w:lsdException w:name="Light Grid Accent 3" w:locked="0" w:uiPriority="62" w:semiHidden="0" w:unhideWhenUsed="0"/>
    <w:lsdException w:name="Medium Shading 1 Accent 3" w:locked="0" w:uiPriority="63" w:semiHidden="0" w:unhideWhenUsed="0"/>
    <w:lsdException w:name="Medium Shading 2 Accent 3" w:locked="0" w:uiPriority="64" w:semiHidden="0" w:unhideWhenUsed="0"/>
    <w:lsdException w:name="Medium List 1 Accent 3" w:locked="0" w:uiPriority="65" w:semiHidden="0" w:unhideWhenUsed="0"/>
    <w:lsdException w:name="Medium List 2 Accent 3" w:locked="0" w:uiPriority="66" w:semiHidden="0" w:unhideWhenUsed="0"/>
    <w:lsdException w:name="Medium Grid 1 Accent 3" w:locked="0" w:uiPriority="67" w:semiHidden="0" w:unhideWhenUsed="0"/>
    <w:lsdException w:name="Medium Grid 2 Accent 3" w:locked="0" w:uiPriority="68" w:semiHidden="0" w:unhideWhenUsed="0"/>
    <w:lsdException w:name="Medium Grid 3 Accent 3" w:locked="0" w:uiPriority="69" w:semiHidden="0" w:unhideWhenUsed="0"/>
    <w:lsdException w:name="Dark List Accent 3" w:locked="0" w:uiPriority="70" w:semiHidden="0" w:unhideWhenUsed="0"/>
    <w:lsdException w:name="Colorful Shading Accent 3" w:locked="0" w:uiPriority="71" w:semiHidden="0" w:unhideWhenUsed="0"/>
    <w:lsdException w:name="Colorful List Accent 3" w:locked="0" w:uiPriority="72" w:semiHidden="0" w:unhideWhenUsed="0"/>
    <w:lsdException w:name="Colorful Grid Accent 3" w:locked="0" w:uiPriority="73" w:semiHidden="0" w:unhideWhenUsed="0"/>
    <w:lsdException w:name="Light Shading Accent 4" w:locked="0" w:uiPriority="60" w:semiHidden="0" w:unhideWhenUsed="0"/>
    <w:lsdException w:name="Light List Accent 4" w:locked="0" w:uiPriority="61" w:semiHidden="0" w:unhideWhenUsed="0"/>
    <w:lsdException w:name="Light Grid Accent 4" w:locked="0" w:uiPriority="62" w:semiHidden="0" w:unhideWhenUsed="0"/>
    <w:lsdException w:name="Medium Shading 1 Accent 4" w:locked="0" w:uiPriority="63" w:semiHidden="0" w:unhideWhenUsed="0"/>
    <w:lsdException w:name="Medium Shading 2 Accent 4" w:locked="0" w:uiPriority="64" w:semiHidden="0" w:unhideWhenUsed="0"/>
    <w:lsdException w:name="Medium List 1 Accent 4" w:locked="0" w:uiPriority="65" w:semiHidden="0" w:unhideWhenUsed="0"/>
    <w:lsdException w:name="Medium List 2 Accent 4" w:locked="0" w:uiPriority="66" w:semiHidden="0" w:unhideWhenUsed="0"/>
    <w:lsdException w:name="Medium Grid 1 Accent 4" w:locked="0" w:uiPriority="67" w:semiHidden="0" w:unhideWhenUsed="0"/>
    <w:lsdException w:name="Medium Grid 2 Accent 4" w:locked="0" w:uiPriority="68" w:semiHidden="0" w:unhideWhenUsed="0"/>
    <w:lsdException w:name="Medium Grid 3 Accent 4" w:locked="0" w:uiPriority="69" w:semiHidden="0" w:unhideWhenUsed="0"/>
    <w:lsdException w:name="Dark List Accent 4" w:locked="0" w:uiPriority="70" w:semiHidden="0" w:unhideWhenUsed="0"/>
    <w:lsdException w:name="Colorful Shading Accent 4" w:locked="0" w:uiPriority="71" w:semiHidden="0" w:unhideWhenUsed="0"/>
    <w:lsdException w:name="Colorful List Accent 4" w:locked="0" w:uiPriority="72" w:semiHidden="0" w:unhideWhenUsed="0"/>
    <w:lsdException w:name="Colorful Grid Accent 4" w:locked="0" w:uiPriority="73" w:semiHidden="0" w:unhideWhenUsed="0"/>
    <w:lsdException w:name="Light Shading Accent 5" w:locked="0" w:uiPriority="60" w:semiHidden="0" w:unhideWhenUsed="0"/>
    <w:lsdException w:name="Light List Accent 5" w:locked="0" w:uiPriority="61" w:semiHidden="0" w:unhideWhenUsed="0"/>
    <w:lsdException w:name="Light Grid Accent 5" w:locked="0" w:uiPriority="62" w:semiHidden="0" w:unhideWhenUsed="0"/>
    <w:lsdException w:name="Medium Shading 1 Accent 5" w:locked="0" w:uiPriority="63" w:semiHidden="0" w:unhideWhenUsed="0"/>
    <w:lsdException w:name="Medium Shading 2 Accent 5" w:locked="0" w:uiPriority="64" w:semiHidden="0" w:unhideWhenUsed="0"/>
    <w:lsdException w:name="Medium List 1 Accent 5" w:locked="0" w:uiPriority="65" w:semiHidden="0" w:unhideWhenUsed="0"/>
    <w:lsdException w:name="Medium List 2 Accent 5" w:locked="0" w:uiPriority="66" w:semiHidden="0" w:unhideWhenUsed="0"/>
    <w:lsdException w:name="Medium Grid 1 Accent 5" w:locked="0" w:uiPriority="67" w:semiHidden="0" w:unhideWhenUsed="0"/>
    <w:lsdException w:name="Medium Grid 2 Accent 5" w:locked="0" w:uiPriority="68" w:semiHidden="0" w:unhideWhenUsed="0"/>
    <w:lsdException w:name="Medium Grid 3 Accent 5" w:locked="0" w:uiPriority="69" w:semiHidden="0" w:unhideWhenUsed="0"/>
    <w:lsdException w:name="Dark List Accent 5" w:locked="0" w:uiPriority="70" w:semiHidden="0" w:unhideWhenUsed="0"/>
    <w:lsdException w:name="Colorful Shading Accent 5" w:locked="0" w:uiPriority="71" w:semiHidden="0" w:unhideWhenUsed="0"/>
    <w:lsdException w:name="Colorful List Accent 5" w:locked="0" w:uiPriority="72" w:semiHidden="0" w:unhideWhenUsed="0"/>
    <w:lsdException w:name="Colorful Grid Accent 5" w:locked="0" w:uiPriority="73" w:semiHidden="0" w:unhideWhenUsed="0"/>
    <w:lsdException w:name="Light Shading Accent 6" w:locked="0" w:uiPriority="60" w:semiHidden="0" w:unhideWhenUsed="0"/>
    <w:lsdException w:name="Light List Accent 6" w:locked="0" w:uiPriority="61" w:semiHidden="0" w:unhideWhenUsed="0"/>
    <w:lsdException w:name="Light Grid Accent 6" w:locked="0" w:uiPriority="62" w:semiHidden="0" w:unhideWhenUsed="0"/>
    <w:lsdException w:name="Medium Shading 1 Accent 6" w:locked="0" w:uiPriority="63" w:semiHidden="0" w:unhideWhenUsed="0"/>
    <w:lsdException w:name="Medium Shading 2 Accent 6" w:locked="0" w:uiPriority="64" w:semiHidden="0" w:unhideWhenUsed="0"/>
    <w:lsdException w:name="Medium List 1 Accent 6" w:locked="0" w:uiPriority="65" w:semiHidden="0" w:unhideWhenUsed="0"/>
    <w:lsdException w:name="Medium List 2 Accent 6" w:locked="0" w:uiPriority="66" w:semiHidden="0" w:unhideWhenUsed="0"/>
    <w:lsdException w:name="Medium Grid 1 Accent 6" w:locked="0" w:uiPriority="67" w:semiHidden="0" w:unhideWhenUsed="0"/>
    <w:lsdException w:name="Medium Grid 2 Accent 6" w:locked="0" w:uiPriority="68" w:semiHidden="0" w:unhideWhenUsed="0"/>
    <w:lsdException w:name="Medium Grid 3 Accent 6" w:locked="0" w:uiPriority="69" w:semiHidden="0" w:unhideWhenUsed="0"/>
    <w:lsdException w:name="Dark List Accent 6" w:locked="0" w:uiPriority="70" w:semiHidden="0" w:unhideWhenUsed="0"/>
    <w:lsdException w:name="Colorful Shading Accent 6" w:locked="0" w:uiPriority="71" w:semiHidden="0" w:unhideWhenUsed="0"/>
    <w:lsdException w:name="Colorful List Accent 6" w:locked="0" w:uiPriority="72" w:semiHidden="0" w:unhideWhenUsed="0"/>
    <w:lsdException w:name="Colorful Grid Accent 6" w:locked="0" w:uiPriority="73" w:semiHidden="0" w:unhideWhenUsed="0"/>
    <w:lsdException w:name="Subtle Emphasis" w:locked="0" w:uiPriority="19" w:semiHidden="0" w:unhideWhenUsed="0" w:qFormat="1"/>
    <w:lsdException w:name="Intense Emphasis" w:locked="0" w:uiPriority="21" w:semiHidden="0" w:unhideWhenUsed="0" w:qFormat="1"/>
    <w:lsdException w:name="Subtle Reference" w:locked="0" w:uiPriority="31" w:semiHidden="0" w:unhideWhenUsed="0" w:qFormat="1"/>
    <w:lsdException w:name="Intense Reference" w:locked="0" w:uiPriority="32" w:semiHidden="0" w:unhideWhenUsed="0" w:qFormat="1"/>
    <w:lsdException w:name="Book Title" w:locked="0" w:uiPriority="33" w:semiHidden="0" w:unhideWhenUsed="0" w:qFormat="1"/>
    <w:lsdException w:name="Bibliography" w:locked="0" w:uiPriority="37"/>
    <w:lsdException w:name="TOC Heading" w:locked="0" w:uiPriority="39" w:qFormat="1"/>
  </w:latentStyles>
  <w:style w:type="paragraph" w:styleId="Normal" w:default="1">
    <w:name w:val="Normal"/>
    <w:qFormat/>
    <w:rsid w:val="00fa1e7a"/>
    <w:pPr>
      <w:widowControl/>
      <w:suppressAutoHyphens w:val="true"/>
      <w:bidi w:val="0"/>
      <w:spacing w:before="0" w:after="0"/>
      <w:jc w:val="left"/>
    </w:pPr>
    <w:rPr>
      <w:rFonts w:ascii="Arial" w:hAnsi="Arial" w:eastAsia="SimSun;宋体" w:cs="Arial"/>
      <w:color w:val="00000A"/>
      <w:kern w:val="0"/>
      <w:sz w:val="20"/>
      <w:szCs w:val="20"/>
      <w:lang w:val="ca-ES" w:eastAsia="zh-CN" w:bidi="ar-SA"/>
    </w:rPr>
  </w:style>
  <w:style w:type="paragraph" w:styleId="Encapalament1">
    <w:name w:val="Heading 1"/>
    <w:basedOn w:val="Normal"/>
    <w:next w:val="Normal"/>
    <w:link w:val="Ttulo1Car"/>
    <w:uiPriority w:val="99"/>
    <w:qFormat/>
    <w:rsid w:val="00fa1e7a"/>
    <w:pPr>
      <w:keepNext w:val="true"/>
      <w:numPr>
        <w:ilvl w:val="0"/>
        <w:numId w:val="1"/>
      </w:numPr>
      <w:spacing w:before="240" w:after="60"/>
      <w:outlineLvl w:val="0"/>
    </w:pPr>
    <w:rPr>
      <w:b/>
      <w:kern w:val="2"/>
      <w:sz w:val="28"/>
    </w:rPr>
  </w:style>
  <w:style w:type="paragraph" w:styleId="Encapalament2">
    <w:name w:val="Heading 2"/>
    <w:basedOn w:val="Normal"/>
    <w:next w:val="Normal"/>
    <w:link w:val="Ttulo2Car"/>
    <w:uiPriority w:val="99"/>
    <w:qFormat/>
    <w:rsid w:val="00fa1e7a"/>
    <w:pPr>
      <w:keepNext w:val="true"/>
      <w:numPr>
        <w:ilvl w:val="1"/>
        <w:numId w:val="1"/>
      </w:numPr>
      <w:jc w:val="both"/>
      <w:outlineLvl w:val="1"/>
    </w:pPr>
    <w:rPr>
      <w:rFonts w:ascii="Times New Roman" w:hAnsi="Times New Roman" w:cs="Times New Roman"/>
      <w:sz w:val="28"/>
      <w:lang w:val="es-ES"/>
    </w:rPr>
  </w:style>
  <w:style w:type="paragraph" w:styleId="Encapalament3">
    <w:name w:val="Heading 3"/>
    <w:basedOn w:val="Normal"/>
    <w:next w:val="Normal"/>
    <w:link w:val="Ttulo3Car"/>
    <w:uiPriority w:val="99"/>
    <w:qFormat/>
    <w:rsid w:val="00fa1e7a"/>
    <w:pPr>
      <w:keepNext w:val="true"/>
      <w:numPr>
        <w:ilvl w:val="2"/>
        <w:numId w:val="1"/>
      </w:numPr>
      <w:jc w:val="both"/>
      <w:outlineLvl w:val="2"/>
    </w:pPr>
    <w:rPr>
      <w:b/>
      <w:color w:val="0000FF"/>
      <w:sz w:val="22"/>
    </w:rPr>
  </w:style>
  <w:style w:type="paragraph" w:styleId="Encapalament4">
    <w:name w:val="Heading 4"/>
    <w:basedOn w:val="Normal"/>
    <w:next w:val="Normal"/>
    <w:link w:val="Ttulo4Car"/>
    <w:uiPriority w:val="99"/>
    <w:qFormat/>
    <w:rsid w:val="00fa1e7a"/>
    <w:pPr>
      <w:keepNext w:val="true"/>
      <w:numPr>
        <w:ilvl w:val="3"/>
        <w:numId w:val="1"/>
      </w:numPr>
      <w:jc w:val="center"/>
      <w:outlineLvl w:val="3"/>
    </w:pPr>
    <w:rPr>
      <w:b/>
      <w:sz w:val="28"/>
    </w:rPr>
  </w:style>
  <w:style w:type="paragraph" w:styleId="Encapalament5">
    <w:name w:val="Heading 5"/>
    <w:basedOn w:val="Normal"/>
    <w:next w:val="Normal"/>
    <w:link w:val="Ttulo5Car"/>
    <w:uiPriority w:val="99"/>
    <w:qFormat/>
    <w:rsid w:val="00fa1e7a"/>
    <w:pPr>
      <w:keepNext w:val="true"/>
      <w:numPr>
        <w:ilvl w:val="4"/>
        <w:numId w:val="1"/>
      </w:numPr>
      <w:jc w:val="center"/>
      <w:outlineLvl w:val="4"/>
    </w:pPr>
    <w:rPr>
      <w:b/>
      <w:sz w:val="24"/>
    </w:rPr>
  </w:style>
  <w:style w:type="paragraph" w:styleId="Encapalament6">
    <w:name w:val="Heading 6"/>
    <w:basedOn w:val="Normal"/>
    <w:next w:val="Normal"/>
    <w:link w:val="Ttulo6Car"/>
    <w:uiPriority w:val="99"/>
    <w:qFormat/>
    <w:rsid w:val="00fa1e7a"/>
    <w:pPr>
      <w:keepNext w:val="true"/>
      <w:numPr>
        <w:ilvl w:val="5"/>
        <w:numId w:val="1"/>
      </w:numPr>
      <w:jc w:val="both"/>
      <w:outlineLvl w:val="5"/>
    </w:pPr>
    <w:rPr>
      <w:sz w:val="24"/>
    </w:rPr>
  </w:style>
  <w:style w:type="paragraph" w:styleId="Encapalament7">
    <w:name w:val="Heading 7"/>
    <w:basedOn w:val="Normal"/>
    <w:next w:val="Normal"/>
    <w:link w:val="Ttulo7Car"/>
    <w:qFormat/>
    <w:rsid w:val="00fa1e7a"/>
    <w:pPr>
      <w:keepNext w:val="true"/>
      <w:numPr>
        <w:ilvl w:val="6"/>
        <w:numId w:val="1"/>
      </w:numPr>
      <w:jc w:val="both"/>
      <w:outlineLvl w:val="6"/>
    </w:pPr>
    <w:rPr>
      <w:b/>
      <w:sz w:val="22"/>
    </w:rPr>
  </w:style>
  <w:style w:type="paragraph" w:styleId="Encapalament8">
    <w:name w:val="Heading 8"/>
    <w:basedOn w:val="Normal"/>
    <w:next w:val="Normal"/>
    <w:link w:val="Ttulo8Car"/>
    <w:uiPriority w:val="99"/>
    <w:qFormat/>
    <w:rsid w:val="00fa1e7a"/>
    <w:pPr>
      <w:keepNext w:val="true"/>
      <w:numPr>
        <w:ilvl w:val="7"/>
        <w:numId w:val="1"/>
      </w:numPr>
      <w:outlineLvl w:val="7"/>
    </w:pPr>
    <w:rPr>
      <w:b/>
      <w:sz w:val="22"/>
    </w:rPr>
  </w:style>
  <w:style w:type="paragraph" w:styleId="Encapalament9">
    <w:name w:val="Heading 9"/>
    <w:basedOn w:val="Normal"/>
    <w:next w:val="Normal"/>
    <w:link w:val="Ttulo9Car"/>
    <w:uiPriority w:val="99"/>
    <w:qFormat/>
    <w:rsid w:val="00fa1e7a"/>
    <w:pPr>
      <w:keepNext w:val="true"/>
      <w:numPr>
        <w:ilvl w:val="8"/>
        <w:numId w:val="1"/>
      </w:numPr>
      <w:jc w:val="center"/>
      <w:outlineLvl w:val="8"/>
    </w:pPr>
    <w:rPr>
      <w:b/>
      <w:color w:val="000000"/>
      <w:lang w:val="es-ES"/>
    </w:rPr>
  </w:style>
  <w:style w:type="character" w:styleId="DefaultParagraphFont" w:default="1">
    <w:name w:val="Default Paragraph Font"/>
    <w:uiPriority w:val="1"/>
    <w:semiHidden/>
    <w:unhideWhenUsed/>
    <w:qFormat/>
    <w:rPr/>
  </w:style>
  <w:style w:type="character" w:styleId="Ttulo1Car" w:customStyle="1">
    <w:name w:val="Título 1 Car"/>
    <w:basedOn w:val="DefaultParagraphFont"/>
    <w:link w:val="Ttulo1"/>
    <w:uiPriority w:val="99"/>
    <w:qFormat/>
    <w:locked/>
    <w:rPr>
      <w:rFonts w:ascii="Cambria" w:hAnsi="Cambria" w:cs="Times New Roman"/>
      <w:b/>
      <w:bCs/>
      <w:color w:val="00000A"/>
      <w:kern w:val="2"/>
      <w:sz w:val="32"/>
      <w:szCs w:val="32"/>
      <w:lang w:val="ca-ES" w:eastAsia="zh-CN"/>
    </w:rPr>
  </w:style>
  <w:style w:type="character" w:styleId="Ttulo2Car" w:customStyle="1">
    <w:name w:val="Título 2 Car"/>
    <w:basedOn w:val="DefaultParagraphFont"/>
    <w:link w:val="Ttulo2"/>
    <w:uiPriority w:val="99"/>
    <w:semiHidden/>
    <w:qFormat/>
    <w:locked/>
    <w:rPr>
      <w:rFonts w:ascii="Cambria" w:hAnsi="Cambria" w:cs="Times New Roman"/>
      <w:b/>
      <w:bCs/>
      <w:i/>
      <w:iCs/>
      <w:color w:val="00000A"/>
      <w:sz w:val="28"/>
      <w:szCs w:val="28"/>
      <w:lang w:val="ca-ES" w:eastAsia="zh-CN"/>
    </w:rPr>
  </w:style>
  <w:style w:type="character" w:styleId="Ttulo3Car" w:customStyle="1">
    <w:name w:val="Título 3 Car"/>
    <w:basedOn w:val="DefaultParagraphFont"/>
    <w:link w:val="Ttulo3"/>
    <w:uiPriority w:val="99"/>
    <w:semiHidden/>
    <w:qFormat/>
    <w:locked/>
    <w:rPr>
      <w:rFonts w:ascii="Cambria" w:hAnsi="Cambria" w:cs="Times New Roman"/>
      <w:b/>
      <w:bCs/>
      <w:color w:val="00000A"/>
      <w:sz w:val="26"/>
      <w:szCs w:val="26"/>
      <w:lang w:val="ca-ES" w:eastAsia="zh-CN"/>
    </w:rPr>
  </w:style>
  <w:style w:type="character" w:styleId="Ttulo4Car" w:customStyle="1">
    <w:name w:val="Título 4 Car"/>
    <w:basedOn w:val="DefaultParagraphFont"/>
    <w:link w:val="Ttulo4"/>
    <w:uiPriority w:val="99"/>
    <w:semiHidden/>
    <w:qFormat/>
    <w:locked/>
    <w:rPr>
      <w:rFonts w:ascii="Calibri" w:hAnsi="Calibri" w:cs="Times New Roman"/>
      <w:b/>
      <w:bCs/>
      <w:color w:val="00000A"/>
      <w:sz w:val="28"/>
      <w:szCs w:val="28"/>
      <w:lang w:val="ca-ES" w:eastAsia="zh-CN"/>
    </w:rPr>
  </w:style>
  <w:style w:type="character" w:styleId="Ttulo5Car" w:customStyle="1">
    <w:name w:val="Título 5 Car"/>
    <w:basedOn w:val="DefaultParagraphFont"/>
    <w:link w:val="Ttulo5"/>
    <w:uiPriority w:val="99"/>
    <w:semiHidden/>
    <w:qFormat/>
    <w:locked/>
    <w:rPr>
      <w:rFonts w:ascii="Calibri" w:hAnsi="Calibri" w:cs="Times New Roman"/>
      <w:b/>
      <w:bCs/>
      <w:i/>
      <w:iCs/>
      <w:color w:val="00000A"/>
      <w:sz w:val="26"/>
      <w:szCs w:val="26"/>
      <w:lang w:val="ca-ES" w:eastAsia="zh-CN"/>
    </w:rPr>
  </w:style>
  <w:style w:type="character" w:styleId="Ttulo6Car" w:customStyle="1">
    <w:name w:val="Título 6 Car"/>
    <w:basedOn w:val="DefaultParagraphFont"/>
    <w:link w:val="Ttulo6"/>
    <w:uiPriority w:val="99"/>
    <w:semiHidden/>
    <w:qFormat/>
    <w:locked/>
    <w:rPr>
      <w:rFonts w:ascii="Calibri" w:hAnsi="Calibri" w:cs="Times New Roman"/>
      <w:b/>
      <w:bCs/>
      <w:color w:val="00000A"/>
      <w:lang w:val="ca-ES" w:eastAsia="zh-CN"/>
    </w:rPr>
  </w:style>
  <w:style w:type="character" w:styleId="Ttulo7Car" w:customStyle="1">
    <w:name w:val="Título 7 Car"/>
    <w:basedOn w:val="DefaultParagraphFont"/>
    <w:link w:val="Ttulo7"/>
    <w:uiPriority w:val="99"/>
    <w:qFormat/>
    <w:locked/>
    <w:rPr>
      <w:rFonts w:ascii="Arial" w:hAnsi="Arial" w:eastAsia="SimSun;宋体"/>
      <w:b/>
      <w:color w:val="00000A"/>
      <w:szCs w:val="20"/>
      <w:lang w:val="ca-ES" w:eastAsia="zh-CN"/>
    </w:rPr>
  </w:style>
  <w:style w:type="character" w:styleId="Ttulo8Car" w:customStyle="1">
    <w:name w:val="Título 8 Car"/>
    <w:basedOn w:val="DefaultParagraphFont"/>
    <w:link w:val="Ttulo8"/>
    <w:uiPriority w:val="99"/>
    <w:semiHidden/>
    <w:qFormat/>
    <w:locked/>
    <w:rPr>
      <w:rFonts w:ascii="Calibri" w:hAnsi="Calibri" w:cs="Times New Roman"/>
      <w:i/>
      <w:iCs/>
      <w:color w:val="00000A"/>
      <w:sz w:val="24"/>
      <w:szCs w:val="24"/>
      <w:lang w:val="ca-ES" w:eastAsia="zh-CN"/>
    </w:rPr>
  </w:style>
  <w:style w:type="character" w:styleId="Ttulo9Car" w:customStyle="1">
    <w:name w:val="Título 9 Car"/>
    <w:basedOn w:val="DefaultParagraphFont"/>
    <w:link w:val="Ttulo9"/>
    <w:uiPriority w:val="99"/>
    <w:semiHidden/>
    <w:qFormat/>
    <w:locked/>
    <w:rPr>
      <w:rFonts w:ascii="Cambria" w:hAnsi="Cambria" w:cs="Times New Roman"/>
      <w:color w:val="00000A"/>
      <w:lang w:val="ca-ES" w:eastAsia="zh-CN"/>
    </w:rPr>
  </w:style>
  <w:style w:type="character" w:styleId="WW8Num1z0" w:customStyle="1">
    <w:name w:val="WW8Num1z0"/>
    <w:uiPriority w:val="99"/>
    <w:qFormat/>
    <w:rsid w:val="00fa1e7a"/>
    <w:rPr/>
  </w:style>
  <w:style w:type="character" w:styleId="WW8Num2z0" w:customStyle="1">
    <w:name w:val="WW8Num2z0"/>
    <w:uiPriority w:val="99"/>
    <w:qFormat/>
    <w:rsid w:val="00fa1e7a"/>
    <w:rPr>
      <w:rFonts w:ascii="Liberation Serif;Times New Roma" w:hAnsi="Liberation Serif;Times New Roma"/>
      <w:b/>
      <w:color w:val="000000"/>
      <w:sz w:val="22"/>
      <w:lang w:eastAsia="es-ES"/>
    </w:rPr>
  </w:style>
  <w:style w:type="character" w:styleId="WW8Num3z0" w:customStyle="1">
    <w:name w:val="WW8Num3z0"/>
    <w:uiPriority w:val="99"/>
    <w:qFormat/>
    <w:rsid w:val="00fa1e7a"/>
    <w:rPr>
      <w:rFonts w:ascii="Courier New" w:hAnsi="Courier New"/>
    </w:rPr>
  </w:style>
  <w:style w:type="character" w:styleId="WW8Num4z0" w:customStyle="1">
    <w:name w:val="WW8Num4z0"/>
    <w:uiPriority w:val="99"/>
    <w:qFormat/>
    <w:rsid w:val="00fa1e7a"/>
    <w:rPr>
      <w:rFonts w:ascii="Symbol" w:hAnsi="Symbol"/>
    </w:rPr>
  </w:style>
  <w:style w:type="character" w:styleId="WW8Num5z0" w:customStyle="1">
    <w:name w:val="WW8Num5z0"/>
    <w:uiPriority w:val="99"/>
    <w:qFormat/>
    <w:rsid w:val="00fa1e7a"/>
    <w:rPr>
      <w:rFonts w:ascii="Times New Roman" w:hAnsi="Times New Roman"/>
      <w:sz w:val="22"/>
      <w:u w:val="none"/>
    </w:rPr>
  </w:style>
  <w:style w:type="character" w:styleId="WW8Num5z1" w:customStyle="1">
    <w:name w:val="WW8Num5z1"/>
    <w:uiPriority w:val="99"/>
    <w:qFormat/>
    <w:rsid w:val="00fa1e7a"/>
    <w:rPr/>
  </w:style>
  <w:style w:type="character" w:styleId="WW8Num6z0" w:customStyle="1">
    <w:name w:val="WW8Num6z0"/>
    <w:uiPriority w:val="99"/>
    <w:qFormat/>
    <w:rsid w:val="00fa1e7a"/>
    <w:rPr>
      <w:rFonts w:ascii="Symbol" w:hAnsi="Symbol"/>
      <w:color w:val="000000"/>
      <w:sz w:val="24"/>
      <w:lang w:val="ca-ES"/>
    </w:rPr>
  </w:style>
  <w:style w:type="character" w:styleId="WW8Num7z0" w:customStyle="1">
    <w:name w:val="WW8Num7z0"/>
    <w:uiPriority w:val="99"/>
    <w:qFormat/>
    <w:rsid w:val="00fa1e7a"/>
    <w:rPr>
      <w:sz w:val="23"/>
      <w:lang w:val="ca-ES"/>
    </w:rPr>
  </w:style>
  <w:style w:type="character" w:styleId="WW8Num8z0" w:customStyle="1">
    <w:name w:val="WW8Num8z0"/>
    <w:uiPriority w:val="99"/>
    <w:qFormat/>
    <w:rsid w:val="00fa1e7a"/>
    <w:rPr>
      <w:i/>
      <w:sz w:val="22"/>
    </w:rPr>
  </w:style>
  <w:style w:type="character" w:styleId="WW8Num9z0" w:customStyle="1">
    <w:name w:val="WW8Num9z0"/>
    <w:uiPriority w:val="99"/>
    <w:qFormat/>
    <w:rsid w:val="00fa1e7a"/>
    <w:rPr>
      <w:rFonts w:ascii="Calibri" w:hAnsi="Calibri" w:eastAsia="SimSun;宋体"/>
      <w:color w:val="00000A"/>
      <w:sz w:val="22"/>
      <w:lang w:val="ca-ES" w:eastAsia="zh-CN"/>
    </w:rPr>
  </w:style>
  <w:style w:type="character" w:styleId="WW8Num9z1" w:customStyle="1">
    <w:name w:val="WW8Num9z1"/>
    <w:uiPriority w:val="99"/>
    <w:qFormat/>
    <w:rsid w:val="00fa1e7a"/>
    <w:rPr/>
  </w:style>
  <w:style w:type="character" w:styleId="WW8Num10z0" w:customStyle="1">
    <w:name w:val="WW8Num10z0"/>
    <w:uiPriority w:val="99"/>
    <w:qFormat/>
    <w:rsid w:val="00fa1e7a"/>
    <w:rPr>
      <w:rFonts w:ascii="Arial" w:hAnsi="Arial"/>
      <w:sz w:val="22"/>
    </w:rPr>
  </w:style>
  <w:style w:type="character" w:styleId="WW8Num10z1" w:customStyle="1">
    <w:name w:val="WW8Num10z1"/>
    <w:uiPriority w:val="99"/>
    <w:qFormat/>
    <w:rsid w:val="00fa1e7a"/>
    <w:rPr>
      <w:sz w:val="22"/>
    </w:rPr>
  </w:style>
  <w:style w:type="character" w:styleId="WW8Num10z2" w:customStyle="1">
    <w:name w:val="WW8Num10z2"/>
    <w:uiPriority w:val="99"/>
    <w:qFormat/>
    <w:rsid w:val="00fa1e7a"/>
    <w:rPr/>
  </w:style>
  <w:style w:type="character" w:styleId="WW8Num11z0" w:customStyle="1">
    <w:name w:val="WW8Num11z0"/>
    <w:uiPriority w:val="99"/>
    <w:qFormat/>
    <w:rsid w:val="00fa1e7a"/>
    <w:rPr>
      <w:rFonts w:ascii="Arial" w:hAnsi="Arial"/>
      <w:color w:val="000000"/>
      <w:sz w:val="22"/>
      <w:lang w:val="ca-ES"/>
    </w:rPr>
  </w:style>
  <w:style w:type="character" w:styleId="WW8Num11z1" w:customStyle="1">
    <w:name w:val="WW8Num11z1"/>
    <w:uiPriority w:val="99"/>
    <w:qFormat/>
    <w:rsid w:val="00fa1e7a"/>
    <w:rPr/>
  </w:style>
  <w:style w:type="character" w:styleId="WW8Num12z0" w:customStyle="1">
    <w:name w:val="WW8Num12z0"/>
    <w:uiPriority w:val="99"/>
    <w:qFormat/>
    <w:rsid w:val="00fa1e7a"/>
    <w:rPr/>
  </w:style>
  <w:style w:type="character" w:styleId="WW8Num12z1" w:customStyle="1">
    <w:name w:val="WW8Num12z1"/>
    <w:uiPriority w:val="99"/>
    <w:qFormat/>
    <w:rsid w:val="00fa1e7a"/>
    <w:rPr>
      <w:sz w:val="22"/>
    </w:rPr>
  </w:style>
  <w:style w:type="character" w:styleId="WW8Num12z2" w:customStyle="1">
    <w:name w:val="WW8Num12z2"/>
    <w:uiPriority w:val="99"/>
    <w:qFormat/>
    <w:rsid w:val="00fa1e7a"/>
    <w:rPr/>
  </w:style>
  <w:style w:type="character" w:styleId="WW8Num12z3" w:customStyle="1">
    <w:name w:val="WW8Num12z3"/>
    <w:uiPriority w:val="99"/>
    <w:qFormat/>
    <w:rsid w:val="00fa1e7a"/>
    <w:rPr/>
  </w:style>
  <w:style w:type="character" w:styleId="WW8Num12z4" w:customStyle="1">
    <w:name w:val="WW8Num12z4"/>
    <w:uiPriority w:val="99"/>
    <w:qFormat/>
    <w:rsid w:val="00fa1e7a"/>
    <w:rPr/>
  </w:style>
  <w:style w:type="character" w:styleId="WW8Num12z5" w:customStyle="1">
    <w:name w:val="WW8Num12z5"/>
    <w:uiPriority w:val="99"/>
    <w:qFormat/>
    <w:rsid w:val="00fa1e7a"/>
    <w:rPr/>
  </w:style>
  <w:style w:type="character" w:styleId="WW8Num12z6" w:customStyle="1">
    <w:name w:val="WW8Num12z6"/>
    <w:uiPriority w:val="99"/>
    <w:qFormat/>
    <w:rsid w:val="00fa1e7a"/>
    <w:rPr/>
  </w:style>
  <w:style w:type="character" w:styleId="WW8Num12z7" w:customStyle="1">
    <w:name w:val="WW8Num12z7"/>
    <w:uiPriority w:val="99"/>
    <w:qFormat/>
    <w:rsid w:val="00fa1e7a"/>
    <w:rPr/>
  </w:style>
  <w:style w:type="character" w:styleId="WW8Num12z8" w:customStyle="1">
    <w:name w:val="WW8Num12z8"/>
    <w:uiPriority w:val="99"/>
    <w:qFormat/>
    <w:rsid w:val="00fa1e7a"/>
    <w:rPr/>
  </w:style>
  <w:style w:type="character" w:styleId="WW8Num13z0" w:customStyle="1">
    <w:name w:val="WW8Num13z0"/>
    <w:uiPriority w:val="99"/>
    <w:qFormat/>
    <w:rsid w:val="00fa1e7a"/>
    <w:rPr/>
  </w:style>
  <w:style w:type="character" w:styleId="WW8Num14z0" w:customStyle="1">
    <w:name w:val="WW8Num14z0"/>
    <w:uiPriority w:val="99"/>
    <w:qFormat/>
    <w:rsid w:val="00fa1e7a"/>
    <w:rPr>
      <w:color w:val="000000"/>
      <w:sz w:val="22"/>
    </w:rPr>
  </w:style>
  <w:style w:type="character" w:styleId="WW8Num15z0" w:customStyle="1">
    <w:name w:val="WW8Num15z0"/>
    <w:uiPriority w:val="99"/>
    <w:qFormat/>
    <w:rsid w:val="00fa1e7a"/>
    <w:rPr>
      <w:sz w:val="22"/>
    </w:rPr>
  </w:style>
  <w:style w:type="character" w:styleId="WW8Num15z1" w:customStyle="1">
    <w:name w:val="WW8Num15z1"/>
    <w:uiPriority w:val="99"/>
    <w:qFormat/>
    <w:rsid w:val="00fa1e7a"/>
    <w:rPr/>
  </w:style>
  <w:style w:type="character" w:styleId="WW8Num16z0" w:customStyle="1">
    <w:name w:val="WW8Num16z0"/>
    <w:uiPriority w:val="99"/>
    <w:qFormat/>
    <w:rsid w:val="00fa1e7a"/>
    <w:rPr/>
  </w:style>
  <w:style w:type="character" w:styleId="WW8Num17z0" w:customStyle="1">
    <w:name w:val="WW8Num17z0"/>
    <w:uiPriority w:val="99"/>
    <w:qFormat/>
    <w:rsid w:val="00fa1e7a"/>
    <w:rPr>
      <w:sz w:val="22"/>
    </w:rPr>
  </w:style>
  <w:style w:type="character" w:styleId="WW8Num17z1" w:customStyle="1">
    <w:name w:val="WW8Num17z1"/>
    <w:uiPriority w:val="99"/>
    <w:qFormat/>
    <w:rsid w:val="00fa1e7a"/>
    <w:rPr>
      <w:u w:val="none"/>
    </w:rPr>
  </w:style>
  <w:style w:type="character" w:styleId="WW8Num17z2" w:customStyle="1">
    <w:name w:val="WW8Num17z2"/>
    <w:uiPriority w:val="99"/>
    <w:qFormat/>
    <w:rsid w:val="00fa1e7a"/>
    <w:rPr/>
  </w:style>
  <w:style w:type="character" w:styleId="WW8Num13z1" w:customStyle="1">
    <w:name w:val="WW8Num13z1"/>
    <w:uiPriority w:val="99"/>
    <w:qFormat/>
    <w:rsid w:val="00fa1e7a"/>
    <w:rPr>
      <w:sz w:val="22"/>
    </w:rPr>
  </w:style>
  <w:style w:type="character" w:styleId="WW8Num13z2" w:customStyle="1">
    <w:name w:val="WW8Num13z2"/>
    <w:uiPriority w:val="99"/>
    <w:qFormat/>
    <w:rsid w:val="00fa1e7a"/>
    <w:rPr/>
  </w:style>
  <w:style w:type="character" w:styleId="WW8Num13z3" w:customStyle="1">
    <w:name w:val="WW8Num13z3"/>
    <w:uiPriority w:val="99"/>
    <w:qFormat/>
    <w:rsid w:val="00fa1e7a"/>
    <w:rPr/>
  </w:style>
  <w:style w:type="character" w:styleId="WW8Num13z4" w:customStyle="1">
    <w:name w:val="WW8Num13z4"/>
    <w:uiPriority w:val="99"/>
    <w:qFormat/>
    <w:rsid w:val="00fa1e7a"/>
    <w:rPr/>
  </w:style>
  <w:style w:type="character" w:styleId="WW8Num13z5" w:customStyle="1">
    <w:name w:val="WW8Num13z5"/>
    <w:uiPriority w:val="99"/>
    <w:qFormat/>
    <w:rsid w:val="00fa1e7a"/>
    <w:rPr/>
  </w:style>
  <w:style w:type="character" w:styleId="WW8Num13z6" w:customStyle="1">
    <w:name w:val="WW8Num13z6"/>
    <w:uiPriority w:val="99"/>
    <w:qFormat/>
    <w:rsid w:val="00fa1e7a"/>
    <w:rPr/>
  </w:style>
  <w:style w:type="character" w:styleId="WW8Num13z7" w:customStyle="1">
    <w:name w:val="WW8Num13z7"/>
    <w:uiPriority w:val="99"/>
    <w:qFormat/>
    <w:rsid w:val="00fa1e7a"/>
    <w:rPr/>
  </w:style>
  <w:style w:type="character" w:styleId="WW8Num13z8" w:customStyle="1">
    <w:name w:val="WW8Num13z8"/>
    <w:uiPriority w:val="99"/>
    <w:qFormat/>
    <w:rsid w:val="00fa1e7a"/>
    <w:rPr/>
  </w:style>
  <w:style w:type="character" w:styleId="WW8Num16z1" w:customStyle="1">
    <w:name w:val="WW8Num16z1"/>
    <w:uiPriority w:val="99"/>
    <w:qFormat/>
    <w:rsid w:val="00fa1e7a"/>
    <w:rPr/>
  </w:style>
  <w:style w:type="character" w:styleId="WW8Num18z0" w:customStyle="1">
    <w:name w:val="WW8Num18z0"/>
    <w:uiPriority w:val="99"/>
    <w:qFormat/>
    <w:rsid w:val="00fa1e7a"/>
    <w:rPr>
      <w:sz w:val="22"/>
    </w:rPr>
  </w:style>
  <w:style w:type="character" w:styleId="WW8Num18z1" w:customStyle="1">
    <w:name w:val="WW8Num18z1"/>
    <w:uiPriority w:val="99"/>
    <w:qFormat/>
    <w:rsid w:val="00fa1e7a"/>
    <w:rPr>
      <w:u w:val="none"/>
    </w:rPr>
  </w:style>
  <w:style w:type="character" w:styleId="WW8Num18z2" w:customStyle="1">
    <w:name w:val="WW8Num18z2"/>
    <w:uiPriority w:val="99"/>
    <w:qFormat/>
    <w:rsid w:val="00fa1e7a"/>
    <w:rPr/>
  </w:style>
  <w:style w:type="character" w:styleId="WW8Num6z1" w:customStyle="1">
    <w:name w:val="WW8Num6z1"/>
    <w:uiPriority w:val="99"/>
    <w:qFormat/>
    <w:rsid w:val="00fa1e7a"/>
    <w:rPr/>
  </w:style>
  <w:style w:type="character" w:styleId="WW8Num11z2" w:customStyle="1">
    <w:name w:val="WW8Num11z2"/>
    <w:uiPriority w:val="99"/>
    <w:qFormat/>
    <w:rsid w:val="00fa1e7a"/>
    <w:rPr/>
  </w:style>
  <w:style w:type="character" w:styleId="WW8Num14z1" w:customStyle="1">
    <w:name w:val="WW8Num14z1"/>
    <w:uiPriority w:val="99"/>
    <w:qFormat/>
    <w:rsid w:val="00fa1e7a"/>
    <w:rPr>
      <w:b/>
      <w:sz w:val="22"/>
      <w:u w:val="none"/>
    </w:rPr>
  </w:style>
  <w:style w:type="character" w:styleId="WW8Num14z2" w:customStyle="1">
    <w:name w:val="WW8Num14z2"/>
    <w:uiPriority w:val="99"/>
    <w:qFormat/>
    <w:rsid w:val="00fa1e7a"/>
    <w:rPr>
      <w:b/>
      <w:sz w:val="22"/>
    </w:rPr>
  </w:style>
  <w:style w:type="character" w:styleId="WW8Num14z3" w:customStyle="1">
    <w:name w:val="WW8Num14z3"/>
    <w:uiPriority w:val="99"/>
    <w:qFormat/>
    <w:rsid w:val="00fa1e7a"/>
    <w:rPr/>
  </w:style>
  <w:style w:type="character" w:styleId="WW8Num16z2" w:customStyle="1">
    <w:name w:val="WW8Num16z2"/>
    <w:uiPriority w:val="99"/>
    <w:qFormat/>
    <w:rsid w:val="00fa1e7a"/>
    <w:rPr/>
  </w:style>
  <w:style w:type="character" w:styleId="WW8Num16z3" w:customStyle="1">
    <w:name w:val="WW8Num16z3"/>
    <w:uiPriority w:val="99"/>
    <w:qFormat/>
    <w:rsid w:val="00fa1e7a"/>
    <w:rPr/>
  </w:style>
  <w:style w:type="character" w:styleId="WW8Num16z4" w:customStyle="1">
    <w:name w:val="WW8Num16z4"/>
    <w:uiPriority w:val="99"/>
    <w:qFormat/>
    <w:rsid w:val="00fa1e7a"/>
    <w:rPr/>
  </w:style>
  <w:style w:type="character" w:styleId="WW8Num16z5" w:customStyle="1">
    <w:name w:val="WW8Num16z5"/>
    <w:uiPriority w:val="99"/>
    <w:qFormat/>
    <w:rsid w:val="00fa1e7a"/>
    <w:rPr/>
  </w:style>
  <w:style w:type="character" w:styleId="WW8Num16z6" w:customStyle="1">
    <w:name w:val="WW8Num16z6"/>
    <w:uiPriority w:val="99"/>
    <w:qFormat/>
    <w:rsid w:val="00fa1e7a"/>
    <w:rPr/>
  </w:style>
  <w:style w:type="character" w:styleId="WW8Num16z7" w:customStyle="1">
    <w:name w:val="WW8Num16z7"/>
    <w:uiPriority w:val="99"/>
    <w:qFormat/>
    <w:rsid w:val="00fa1e7a"/>
    <w:rPr/>
  </w:style>
  <w:style w:type="character" w:styleId="WW8Num16z8" w:customStyle="1">
    <w:name w:val="WW8Num16z8"/>
    <w:uiPriority w:val="99"/>
    <w:qFormat/>
    <w:rsid w:val="00fa1e7a"/>
    <w:rPr/>
  </w:style>
  <w:style w:type="character" w:styleId="WW8Num19z0" w:customStyle="1">
    <w:name w:val="WW8Num19z0"/>
    <w:uiPriority w:val="99"/>
    <w:qFormat/>
    <w:rsid w:val="00fa1e7a"/>
    <w:rPr>
      <w:sz w:val="22"/>
    </w:rPr>
  </w:style>
  <w:style w:type="character" w:styleId="WW8Num19z1" w:customStyle="1">
    <w:name w:val="WW8Num19z1"/>
    <w:uiPriority w:val="99"/>
    <w:qFormat/>
    <w:rsid w:val="00fa1e7a"/>
    <w:rPr/>
  </w:style>
  <w:style w:type="character" w:styleId="WW8Num20z0" w:customStyle="1">
    <w:name w:val="WW8Num20z0"/>
    <w:uiPriority w:val="99"/>
    <w:qFormat/>
    <w:rsid w:val="00fa1e7a"/>
    <w:rPr/>
  </w:style>
  <w:style w:type="character" w:styleId="WW8Num21z0" w:customStyle="1">
    <w:name w:val="WW8Num21z0"/>
    <w:uiPriority w:val="99"/>
    <w:qFormat/>
    <w:rsid w:val="00fa1e7a"/>
    <w:rPr>
      <w:sz w:val="22"/>
    </w:rPr>
  </w:style>
  <w:style w:type="character" w:styleId="WW8Num21z1" w:customStyle="1">
    <w:name w:val="WW8Num21z1"/>
    <w:uiPriority w:val="99"/>
    <w:qFormat/>
    <w:rsid w:val="00fa1e7a"/>
    <w:rPr>
      <w:u w:val="none"/>
    </w:rPr>
  </w:style>
  <w:style w:type="character" w:styleId="WW8Num21z2" w:customStyle="1">
    <w:name w:val="WW8Num21z2"/>
    <w:uiPriority w:val="99"/>
    <w:qFormat/>
    <w:rsid w:val="00fa1e7a"/>
    <w:rPr/>
  </w:style>
  <w:style w:type="character" w:styleId="WW8Num3z1" w:customStyle="1">
    <w:name w:val="WW8Num3z1"/>
    <w:uiPriority w:val="99"/>
    <w:qFormat/>
    <w:rsid w:val="00fa1e7a"/>
    <w:rPr>
      <w:rFonts w:ascii="Courier New" w:hAnsi="Courier New"/>
    </w:rPr>
  </w:style>
  <w:style w:type="character" w:styleId="WW8Num3z2" w:customStyle="1">
    <w:name w:val="WW8Num3z2"/>
    <w:uiPriority w:val="99"/>
    <w:qFormat/>
    <w:rsid w:val="00fa1e7a"/>
    <w:rPr>
      <w:rFonts w:ascii="Arial" w:hAnsi="Arial"/>
      <w:sz w:val="22"/>
    </w:rPr>
  </w:style>
  <w:style w:type="character" w:styleId="WW8Num3z3" w:customStyle="1">
    <w:name w:val="WW8Num3z3"/>
    <w:uiPriority w:val="99"/>
    <w:qFormat/>
    <w:rsid w:val="00fa1e7a"/>
    <w:rPr>
      <w:rFonts w:ascii="Symbol" w:hAnsi="Symbol"/>
    </w:rPr>
  </w:style>
  <w:style w:type="character" w:styleId="WW8Num19z2" w:customStyle="1">
    <w:name w:val="WW8Num19z2"/>
    <w:uiPriority w:val="99"/>
    <w:qFormat/>
    <w:rsid w:val="00fa1e7a"/>
    <w:rPr/>
  </w:style>
  <w:style w:type="character" w:styleId="WW8Num19z3" w:customStyle="1">
    <w:name w:val="WW8Num19z3"/>
    <w:uiPriority w:val="99"/>
    <w:qFormat/>
    <w:rsid w:val="00fa1e7a"/>
    <w:rPr/>
  </w:style>
  <w:style w:type="character" w:styleId="WW8Num19z4" w:customStyle="1">
    <w:name w:val="WW8Num19z4"/>
    <w:uiPriority w:val="99"/>
    <w:qFormat/>
    <w:rsid w:val="00fa1e7a"/>
    <w:rPr/>
  </w:style>
  <w:style w:type="character" w:styleId="WW8Num19z5" w:customStyle="1">
    <w:name w:val="WW8Num19z5"/>
    <w:uiPriority w:val="99"/>
    <w:qFormat/>
    <w:rsid w:val="00fa1e7a"/>
    <w:rPr/>
  </w:style>
  <w:style w:type="character" w:styleId="WW8Num19z6" w:customStyle="1">
    <w:name w:val="WW8Num19z6"/>
    <w:uiPriority w:val="99"/>
    <w:qFormat/>
    <w:rsid w:val="00fa1e7a"/>
    <w:rPr/>
  </w:style>
  <w:style w:type="character" w:styleId="WW8Num19z7" w:customStyle="1">
    <w:name w:val="WW8Num19z7"/>
    <w:uiPriority w:val="99"/>
    <w:qFormat/>
    <w:rsid w:val="00fa1e7a"/>
    <w:rPr/>
  </w:style>
  <w:style w:type="character" w:styleId="WW8Num19z8" w:customStyle="1">
    <w:name w:val="WW8Num19z8"/>
    <w:uiPriority w:val="99"/>
    <w:qFormat/>
    <w:rsid w:val="00fa1e7a"/>
    <w:rPr/>
  </w:style>
  <w:style w:type="character" w:styleId="WW8Num20z1" w:customStyle="1">
    <w:name w:val="WW8Num20z1"/>
    <w:uiPriority w:val="99"/>
    <w:qFormat/>
    <w:rsid w:val="00fa1e7a"/>
    <w:rPr/>
  </w:style>
  <w:style w:type="character" w:styleId="WW8Num22z0" w:customStyle="1">
    <w:name w:val="WW8Num22z0"/>
    <w:uiPriority w:val="99"/>
    <w:qFormat/>
    <w:rsid w:val="00fa1e7a"/>
    <w:rPr/>
  </w:style>
  <w:style w:type="character" w:styleId="WW8Num23z0" w:customStyle="1">
    <w:name w:val="WW8Num23z0"/>
    <w:uiPriority w:val="99"/>
    <w:qFormat/>
    <w:rsid w:val="00fa1e7a"/>
    <w:rPr>
      <w:rFonts w:ascii="Arial" w:hAnsi="Arial"/>
      <w:sz w:val="22"/>
    </w:rPr>
  </w:style>
  <w:style w:type="character" w:styleId="WW8Num23z1" w:customStyle="1">
    <w:name w:val="WW8Num23z1"/>
    <w:uiPriority w:val="99"/>
    <w:qFormat/>
    <w:rsid w:val="00fa1e7a"/>
    <w:rPr/>
  </w:style>
  <w:style w:type="character" w:styleId="WW8Num24z0" w:customStyle="1">
    <w:name w:val="WW8Num24z0"/>
    <w:uiPriority w:val="99"/>
    <w:qFormat/>
    <w:rsid w:val="00fa1e7a"/>
    <w:rPr>
      <w:u w:val="single"/>
    </w:rPr>
  </w:style>
  <w:style w:type="character" w:styleId="WW8Num24z1" w:customStyle="1">
    <w:name w:val="WW8Num24z1"/>
    <w:uiPriority w:val="99"/>
    <w:qFormat/>
    <w:rsid w:val="00fa1e7a"/>
    <w:rPr>
      <w:b/>
      <w:sz w:val="22"/>
      <w:u w:val="none"/>
    </w:rPr>
  </w:style>
  <w:style w:type="character" w:styleId="WW8Num25z0" w:customStyle="1">
    <w:name w:val="WW8Num25z0"/>
    <w:uiPriority w:val="99"/>
    <w:qFormat/>
    <w:rsid w:val="00fa1e7a"/>
    <w:rPr/>
  </w:style>
  <w:style w:type="character" w:styleId="WW8Num25z1" w:customStyle="1">
    <w:name w:val="WW8Num25z1"/>
    <w:uiPriority w:val="99"/>
    <w:qFormat/>
    <w:rsid w:val="00fa1e7a"/>
    <w:rPr/>
  </w:style>
  <w:style w:type="character" w:styleId="WW8Num25z2" w:customStyle="1">
    <w:name w:val="WW8Num25z2"/>
    <w:uiPriority w:val="99"/>
    <w:qFormat/>
    <w:rsid w:val="00fa1e7a"/>
    <w:rPr/>
  </w:style>
  <w:style w:type="character" w:styleId="WW8Num25z3" w:customStyle="1">
    <w:name w:val="WW8Num25z3"/>
    <w:uiPriority w:val="99"/>
    <w:qFormat/>
    <w:rsid w:val="00fa1e7a"/>
    <w:rPr/>
  </w:style>
  <w:style w:type="character" w:styleId="WW8Num25z4" w:customStyle="1">
    <w:name w:val="WW8Num25z4"/>
    <w:uiPriority w:val="99"/>
    <w:qFormat/>
    <w:rsid w:val="00fa1e7a"/>
    <w:rPr/>
  </w:style>
  <w:style w:type="character" w:styleId="WW8Num25z5" w:customStyle="1">
    <w:name w:val="WW8Num25z5"/>
    <w:uiPriority w:val="99"/>
    <w:qFormat/>
    <w:rsid w:val="00fa1e7a"/>
    <w:rPr/>
  </w:style>
  <w:style w:type="character" w:styleId="WW8Num25z6" w:customStyle="1">
    <w:name w:val="WW8Num25z6"/>
    <w:uiPriority w:val="99"/>
    <w:qFormat/>
    <w:rsid w:val="00fa1e7a"/>
    <w:rPr/>
  </w:style>
  <w:style w:type="character" w:styleId="WW8Num25z7" w:customStyle="1">
    <w:name w:val="WW8Num25z7"/>
    <w:uiPriority w:val="99"/>
    <w:qFormat/>
    <w:rsid w:val="00fa1e7a"/>
    <w:rPr/>
  </w:style>
  <w:style w:type="character" w:styleId="WW8Num25z8" w:customStyle="1">
    <w:name w:val="WW8Num25z8"/>
    <w:uiPriority w:val="99"/>
    <w:qFormat/>
    <w:rsid w:val="00fa1e7a"/>
    <w:rPr/>
  </w:style>
  <w:style w:type="character" w:styleId="WW8Num26z0" w:customStyle="1">
    <w:name w:val="WW8Num26z0"/>
    <w:uiPriority w:val="99"/>
    <w:qFormat/>
    <w:rsid w:val="00fa1e7a"/>
    <w:rPr/>
  </w:style>
  <w:style w:type="character" w:styleId="WW8Num26z1" w:customStyle="1">
    <w:name w:val="WW8Num26z1"/>
    <w:uiPriority w:val="99"/>
    <w:qFormat/>
    <w:rsid w:val="00fa1e7a"/>
    <w:rPr>
      <w:b/>
      <w:sz w:val="22"/>
      <w:u w:val="none"/>
    </w:rPr>
  </w:style>
  <w:style w:type="character" w:styleId="WW8Num26z2" w:customStyle="1">
    <w:name w:val="WW8Num26z2"/>
    <w:uiPriority w:val="99"/>
    <w:qFormat/>
    <w:rsid w:val="00fa1e7a"/>
    <w:rPr>
      <w:b/>
      <w:sz w:val="22"/>
    </w:rPr>
  </w:style>
  <w:style w:type="character" w:styleId="WW8Num26z3" w:customStyle="1">
    <w:name w:val="WW8Num26z3"/>
    <w:uiPriority w:val="99"/>
    <w:qFormat/>
    <w:rsid w:val="00fa1e7a"/>
    <w:rPr/>
  </w:style>
  <w:style w:type="character" w:styleId="WW8Num27z0" w:customStyle="1">
    <w:name w:val="WW8Num27z0"/>
    <w:uiPriority w:val="99"/>
    <w:qFormat/>
    <w:rsid w:val="00fa1e7a"/>
    <w:rPr/>
  </w:style>
  <w:style w:type="character" w:styleId="WW8Num27z1" w:customStyle="1">
    <w:name w:val="WW8Num27z1"/>
    <w:uiPriority w:val="99"/>
    <w:qFormat/>
    <w:rsid w:val="00fa1e7a"/>
    <w:rPr>
      <w:rFonts w:ascii="Arial" w:hAnsi="Arial" w:eastAsia="SimSun;宋体"/>
    </w:rPr>
  </w:style>
  <w:style w:type="character" w:styleId="WW8Num27z2" w:customStyle="1">
    <w:name w:val="WW8Num27z2"/>
    <w:uiPriority w:val="99"/>
    <w:qFormat/>
    <w:rsid w:val="00fa1e7a"/>
    <w:rPr/>
  </w:style>
  <w:style w:type="character" w:styleId="WW8Num28z0" w:customStyle="1">
    <w:name w:val="WW8Num28z0"/>
    <w:uiPriority w:val="99"/>
    <w:qFormat/>
    <w:rsid w:val="00fa1e7a"/>
    <w:rPr/>
  </w:style>
  <w:style w:type="character" w:styleId="WW8Num28z1" w:customStyle="1">
    <w:name w:val="WW8Num28z1"/>
    <w:uiPriority w:val="99"/>
    <w:qFormat/>
    <w:rsid w:val="00fa1e7a"/>
    <w:rPr/>
  </w:style>
  <w:style w:type="character" w:styleId="WW8Num29z0" w:customStyle="1">
    <w:name w:val="WW8Num29z0"/>
    <w:uiPriority w:val="99"/>
    <w:qFormat/>
    <w:rsid w:val="00fa1e7a"/>
    <w:rPr>
      <w:rFonts w:ascii="Calibri" w:hAnsi="Calibri"/>
      <w:sz w:val="22"/>
    </w:rPr>
  </w:style>
  <w:style w:type="character" w:styleId="WW8Num29z1" w:customStyle="1">
    <w:name w:val="WW8Num29z1"/>
    <w:uiPriority w:val="99"/>
    <w:qFormat/>
    <w:rsid w:val="00fa1e7a"/>
    <w:rPr/>
  </w:style>
  <w:style w:type="character" w:styleId="WW8Num30z0" w:customStyle="1">
    <w:name w:val="WW8Num30z0"/>
    <w:uiPriority w:val="99"/>
    <w:qFormat/>
    <w:rsid w:val="00fa1e7a"/>
    <w:rPr>
      <w:rFonts w:ascii="Arial" w:hAnsi="Arial"/>
      <w:color w:val="000000"/>
      <w:sz w:val="22"/>
    </w:rPr>
  </w:style>
  <w:style w:type="character" w:styleId="WW8Num30z1" w:customStyle="1">
    <w:name w:val="WW8Num30z1"/>
    <w:uiPriority w:val="99"/>
    <w:qFormat/>
    <w:rsid w:val="00fa1e7a"/>
    <w:rPr/>
  </w:style>
  <w:style w:type="character" w:styleId="WW8Num31z0" w:customStyle="1">
    <w:name w:val="WW8Num31z0"/>
    <w:uiPriority w:val="99"/>
    <w:qFormat/>
    <w:rsid w:val="00fa1e7a"/>
    <w:rPr>
      <w:sz w:val="22"/>
    </w:rPr>
  </w:style>
  <w:style w:type="character" w:styleId="WW8Num31z1" w:customStyle="1">
    <w:name w:val="WW8Num31z1"/>
    <w:uiPriority w:val="99"/>
    <w:qFormat/>
    <w:rsid w:val="00fa1e7a"/>
    <w:rPr/>
  </w:style>
  <w:style w:type="character" w:styleId="WW8Num32z0" w:customStyle="1">
    <w:name w:val="WW8Num32z0"/>
    <w:uiPriority w:val="99"/>
    <w:qFormat/>
    <w:rsid w:val="00fa1e7a"/>
    <w:rPr>
      <w:rFonts w:ascii="Arial" w:hAnsi="Arial"/>
      <w:sz w:val="22"/>
    </w:rPr>
  </w:style>
  <w:style w:type="character" w:styleId="WW8Num32z1" w:customStyle="1">
    <w:name w:val="WW8Num32z1"/>
    <w:uiPriority w:val="99"/>
    <w:qFormat/>
    <w:rsid w:val="00fa1e7a"/>
    <w:rPr/>
  </w:style>
  <w:style w:type="character" w:styleId="WW8Num33z0" w:customStyle="1">
    <w:name w:val="WW8Num33z0"/>
    <w:uiPriority w:val="99"/>
    <w:qFormat/>
    <w:rsid w:val="00fa1e7a"/>
    <w:rPr/>
  </w:style>
  <w:style w:type="character" w:styleId="WW8Num33z1" w:customStyle="1">
    <w:name w:val="WW8Num33z1"/>
    <w:uiPriority w:val="99"/>
    <w:qFormat/>
    <w:rsid w:val="00fa1e7a"/>
    <w:rPr/>
  </w:style>
  <w:style w:type="character" w:styleId="WW8Num33z2" w:customStyle="1">
    <w:name w:val="WW8Num33z2"/>
    <w:uiPriority w:val="99"/>
    <w:qFormat/>
    <w:rsid w:val="00fa1e7a"/>
    <w:rPr/>
  </w:style>
  <w:style w:type="character" w:styleId="WW8Num33z3" w:customStyle="1">
    <w:name w:val="WW8Num33z3"/>
    <w:uiPriority w:val="99"/>
    <w:qFormat/>
    <w:rsid w:val="00fa1e7a"/>
    <w:rPr/>
  </w:style>
  <w:style w:type="character" w:styleId="WW8Num33z4" w:customStyle="1">
    <w:name w:val="WW8Num33z4"/>
    <w:uiPriority w:val="99"/>
    <w:qFormat/>
    <w:rsid w:val="00fa1e7a"/>
    <w:rPr/>
  </w:style>
  <w:style w:type="character" w:styleId="WW8Num33z5" w:customStyle="1">
    <w:name w:val="WW8Num33z5"/>
    <w:uiPriority w:val="99"/>
    <w:qFormat/>
    <w:rsid w:val="00fa1e7a"/>
    <w:rPr/>
  </w:style>
  <w:style w:type="character" w:styleId="WW8Num33z6" w:customStyle="1">
    <w:name w:val="WW8Num33z6"/>
    <w:uiPriority w:val="99"/>
    <w:qFormat/>
    <w:rsid w:val="00fa1e7a"/>
    <w:rPr/>
  </w:style>
  <w:style w:type="character" w:styleId="WW8Num33z7" w:customStyle="1">
    <w:name w:val="WW8Num33z7"/>
    <w:uiPriority w:val="99"/>
    <w:qFormat/>
    <w:rsid w:val="00fa1e7a"/>
    <w:rPr/>
  </w:style>
  <w:style w:type="character" w:styleId="WW8Num33z8" w:customStyle="1">
    <w:name w:val="WW8Num33z8"/>
    <w:uiPriority w:val="99"/>
    <w:qFormat/>
    <w:rsid w:val="00fa1e7a"/>
    <w:rPr/>
  </w:style>
  <w:style w:type="character" w:styleId="WW8Num34z0" w:customStyle="1">
    <w:name w:val="WW8Num34z0"/>
    <w:uiPriority w:val="99"/>
    <w:qFormat/>
    <w:rsid w:val="00fa1e7a"/>
    <w:rPr/>
  </w:style>
  <w:style w:type="character" w:styleId="WW8Num34z1" w:customStyle="1">
    <w:name w:val="WW8Num34z1"/>
    <w:uiPriority w:val="99"/>
    <w:qFormat/>
    <w:rsid w:val="00fa1e7a"/>
    <w:rPr>
      <w:sz w:val="22"/>
    </w:rPr>
  </w:style>
  <w:style w:type="character" w:styleId="WW8Num34z2" w:customStyle="1">
    <w:name w:val="WW8Num34z2"/>
    <w:uiPriority w:val="99"/>
    <w:qFormat/>
    <w:rsid w:val="00fa1e7a"/>
    <w:rPr/>
  </w:style>
  <w:style w:type="character" w:styleId="WW8Num34z3" w:customStyle="1">
    <w:name w:val="WW8Num34z3"/>
    <w:uiPriority w:val="99"/>
    <w:qFormat/>
    <w:rsid w:val="00fa1e7a"/>
    <w:rPr/>
  </w:style>
  <w:style w:type="character" w:styleId="WW8Num34z4" w:customStyle="1">
    <w:name w:val="WW8Num34z4"/>
    <w:uiPriority w:val="99"/>
    <w:qFormat/>
    <w:rsid w:val="00fa1e7a"/>
    <w:rPr/>
  </w:style>
  <w:style w:type="character" w:styleId="WW8Num34z5" w:customStyle="1">
    <w:name w:val="WW8Num34z5"/>
    <w:uiPriority w:val="99"/>
    <w:qFormat/>
    <w:rsid w:val="00fa1e7a"/>
    <w:rPr/>
  </w:style>
  <w:style w:type="character" w:styleId="WW8Num34z6" w:customStyle="1">
    <w:name w:val="WW8Num34z6"/>
    <w:uiPriority w:val="99"/>
    <w:qFormat/>
    <w:rsid w:val="00fa1e7a"/>
    <w:rPr/>
  </w:style>
  <w:style w:type="character" w:styleId="WW8Num34z7" w:customStyle="1">
    <w:name w:val="WW8Num34z7"/>
    <w:uiPriority w:val="99"/>
    <w:qFormat/>
    <w:rsid w:val="00fa1e7a"/>
    <w:rPr/>
  </w:style>
  <w:style w:type="character" w:styleId="WW8Num34z8" w:customStyle="1">
    <w:name w:val="WW8Num34z8"/>
    <w:uiPriority w:val="99"/>
    <w:qFormat/>
    <w:rsid w:val="00fa1e7a"/>
    <w:rPr/>
  </w:style>
  <w:style w:type="character" w:styleId="WW8Num35z0" w:customStyle="1">
    <w:name w:val="WW8Num35z0"/>
    <w:uiPriority w:val="99"/>
    <w:qFormat/>
    <w:rsid w:val="00fa1e7a"/>
    <w:rPr>
      <w:rFonts w:ascii="Arial" w:hAnsi="Arial"/>
      <w:sz w:val="22"/>
    </w:rPr>
  </w:style>
  <w:style w:type="character" w:styleId="WW8Num35z1" w:customStyle="1">
    <w:name w:val="WW8Num35z1"/>
    <w:uiPriority w:val="99"/>
    <w:qFormat/>
    <w:rsid w:val="00fa1e7a"/>
    <w:rPr/>
  </w:style>
  <w:style w:type="character" w:styleId="WW8Num36z0" w:customStyle="1">
    <w:name w:val="WW8Num36z0"/>
    <w:uiPriority w:val="99"/>
    <w:qFormat/>
    <w:rsid w:val="00fa1e7a"/>
    <w:rPr/>
  </w:style>
  <w:style w:type="character" w:styleId="WW8Num36z1" w:customStyle="1">
    <w:name w:val="WW8Num36z1"/>
    <w:uiPriority w:val="99"/>
    <w:qFormat/>
    <w:rsid w:val="00fa1e7a"/>
    <w:rPr/>
  </w:style>
  <w:style w:type="character" w:styleId="WW8Num36z2" w:customStyle="1">
    <w:name w:val="WW8Num36z2"/>
    <w:uiPriority w:val="99"/>
    <w:qFormat/>
    <w:rsid w:val="00fa1e7a"/>
    <w:rPr/>
  </w:style>
  <w:style w:type="character" w:styleId="WW8Num36z3" w:customStyle="1">
    <w:name w:val="WW8Num36z3"/>
    <w:uiPriority w:val="99"/>
    <w:qFormat/>
    <w:rsid w:val="00fa1e7a"/>
    <w:rPr/>
  </w:style>
  <w:style w:type="character" w:styleId="WW8Num36z4" w:customStyle="1">
    <w:name w:val="WW8Num36z4"/>
    <w:uiPriority w:val="99"/>
    <w:qFormat/>
    <w:rsid w:val="00fa1e7a"/>
    <w:rPr/>
  </w:style>
  <w:style w:type="character" w:styleId="WW8Num36z5" w:customStyle="1">
    <w:name w:val="WW8Num36z5"/>
    <w:uiPriority w:val="99"/>
    <w:qFormat/>
    <w:rsid w:val="00fa1e7a"/>
    <w:rPr/>
  </w:style>
  <w:style w:type="character" w:styleId="WW8Num36z6" w:customStyle="1">
    <w:name w:val="WW8Num36z6"/>
    <w:uiPriority w:val="99"/>
    <w:qFormat/>
    <w:rsid w:val="00fa1e7a"/>
    <w:rPr/>
  </w:style>
  <w:style w:type="character" w:styleId="WW8Num36z7" w:customStyle="1">
    <w:name w:val="WW8Num36z7"/>
    <w:uiPriority w:val="99"/>
    <w:qFormat/>
    <w:rsid w:val="00fa1e7a"/>
    <w:rPr/>
  </w:style>
  <w:style w:type="character" w:styleId="WW8Num36z8" w:customStyle="1">
    <w:name w:val="WW8Num36z8"/>
    <w:uiPriority w:val="99"/>
    <w:qFormat/>
    <w:rsid w:val="00fa1e7a"/>
    <w:rPr/>
  </w:style>
  <w:style w:type="character" w:styleId="WW8Num37z0" w:customStyle="1">
    <w:name w:val="WW8Num37z0"/>
    <w:uiPriority w:val="99"/>
    <w:qFormat/>
    <w:rsid w:val="00fa1e7a"/>
    <w:rPr>
      <w:color w:val="000000"/>
      <w:sz w:val="22"/>
    </w:rPr>
  </w:style>
  <w:style w:type="character" w:styleId="WW8Num38z0" w:customStyle="1">
    <w:name w:val="WW8Num38z0"/>
    <w:uiPriority w:val="99"/>
    <w:qFormat/>
    <w:rsid w:val="00fa1e7a"/>
    <w:rPr/>
  </w:style>
  <w:style w:type="character" w:styleId="WW8Num38z1" w:customStyle="1">
    <w:name w:val="WW8Num38z1"/>
    <w:uiPriority w:val="99"/>
    <w:qFormat/>
    <w:rsid w:val="00fa1e7a"/>
    <w:rPr/>
  </w:style>
  <w:style w:type="character" w:styleId="WW8Num39z0" w:customStyle="1">
    <w:name w:val="WW8Num39z0"/>
    <w:uiPriority w:val="99"/>
    <w:qFormat/>
    <w:rsid w:val="00fa1e7a"/>
    <w:rPr>
      <w:sz w:val="22"/>
    </w:rPr>
  </w:style>
  <w:style w:type="character" w:styleId="WW8Num39z1" w:customStyle="1">
    <w:name w:val="WW8Num39z1"/>
    <w:uiPriority w:val="99"/>
    <w:qFormat/>
    <w:rsid w:val="00fa1e7a"/>
    <w:rPr/>
  </w:style>
  <w:style w:type="character" w:styleId="WW8Num40z0" w:customStyle="1">
    <w:name w:val="WW8Num40z0"/>
    <w:uiPriority w:val="99"/>
    <w:qFormat/>
    <w:rsid w:val="00fa1e7a"/>
    <w:rPr/>
  </w:style>
  <w:style w:type="character" w:styleId="WW8Num41z0" w:customStyle="1">
    <w:name w:val="WW8Num41z0"/>
    <w:uiPriority w:val="99"/>
    <w:qFormat/>
    <w:rsid w:val="00fa1e7a"/>
    <w:rPr/>
  </w:style>
  <w:style w:type="character" w:styleId="WW8Num42z0" w:customStyle="1">
    <w:name w:val="WW8Num42z0"/>
    <w:uiPriority w:val="99"/>
    <w:qFormat/>
    <w:rsid w:val="00fa1e7a"/>
    <w:rPr/>
  </w:style>
  <w:style w:type="character" w:styleId="WW8Num43z0" w:customStyle="1">
    <w:name w:val="WW8Num43z0"/>
    <w:uiPriority w:val="99"/>
    <w:qFormat/>
    <w:rsid w:val="00fa1e7a"/>
    <w:rPr>
      <w:sz w:val="22"/>
    </w:rPr>
  </w:style>
  <w:style w:type="character" w:styleId="WW8Num43z1" w:customStyle="1">
    <w:name w:val="WW8Num43z1"/>
    <w:uiPriority w:val="99"/>
    <w:qFormat/>
    <w:rsid w:val="00fa1e7a"/>
    <w:rPr>
      <w:u w:val="none"/>
    </w:rPr>
  </w:style>
  <w:style w:type="character" w:styleId="WW8Num43z2" w:customStyle="1">
    <w:name w:val="WW8Num43z2"/>
    <w:uiPriority w:val="99"/>
    <w:qFormat/>
    <w:rsid w:val="00fa1e7a"/>
    <w:rPr/>
  </w:style>
  <w:style w:type="character" w:styleId="CarCar23" w:customStyle="1">
    <w:name w:val="Car Car23"/>
    <w:uiPriority w:val="99"/>
    <w:qFormat/>
    <w:rsid w:val="00fa1e7a"/>
    <w:rPr>
      <w:rFonts w:ascii="Cambria" w:hAnsi="Cambria"/>
      <w:b/>
      <w:color w:val="00000A"/>
      <w:kern w:val="2"/>
      <w:sz w:val="32"/>
      <w:lang w:val="ca-ES" w:eastAsia="zh-CN"/>
    </w:rPr>
  </w:style>
  <w:style w:type="character" w:styleId="CarCar22" w:customStyle="1">
    <w:name w:val="Car Car22"/>
    <w:uiPriority w:val="99"/>
    <w:qFormat/>
    <w:rsid w:val="00fa1e7a"/>
    <w:rPr>
      <w:rFonts w:ascii="Cambria" w:hAnsi="Cambria"/>
      <w:b/>
      <w:i/>
      <w:color w:val="00000A"/>
      <w:sz w:val="28"/>
      <w:lang w:val="ca-ES" w:eastAsia="zh-CN"/>
    </w:rPr>
  </w:style>
  <w:style w:type="character" w:styleId="CarCar21" w:customStyle="1">
    <w:name w:val="Car Car21"/>
    <w:uiPriority w:val="99"/>
    <w:qFormat/>
    <w:rsid w:val="00fa1e7a"/>
    <w:rPr>
      <w:rFonts w:ascii="Cambria" w:hAnsi="Cambria"/>
      <w:b/>
      <w:color w:val="00000A"/>
      <w:sz w:val="26"/>
      <w:lang w:val="ca-ES" w:eastAsia="zh-CN"/>
    </w:rPr>
  </w:style>
  <w:style w:type="character" w:styleId="CarCar20" w:customStyle="1">
    <w:name w:val="Car Car20"/>
    <w:uiPriority w:val="99"/>
    <w:qFormat/>
    <w:rsid w:val="00fa1e7a"/>
    <w:rPr>
      <w:rFonts w:ascii="Calibri" w:hAnsi="Calibri"/>
      <w:b/>
      <w:color w:val="00000A"/>
      <w:sz w:val="28"/>
      <w:lang w:val="ca-ES" w:eastAsia="zh-CN"/>
    </w:rPr>
  </w:style>
  <w:style w:type="character" w:styleId="CarCar19" w:customStyle="1">
    <w:name w:val="Car Car19"/>
    <w:uiPriority w:val="99"/>
    <w:qFormat/>
    <w:rsid w:val="00fa1e7a"/>
    <w:rPr>
      <w:rFonts w:ascii="Calibri" w:hAnsi="Calibri"/>
      <w:b/>
      <w:i/>
      <w:color w:val="00000A"/>
      <w:sz w:val="26"/>
      <w:lang w:val="ca-ES" w:eastAsia="zh-CN"/>
    </w:rPr>
  </w:style>
  <w:style w:type="character" w:styleId="CarCar18" w:customStyle="1">
    <w:name w:val="Car Car18"/>
    <w:uiPriority w:val="99"/>
    <w:qFormat/>
    <w:rsid w:val="00fa1e7a"/>
    <w:rPr>
      <w:rFonts w:ascii="Calibri" w:hAnsi="Calibri"/>
      <w:b/>
      <w:color w:val="00000A"/>
      <w:lang w:val="ca-ES" w:eastAsia="zh-CN"/>
    </w:rPr>
  </w:style>
  <w:style w:type="character" w:styleId="CarCar17" w:customStyle="1">
    <w:name w:val="Car Car17"/>
    <w:uiPriority w:val="99"/>
    <w:qFormat/>
    <w:rsid w:val="00fa1e7a"/>
    <w:rPr>
      <w:rFonts w:ascii="Arial" w:hAnsi="Arial" w:eastAsia="SimSun;宋体"/>
      <w:b/>
      <w:color w:val="00000A"/>
      <w:sz w:val="22"/>
      <w:lang w:val="ca-ES" w:eastAsia="zh-CN"/>
    </w:rPr>
  </w:style>
  <w:style w:type="character" w:styleId="CarCar16" w:customStyle="1">
    <w:name w:val="Car Car16"/>
    <w:uiPriority w:val="99"/>
    <w:qFormat/>
    <w:rsid w:val="00fa1e7a"/>
    <w:rPr>
      <w:rFonts w:ascii="Arial" w:hAnsi="Arial" w:eastAsia="SimSun;宋体"/>
      <w:b/>
      <w:color w:val="00000A"/>
      <w:sz w:val="22"/>
      <w:lang w:val="ca-ES" w:eastAsia="zh-CN"/>
    </w:rPr>
  </w:style>
  <w:style w:type="character" w:styleId="CarCar15" w:customStyle="1">
    <w:name w:val="Car Car15"/>
    <w:uiPriority w:val="99"/>
    <w:qFormat/>
    <w:rsid w:val="00fa1e7a"/>
    <w:rPr>
      <w:rFonts w:ascii="Cambria" w:hAnsi="Cambria"/>
      <w:color w:val="00000A"/>
      <w:lang w:val="ca-ES" w:eastAsia="zh-CN"/>
    </w:rPr>
  </w:style>
  <w:style w:type="character" w:styleId="WW8Num1z1" w:customStyle="1">
    <w:name w:val="WW8Num1z1"/>
    <w:uiPriority w:val="99"/>
    <w:qFormat/>
    <w:rsid w:val="00fa1e7a"/>
    <w:rPr/>
  </w:style>
  <w:style w:type="character" w:styleId="WW8Num1z2" w:customStyle="1">
    <w:name w:val="WW8Num1z2"/>
    <w:uiPriority w:val="99"/>
    <w:qFormat/>
    <w:rsid w:val="00fa1e7a"/>
    <w:rPr/>
  </w:style>
  <w:style w:type="character" w:styleId="WW8Num1z3" w:customStyle="1">
    <w:name w:val="WW8Num1z3"/>
    <w:uiPriority w:val="99"/>
    <w:qFormat/>
    <w:rsid w:val="00fa1e7a"/>
    <w:rPr/>
  </w:style>
  <w:style w:type="character" w:styleId="WW8Num1z4" w:customStyle="1">
    <w:name w:val="WW8Num1z4"/>
    <w:uiPriority w:val="99"/>
    <w:qFormat/>
    <w:rsid w:val="00fa1e7a"/>
    <w:rPr/>
  </w:style>
  <w:style w:type="character" w:styleId="WW8Num1z5" w:customStyle="1">
    <w:name w:val="WW8Num1z5"/>
    <w:uiPriority w:val="99"/>
    <w:qFormat/>
    <w:rsid w:val="00fa1e7a"/>
    <w:rPr/>
  </w:style>
  <w:style w:type="character" w:styleId="WW8Num1z6" w:customStyle="1">
    <w:name w:val="WW8Num1z6"/>
    <w:uiPriority w:val="99"/>
    <w:qFormat/>
    <w:rsid w:val="00fa1e7a"/>
    <w:rPr/>
  </w:style>
  <w:style w:type="character" w:styleId="WW8Num1z7" w:customStyle="1">
    <w:name w:val="WW8Num1z7"/>
    <w:uiPriority w:val="99"/>
    <w:qFormat/>
    <w:rsid w:val="00fa1e7a"/>
    <w:rPr/>
  </w:style>
  <w:style w:type="character" w:styleId="WW8Num1z8" w:customStyle="1">
    <w:name w:val="WW8Num1z8"/>
    <w:uiPriority w:val="99"/>
    <w:qFormat/>
    <w:rsid w:val="00fa1e7a"/>
    <w:rPr/>
  </w:style>
  <w:style w:type="character" w:styleId="WW8Num2z1" w:customStyle="1">
    <w:name w:val="WW8Num2z1"/>
    <w:uiPriority w:val="99"/>
    <w:qFormat/>
    <w:rsid w:val="00fa1e7a"/>
    <w:rPr>
      <w:u w:val="none"/>
    </w:rPr>
  </w:style>
  <w:style w:type="character" w:styleId="WW8Num2z2" w:customStyle="1">
    <w:name w:val="WW8Num2z2"/>
    <w:uiPriority w:val="99"/>
    <w:qFormat/>
    <w:rsid w:val="00fa1e7a"/>
    <w:rPr/>
  </w:style>
  <w:style w:type="character" w:styleId="WW8Num2z3" w:customStyle="1">
    <w:name w:val="WW8Num2z3"/>
    <w:uiPriority w:val="99"/>
    <w:qFormat/>
    <w:rsid w:val="00fa1e7a"/>
    <w:rPr/>
  </w:style>
  <w:style w:type="character" w:styleId="WW8Num2z4" w:customStyle="1">
    <w:name w:val="WW8Num2z4"/>
    <w:uiPriority w:val="99"/>
    <w:qFormat/>
    <w:rsid w:val="00fa1e7a"/>
    <w:rPr/>
  </w:style>
  <w:style w:type="character" w:styleId="WW8Num2z5" w:customStyle="1">
    <w:name w:val="WW8Num2z5"/>
    <w:uiPriority w:val="99"/>
    <w:qFormat/>
    <w:rsid w:val="00fa1e7a"/>
    <w:rPr/>
  </w:style>
  <w:style w:type="character" w:styleId="WW8Num2z6" w:customStyle="1">
    <w:name w:val="WW8Num2z6"/>
    <w:uiPriority w:val="99"/>
    <w:qFormat/>
    <w:rsid w:val="00fa1e7a"/>
    <w:rPr/>
  </w:style>
  <w:style w:type="character" w:styleId="WW8Num2z7" w:customStyle="1">
    <w:name w:val="WW8Num2z7"/>
    <w:uiPriority w:val="99"/>
    <w:qFormat/>
    <w:rsid w:val="00fa1e7a"/>
    <w:rPr/>
  </w:style>
  <w:style w:type="character" w:styleId="WW8Num2z8" w:customStyle="1">
    <w:name w:val="WW8Num2z8"/>
    <w:uiPriority w:val="99"/>
    <w:qFormat/>
    <w:rsid w:val="00fa1e7a"/>
    <w:rPr/>
  </w:style>
  <w:style w:type="character" w:styleId="WW8Num8z1" w:customStyle="1">
    <w:name w:val="WW8Num8z1"/>
    <w:uiPriority w:val="99"/>
    <w:qFormat/>
    <w:rsid w:val="00fa1e7a"/>
    <w:rPr>
      <w:b/>
      <w:sz w:val="22"/>
      <w:u w:val="none"/>
    </w:rPr>
  </w:style>
  <w:style w:type="character" w:styleId="WW8Num8z2" w:customStyle="1">
    <w:name w:val="WW8Num8z2"/>
    <w:uiPriority w:val="99"/>
    <w:qFormat/>
    <w:rsid w:val="00fa1e7a"/>
    <w:rPr>
      <w:b/>
    </w:rPr>
  </w:style>
  <w:style w:type="character" w:styleId="WW8Num8z3" w:customStyle="1">
    <w:name w:val="WW8Num8z3"/>
    <w:uiPriority w:val="99"/>
    <w:qFormat/>
    <w:rsid w:val="00fa1e7a"/>
    <w:rPr/>
  </w:style>
  <w:style w:type="character" w:styleId="WW8Num20z2" w:customStyle="1">
    <w:name w:val="WW8Num20z2"/>
    <w:uiPriority w:val="99"/>
    <w:qFormat/>
    <w:rsid w:val="00fa1e7a"/>
    <w:rPr/>
  </w:style>
  <w:style w:type="character" w:styleId="WW8Num20z3" w:customStyle="1">
    <w:name w:val="WW8Num20z3"/>
    <w:uiPriority w:val="99"/>
    <w:qFormat/>
    <w:rsid w:val="00fa1e7a"/>
    <w:rPr/>
  </w:style>
  <w:style w:type="character" w:styleId="WW8Num20z4" w:customStyle="1">
    <w:name w:val="WW8Num20z4"/>
    <w:uiPriority w:val="99"/>
    <w:qFormat/>
    <w:rsid w:val="00fa1e7a"/>
    <w:rPr/>
  </w:style>
  <w:style w:type="character" w:styleId="WW8Num20z5" w:customStyle="1">
    <w:name w:val="WW8Num20z5"/>
    <w:uiPriority w:val="99"/>
    <w:qFormat/>
    <w:rsid w:val="00fa1e7a"/>
    <w:rPr/>
  </w:style>
  <w:style w:type="character" w:styleId="WW8Num20z6" w:customStyle="1">
    <w:name w:val="WW8Num20z6"/>
    <w:uiPriority w:val="99"/>
    <w:qFormat/>
    <w:rsid w:val="00fa1e7a"/>
    <w:rPr/>
  </w:style>
  <w:style w:type="character" w:styleId="WW8Num20z7" w:customStyle="1">
    <w:name w:val="WW8Num20z7"/>
    <w:uiPriority w:val="99"/>
    <w:qFormat/>
    <w:rsid w:val="00fa1e7a"/>
    <w:rPr/>
  </w:style>
  <w:style w:type="character" w:styleId="WW8Num20z8" w:customStyle="1">
    <w:name w:val="WW8Num20z8"/>
    <w:uiPriority w:val="99"/>
    <w:qFormat/>
    <w:rsid w:val="00fa1e7a"/>
    <w:rPr/>
  </w:style>
  <w:style w:type="character" w:styleId="WW8Num5z2" w:customStyle="1">
    <w:name w:val="WW8Num5z2"/>
    <w:uiPriority w:val="99"/>
    <w:qFormat/>
    <w:rsid w:val="00fa1e7a"/>
    <w:rPr/>
  </w:style>
  <w:style w:type="character" w:styleId="WW8Num5z3" w:customStyle="1">
    <w:name w:val="WW8Num5z3"/>
    <w:uiPriority w:val="99"/>
    <w:qFormat/>
    <w:rsid w:val="00fa1e7a"/>
    <w:rPr/>
  </w:style>
  <w:style w:type="character" w:styleId="WW8Num5z4" w:customStyle="1">
    <w:name w:val="WW8Num5z4"/>
    <w:uiPriority w:val="99"/>
    <w:qFormat/>
    <w:rsid w:val="00fa1e7a"/>
    <w:rPr/>
  </w:style>
  <w:style w:type="character" w:styleId="WW8Num5z5" w:customStyle="1">
    <w:name w:val="WW8Num5z5"/>
    <w:uiPriority w:val="99"/>
    <w:qFormat/>
    <w:rsid w:val="00fa1e7a"/>
    <w:rPr/>
  </w:style>
  <w:style w:type="character" w:styleId="WW8Num5z6" w:customStyle="1">
    <w:name w:val="WW8Num5z6"/>
    <w:uiPriority w:val="99"/>
    <w:qFormat/>
    <w:rsid w:val="00fa1e7a"/>
    <w:rPr/>
  </w:style>
  <w:style w:type="character" w:styleId="WW8Num5z7" w:customStyle="1">
    <w:name w:val="WW8Num5z7"/>
    <w:uiPriority w:val="99"/>
    <w:qFormat/>
    <w:rsid w:val="00fa1e7a"/>
    <w:rPr/>
  </w:style>
  <w:style w:type="character" w:styleId="WW8Num5z8" w:customStyle="1">
    <w:name w:val="WW8Num5z8"/>
    <w:uiPriority w:val="99"/>
    <w:qFormat/>
    <w:rsid w:val="00fa1e7a"/>
    <w:rPr/>
  </w:style>
  <w:style w:type="character" w:styleId="WW8Num6z2" w:customStyle="1">
    <w:name w:val="WW8Num6z2"/>
    <w:uiPriority w:val="99"/>
    <w:qFormat/>
    <w:rsid w:val="00fa1e7a"/>
    <w:rPr/>
  </w:style>
  <w:style w:type="character" w:styleId="WW8Num6z3" w:customStyle="1">
    <w:name w:val="WW8Num6z3"/>
    <w:uiPriority w:val="99"/>
    <w:qFormat/>
    <w:rsid w:val="00fa1e7a"/>
    <w:rPr/>
  </w:style>
  <w:style w:type="character" w:styleId="WW8Num6z4" w:customStyle="1">
    <w:name w:val="WW8Num6z4"/>
    <w:uiPriority w:val="99"/>
    <w:qFormat/>
    <w:rsid w:val="00fa1e7a"/>
    <w:rPr/>
  </w:style>
  <w:style w:type="character" w:styleId="WW8Num6z5" w:customStyle="1">
    <w:name w:val="WW8Num6z5"/>
    <w:uiPriority w:val="99"/>
    <w:qFormat/>
    <w:rsid w:val="00fa1e7a"/>
    <w:rPr/>
  </w:style>
  <w:style w:type="character" w:styleId="WW8Num6z6" w:customStyle="1">
    <w:name w:val="WW8Num6z6"/>
    <w:uiPriority w:val="99"/>
    <w:qFormat/>
    <w:rsid w:val="00fa1e7a"/>
    <w:rPr/>
  </w:style>
  <w:style w:type="character" w:styleId="WW8Num6z7" w:customStyle="1">
    <w:name w:val="WW8Num6z7"/>
    <w:uiPriority w:val="99"/>
    <w:qFormat/>
    <w:rsid w:val="00fa1e7a"/>
    <w:rPr/>
  </w:style>
  <w:style w:type="character" w:styleId="WW8Num6z8" w:customStyle="1">
    <w:name w:val="WW8Num6z8"/>
    <w:uiPriority w:val="99"/>
    <w:qFormat/>
    <w:rsid w:val="00fa1e7a"/>
    <w:rPr/>
  </w:style>
  <w:style w:type="character" w:styleId="WW8Num7z1" w:customStyle="1">
    <w:name w:val="WW8Num7z1"/>
    <w:uiPriority w:val="99"/>
    <w:qFormat/>
    <w:rsid w:val="00fa1e7a"/>
    <w:rPr/>
  </w:style>
  <w:style w:type="character" w:styleId="WW8Num7z2" w:customStyle="1">
    <w:name w:val="WW8Num7z2"/>
    <w:uiPriority w:val="99"/>
    <w:qFormat/>
    <w:rsid w:val="00fa1e7a"/>
    <w:rPr/>
  </w:style>
  <w:style w:type="character" w:styleId="WW8Num7z3" w:customStyle="1">
    <w:name w:val="WW8Num7z3"/>
    <w:uiPriority w:val="99"/>
    <w:qFormat/>
    <w:rsid w:val="00fa1e7a"/>
    <w:rPr/>
  </w:style>
  <w:style w:type="character" w:styleId="WW8Num7z4" w:customStyle="1">
    <w:name w:val="WW8Num7z4"/>
    <w:uiPriority w:val="99"/>
    <w:qFormat/>
    <w:rsid w:val="00fa1e7a"/>
    <w:rPr/>
  </w:style>
  <w:style w:type="character" w:styleId="WW8Num7z5" w:customStyle="1">
    <w:name w:val="WW8Num7z5"/>
    <w:uiPriority w:val="99"/>
    <w:qFormat/>
    <w:rsid w:val="00fa1e7a"/>
    <w:rPr/>
  </w:style>
  <w:style w:type="character" w:styleId="WW8Num7z6" w:customStyle="1">
    <w:name w:val="WW8Num7z6"/>
    <w:uiPriority w:val="99"/>
    <w:qFormat/>
    <w:rsid w:val="00fa1e7a"/>
    <w:rPr/>
  </w:style>
  <w:style w:type="character" w:styleId="WW8Num7z7" w:customStyle="1">
    <w:name w:val="WW8Num7z7"/>
    <w:uiPriority w:val="99"/>
    <w:qFormat/>
    <w:rsid w:val="00fa1e7a"/>
    <w:rPr/>
  </w:style>
  <w:style w:type="character" w:styleId="WW8Num7z8" w:customStyle="1">
    <w:name w:val="WW8Num7z8"/>
    <w:uiPriority w:val="99"/>
    <w:qFormat/>
    <w:rsid w:val="00fa1e7a"/>
    <w:rPr/>
  </w:style>
  <w:style w:type="character" w:styleId="WW8Num9z2" w:customStyle="1">
    <w:name w:val="WW8Num9z2"/>
    <w:uiPriority w:val="99"/>
    <w:qFormat/>
    <w:rsid w:val="00fa1e7a"/>
    <w:rPr/>
  </w:style>
  <w:style w:type="character" w:styleId="WW8Num9z3" w:customStyle="1">
    <w:name w:val="WW8Num9z3"/>
    <w:uiPriority w:val="99"/>
    <w:qFormat/>
    <w:rsid w:val="00fa1e7a"/>
    <w:rPr/>
  </w:style>
  <w:style w:type="character" w:styleId="WW8Num9z4" w:customStyle="1">
    <w:name w:val="WW8Num9z4"/>
    <w:uiPriority w:val="99"/>
    <w:qFormat/>
    <w:rsid w:val="00fa1e7a"/>
    <w:rPr/>
  </w:style>
  <w:style w:type="character" w:styleId="WW8Num9z5" w:customStyle="1">
    <w:name w:val="WW8Num9z5"/>
    <w:uiPriority w:val="99"/>
    <w:qFormat/>
    <w:rsid w:val="00fa1e7a"/>
    <w:rPr/>
  </w:style>
  <w:style w:type="character" w:styleId="WW8Num9z6" w:customStyle="1">
    <w:name w:val="WW8Num9z6"/>
    <w:uiPriority w:val="99"/>
    <w:qFormat/>
    <w:rsid w:val="00fa1e7a"/>
    <w:rPr/>
  </w:style>
  <w:style w:type="character" w:styleId="WW8Num9z7" w:customStyle="1">
    <w:name w:val="WW8Num9z7"/>
    <w:uiPriority w:val="99"/>
    <w:qFormat/>
    <w:rsid w:val="00fa1e7a"/>
    <w:rPr/>
  </w:style>
  <w:style w:type="character" w:styleId="WW8Num9z8" w:customStyle="1">
    <w:name w:val="WW8Num9z8"/>
    <w:uiPriority w:val="99"/>
    <w:qFormat/>
    <w:rsid w:val="00fa1e7a"/>
    <w:rPr/>
  </w:style>
  <w:style w:type="character" w:styleId="WW8Num10z3" w:customStyle="1">
    <w:name w:val="WW8Num10z3"/>
    <w:uiPriority w:val="99"/>
    <w:qFormat/>
    <w:rsid w:val="00fa1e7a"/>
    <w:rPr/>
  </w:style>
  <w:style w:type="character" w:styleId="WW8Num11z3" w:customStyle="1">
    <w:name w:val="WW8Num11z3"/>
    <w:uiPriority w:val="99"/>
    <w:qFormat/>
    <w:rsid w:val="00fa1e7a"/>
    <w:rPr>
      <w:rFonts w:ascii="Symbol" w:hAnsi="Symbol"/>
    </w:rPr>
  </w:style>
  <w:style w:type="character" w:styleId="WW8Num15z2" w:customStyle="1">
    <w:name w:val="WW8Num15z2"/>
    <w:uiPriority w:val="99"/>
    <w:qFormat/>
    <w:rsid w:val="00fa1e7a"/>
    <w:rPr>
      <w:rFonts w:ascii="Wingdings" w:hAnsi="Wingdings"/>
    </w:rPr>
  </w:style>
  <w:style w:type="character" w:styleId="WW8Num15z3" w:customStyle="1">
    <w:name w:val="WW8Num15z3"/>
    <w:uiPriority w:val="99"/>
    <w:qFormat/>
    <w:rsid w:val="00fa1e7a"/>
    <w:rPr>
      <w:rFonts w:ascii="Symbol" w:hAnsi="Symbol"/>
    </w:rPr>
  </w:style>
  <w:style w:type="character" w:styleId="WW8Num18z3" w:customStyle="1">
    <w:name w:val="WW8Num18z3"/>
    <w:uiPriority w:val="99"/>
    <w:qFormat/>
    <w:rsid w:val="00fa1e7a"/>
    <w:rPr/>
  </w:style>
  <w:style w:type="character" w:styleId="WW8Num18z4" w:customStyle="1">
    <w:name w:val="WW8Num18z4"/>
    <w:uiPriority w:val="99"/>
    <w:qFormat/>
    <w:rsid w:val="00fa1e7a"/>
    <w:rPr/>
  </w:style>
  <w:style w:type="character" w:styleId="WW8Num18z5" w:customStyle="1">
    <w:name w:val="WW8Num18z5"/>
    <w:uiPriority w:val="99"/>
    <w:qFormat/>
    <w:rsid w:val="00fa1e7a"/>
    <w:rPr/>
  </w:style>
  <w:style w:type="character" w:styleId="WW8Num18z6" w:customStyle="1">
    <w:name w:val="WW8Num18z6"/>
    <w:uiPriority w:val="99"/>
    <w:qFormat/>
    <w:rsid w:val="00fa1e7a"/>
    <w:rPr/>
  </w:style>
  <w:style w:type="character" w:styleId="WW8Num18z7" w:customStyle="1">
    <w:name w:val="WW8Num18z7"/>
    <w:uiPriority w:val="99"/>
    <w:qFormat/>
    <w:rsid w:val="00fa1e7a"/>
    <w:rPr/>
  </w:style>
  <w:style w:type="character" w:styleId="WW8Num18z8" w:customStyle="1">
    <w:name w:val="WW8Num18z8"/>
    <w:uiPriority w:val="99"/>
    <w:qFormat/>
    <w:rsid w:val="00fa1e7a"/>
    <w:rPr/>
  </w:style>
  <w:style w:type="character" w:styleId="WW8Num22z1" w:customStyle="1">
    <w:name w:val="WW8Num22z1"/>
    <w:uiPriority w:val="99"/>
    <w:qFormat/>
    <w:rsid w:val="00fa1e7a"/>
    <w:rPr/>
  </w:style>
  <w:style w:type="character" w:styleId="WW8Num22z2" w:customStyle="1">
    <w:name w:val="WW8Num22z2"/>
    <w:uiPriority w:val="99"/>
    <w:qFormat/>
    <w:rsid w:val="00fa1e7a"/>
    <w:rPr/>
  </w:style>
  <w:style w:type="character" w:styleId="WW8Num22z3" w:customStyle="1">
    <w:name w:val="WW8Num22z3"/>
    <w:uiPriority w:val="99"/>
    <w:qFormat/>
    <w:rsid w:val="00fa1e7a"/>
    <w:rPr/>
  </w:style>
  <w:style w:type="character" w:styleId="WW8Num22z4" w:customStyle="1">
    <w:name w:val="WW8Num22z4"/>
    <w:uiPriority w:val="99"/>
    <w:qFormat/>
    <w:rsid w:val="00fa1e7a"/>
    <w:rPr/>
  </w:style>
  <w:style w:type="character" w:styleId="WW8Num22z5" w:customStyle="1">
    <w:name w:val="WW8Num22z5"/>
    <w:uiPriority w:val="99"/>
    <w:qFormat/>
    <w:rsid w:val="00fa1e7a"/>
    <w:rPr/>
  </w:style>
  <w:style w:type="character" w:styleId="WW8Num22z6" w:customStyle="1">
    <w:name w:val="WW8Num22z6"/>
    <w:uiPriority w:val="99"/>
    <w:qFormat/>
    <w:rsid w:val="00fa1e7a"/>
    <w:rPr/>
  </w:style>
  <w:style w:type="character" w:styleId="WW8Num22z7" w:customStyle="1">
    <w:name w:val="WW8Num22z7"/>
    <w:uiPriority w:val="99"/>
    <w:qFormat/>
    <w:rsid w:val="00fa1e7a"/>
    <w:rPr/>
  </w:style>
  <w:style w:type="character" w:styleId="WW8Num22z8" w:customStyle="1">
    <w:name w:val="WW8Num22z8"/>
    <w:uiPriority w:val="99"/>
    <w:qFormat/>
    <w:rsid w:val="00fa1e7a"/>
    <w:rPr/>
  </w:style>
  <w:style w:type="character" w:styleId="WW8Num23z2" w:customStyle="1">
    <w:name w:val="WW8Num23z2"/>
    <w:uiPriority w:val="99"/>
    <w:qFormat/>
    <w:rsid w:val="00fa1e7a"/>
    <w:rPr/>
  </w:style>
  <w:style w:type="character" w:styleId="WW8Num23z3" w:customStyle="1">
    <w:name w:val="WW8Num23z3"/>
    <w:uiPriority w:val="99"/>
    <w:qFormat/>
    <w:rsid w:val="00fa1e7a"/>
    <w:rPr/>
  </w:style>
  <w:style w:type="character" w:styleId="WW8Num23z4" w:customStyle="1">
    <w:name w:val="WW8Num23z4"/>
    <w:uiPriority w:val="99"/>
    <w:qFormat/>
    <w:rsid w:val="00fa1e7a"/>
    <w:rPr/>
  </w:style>
  <w:style w:type="character" w:styleId="WW8Num23z5" w:customStyle="1">
    <w:name w:val="WW8Num23z5"/>
    <w:uiPriority w:val="99"/>
    <w:qFormat/>
    <w:rsid w:val="00fa1e7a"/>
    <w:rPr/>
  </w:style>
  <w:style w:type="character" w:styleId="WW8Num23z6" w:customStyle="1">
    <w:name w:val="WW8Num23z6"/>
    <w:uiPriority w:val="99"/>
    <w:qFormat/>
    <w:rsid w:val="00fa1e7a"/>
    <w:rPr/>
  </w:style>
  <w:style w:type="character" w:styleId="WW8Num23z7" w:customStyle="1">
    <w:name w:val="WW8Num23z7"/>
    <w:uiPriority w:val="99"/>
    <w:qFormat/>
    <w:rsid w:val="00fa1e7a"/>
    <w:rPr/>
  </w:style>
  <w:style w:type="character" w:styleId="WW8Num23z8" w:customStyle="1">
    <w:name w:val="WW8Num23z8"/>
    <w:uiPriority w:val="99"/>
    <w:qFormat/>
    <w:rsid w:val="00fa1e7a"/>
    <w:rPr/>
  </w:style>
  <w:style w:type="character" w:styleId="WW8Num24z2" w:customStyle="1">
    <w:name w:val="WW8Num24z2"/>
    <w:uiPriority w:val="99"/>
    <w:qFormat/>
    <w:rsid w:val="00fa1e7a"/>
    <w:rPr>
      <w:rFonts w:ascii="Wingdings" w:hAnsi="Wingdings"/>
    </w:rPr>
  </w:style>
  <w:style w:type="character" w:styleId="WW8Num24z3" w:customStyle="1">
    <w:name w:val="WW8Num24z3"/>
    <w:uiPriority w:val="99"/>
    <w:qFormat/>
    <w:rsid w:val="00fa1e7a"/>
    <w:rPr>
      <w:rFonts w:ascii="Symbol" w:hAnsi="Symbol"/>
    </w:rPr>
  </w:style>
  <w:style w:type="character" w:styleId="Pagenumber">
    <w:name w:val="page number"/>
    <w:basedOn w:val="DefaultParagraphFont"/>
    <w:uiPriority w:val="99"/>
    <w:qFormat/>
    <w:rsid w:val="00fa1e7a"/>
    <w:rPr>
      <w:rFonts w:cs="Times New Roman"/>
    </w:rPr>
  </w:style>
  <w:style w:type="character" w:styleId="EnlacedeInternet" w:customStyle="1">
    <w:name w:val="Enlace de Internet"/>
    <w:uiPriority w:val="99"/>
    <w:qFormat/>
    <w:rsid w:val="00fa1e7a"/>
    <w:rPr>
      <w:color w:val="0000FF"/>
      <w:u w:val="single"/>
    </w:rPr>
  </w:style>
  <w:style w:type="character" w:styleId="Caracteresdenotaalpie" w:customStyle="1">
    <w:name w:val="Caracteres de nota al pie"/>
    <w:uiPriority w:val="99"/>
    <w:qFormat/>
    <w:rsid w:val="00fa1e7a"/>
    <w:rPr>
      <w:vertAlign w:val="superscript"/>
    </w:rPr>
  </w:style>
  <w:style w:type="character" w:styleId="EncabezadoCar" w:customStyle="1">
    <w:name w:val="Encabezado Car"/>
    <w:uiPriority w:val="99"/>
    <w:qFormat/>
    <w:rsid w:val="00fa1e7a"/>
    <w:rPr>
      <w:rFonts w:ascii="Arial" w:hAnsi="Arial"/>
      <w:lang w:val="ca-ES"/>
    </w:rPr>
  </w:style>
  <w:style w:type="character" w:styleId="TextodegloboCar" w:customStyle="1">
    <w:name w:val="Texto de globo Car"/>
    <w:uiPriority w:val="99"/>
    <w:qFormat/>
    <w:rsid w:val="00fa1e7a"/>
    <w:rPr>
      <w:rFonts w:ascii="Tahoma" w:hAnsi="Tahoma"/>
      <w:sz w:val="16"/>
      <w:lang w:val="ca-ES"/>
    </w:rPr>
  </w:style>
  <w:style w:type="character" w:styleId="34754876" w:customStyle="1">
    <w:name w:val="34754876"/>
    <w:uiPriority w:val="99"/>
    <w:qFormat/>
    <w:rsid w:val="00fa1e7a"/>
    <w:rPr>
      <w:rFonts w:ascii="Arial" w:hAnsi="Arial"/>
      <w:color w:val="000080"/>
      <w:sz w:val="20"/>
    </w:rPr>
  </w:style>
  <w:style w:type="character" w:styleId="Muydestacado" w:customStyle="1">
    <w:name w:val="Muy destacado"/>
    <w:uiPriority w:val="99"/>
    <w:qFormat/>
    <w:rsid w:val="00fa1e7a"/>
    <w:rPr>
      <w:b/>
    </w:rPr>
  </w:style>
  <w:style w:type="character" w:styleId="Hps" w:customStyle="1">
    <w:name w:val="hps"/>
    <w:uiPriority w:val="99"/>
    <w:qFormat/>
    <w:rsid w:val="00fa1e7a"/>
    <w:rPr/>
  </w:style>
  <w:style w:type="character" w:styleId="CarCar7" w:customStyle="1">
    <w:name w:val="Car Car7"/>
    <w:uiPriority w:val="99"/>
    <w:qFormat/>
    <w:rsid w:val="00fa1e7a"/>
    <w:rPr>
      <w:rFonts w:ascii="Courier New" w:hAnsi="Courier New"/>
      <w:color w:val="00000A"/>
      <w:sz w:val="20"/>
      <w:lang w:val="ca-ES" w:eastAsia="zh-CN"/>
    </w:rPr>
  </w:style>
  <w:style w:type="character" w:styleId="CarCar1" w:customStyle="1">
    <w:name w:val="Car Car1"/>
    <w:uiPriority w:val="99"/>
    <w:qFormat/>
    <w:rsid w:val="00fa1e7a"/>
    <w:rPr>
      <w:rFonts w:ascii="Arial" w:hAnsi="Arial"/>
      <w:color w:val="00000A"/>
      <w:sz w:val="20"/>
      <w:lang w:val="ca-ES" w:eastAsia="zh-CN"/>
    </w:rPr>
  </w:style>
  <w:style w:type="character" w:styleId="Destacado" w:customStyle="1">
    <w:name w:val="Destacado"/>
    <w:uiPriority w:val="99"/>
    <w:qFormat/>
    <w:rsid w:val="00fa1e7a"/>
    <w:rPr>
      <w:i/>
    </w:rPr>
  </w:style>
  <w:style w:type="character" w:styleId="CarCar8" w:customStyle="1">
    <w:name w:val="Car Car8"/>
    <w:uiPriority w:val="99"/>
    <w:qFormat/>
    <w:rsid w:val="00fa1e7a"/>
    <w:rPr>
      <w:rFonts w:ascii="Arial" w:hAnsi="Arial"/>
      <w:color w:val="00000A"/>
      <w:sz w:val="16"/>
      <w:lang w:val="ca-ES" w:eastAsia="zh-CN"/>
    </w:rPr>
  </w:style>
  <w:style w:type="character" w:styleId="CarCar5" w:customStyle="1">
    <w:name w:val="Car Car5"/>
    <w:uiPriority w:val="99"/>
    <w:qFormat/>
    <w:rsid w:val="00fa1e7a"/>
    <w:rPr>
      <w:rFonts w:ascii="Arial" w:hAnsi="Arial"/>
      <w:color w:val="00000A"/>
      <w:sz w:val="20"/>
      <w:lang w:val="ca-ES" w:eastAsia="zh-CN"/>
    </w:rPr>
  </w:style>
  <w:style w:type="character" w:styleId="CarCar3" w:customStyle="1">
    <w:name w:val="Car Car3"/>
    <w:uiPriority w:val="99"/>
    <w:qFormat/>
    <w:rsid w:val="00fa1e7a"/>
    <w:rPr>
      <w:rFonts w:ascii="Arial" w:hAnsi="Arial"/>
      <w:color w:val="00000A"/>
      <w:sz w:val="20"/>
      <w:lang w:val="ca-ES" w:eastAsia="zh-CN"/>
    </w:rPr>
  </w:style>
  <w:style w:type="character" w:styleId="Annotationreference">
    <w:name w:val="annotation reference"/>
    <w:basedOn w:val="DefaultParagraphFont"/>
    <w:uiPriority w:val="99"/>
    <w:qFormat/>
    <w:rsid w:val="00fa1e7a"/>
    <w:rPr>
      <w:rFonts w:cs="Times New Roman"/>
      <w:sz w:val="16"/>
    </w:rPr>
  </w:style>
  <w:style w:type="character" w:styleId="CarCar" w:customStyle="1">
    <w:name w:val="Car Car"/>
    <w:uiPriority w:val="99"/>
    <w:qFormat/>
    <w:rsid w:val="00fa1e7a"/>
    <w:rPr>
      <w:rFonts w:ascii="Arial" w:hAnsi="Arial"/>
      <w:b/>
      <w:color w:val="00000A"/>
      <w:sz w:val="20"/>
      <w:lang w:val="ca-ES" w:eastAsia="zh-CN"/>
    </w:rPr>
  </w:style>
  <w:style w:type="character" w:styleId="CarCar4" w:customStyle="1">
    <w:name w:val="Car Car4"/>
    <w:uiPriority w:val="99"/>
    <w:qFormat/>
    <w:rsid w:val="00fa1e7a"/>
    <w:rPr>
      <w:rFonts w:ascii="Arial" w:hAnsi="Arial"/>
      <w:color w:val="00000A"/>
      <w:sz w:val="16"/>
      <w:lang w:val="ca-ES" w:eastAsia="zh-CN"/>
    </w:rPr>
  </w:style>
  <w:style w:type="character" w:styleId="Valorcamps" w:customStyle="1">
    <w:name w:val="valorcamps"/>
    <w:uiPriority w:val="99"/>
    <w:qFormat/>
    <w:rsid w:val="00fa1e7a"/>
    <w:rPr/>
  </w:style>
  <w:style w:type="character" w:styleId="CarCar2" w:customStyle="1">
    <w:name w:val="Car Car2"/>
    <w:uiPriority w:val="99"/>
    <w:qFormat/>
    <w:rsid w:val="00fa1e7a"/>
    <w:rPr>
      <w:rFonts w:ascii="Times New Roman" w:hAnsi="Times New Roman"/>
      <w:color w:val="00000A"/>
      <w:sz w:val="2"/>
      <w:lang w:val="ca-ES" w:eastAsia="zh-CN"/>
    </w:rPr>
  </w:style>
  <w:style w:type="character" w:styleId="NormalindexCar" w:customStyle="1">
    <w:name w:val="Normal_index Car"/>
    <w:uiPriority w:val="99"/>
    <w:qFormat/>
    <w:rsid w:val="00fa1e7a"/>
    <w:rPr>
      <w:rFonts w:ascii="Arial" w:hAnsi="Arial"/>
      <w:lang w:val="es-ES"/>
    </w:rPr>
  </w:style>
  <w:style w:type="character" w:styleId="CarCar6" w:customStyle="1">
    <w:name w:val="Car Car6"/>
    <w:uiPriority w:val="99"/>
    <w:qFormat/>
    <w:rsid w:val="00fa1e7a"/>
    <w:rPr>
      <w:rFonts w:ascii="Arial" w:hAnsi="Arial"/>
      <w:color w:val="00000A"/>
      <w:sz w:val="20"/>
      <w:lang w:val="ca-ES" w:eastAsia="zh-CN"/>
    </w:rPr>
  </w:style>
  <w:style w:type="character" w:styleId="INDEXPLECCarCar" w:customStyle="1">
    <w:name w:val="INDEX- PLEC Car Car"/>
    <w:uiPriority w:val="99"/>
    <w:qFormat/>
    <w:rsid w:val="00fa1e7a"/>
    <w:rPr>
      <w:rFonts w:ascii="Arial" w:hAnsi="Arial"/>
      <w:lang w:val="ca-ES"/>
    </w:rPr>
  </w:style>
  <w:style w:type="character" w:styleId="Smbolosdenumeracin" w:customStyle="1">
    <w:name w:val="Símbolos de numeración"/>
    <w:uiPriority w:val="99"/>
    <w:qFormat/>
    <w:rsid w:val="00fa1e7a"/>
    <w:rPr/>
  </w:style>
  <w:style w:type="character" w:styleId="CarCar14" w:customStyle="1">
    <w:name w:val="Car Car14"/>
    <w:uiPriority w:val="99"/>
    <w:qFormat/>
    <w:rsid w:val="00fa1e7a"/>
    <w:rPr>
      <w:rFonts w:ascii="Arial" w:hAnsi="Arial"/>
      <w:color w:val="00000A"/>
      <w:sz w:val="20"/>
      <w:lang w:val="ca-ES" w:eastAsia="zh-CN"/>
    </w:rPr>
  </w:style>
  <w:style w:type="character" w:styleId="CarCar13" w:customStyle="1">
    <w:name w:val="Car Car13"/>
    <w:uiPriority w:val="99"/>
    <w:qFormat/>
    <w:rsid w:val="00fa1e7a"/>
    <w:rPr>
      <w:rFonts w:ascii="Cambria" w:hAnsi="Cambria"/>
      <w:b/>
      <w:color w:val="00000A"/>
      <w:kern w:val="2"/>
      <w:sz w:val="32"/>
      <w:lang w:val="ca-ES" w:eastAsia="zh-CN"/>
    </w:rPr>
  </w:style>
  <w:style w:type="character" w:styleId="CarCar12" w:customStyle="1">
    <w:name w:val="Car Car12"/>
    <w:uiPriority w:val="99"/>
    <w:qFormat/>
    <w:rsid w:val="00fa1e7a"/>
    <w:rPr>
      <w:rFonts w:ascii="Arial" w:hAnsi="Arial"/>
      <w:color w:val="00000A"/>
      <w:sz w:val="20"/>
      <w:lang w:val="ca-ES" w:eastAsia="zh-CN"/>
    </w:rPr>
  </w:style>
  <w:style w:type="character" w:styleId="CarCar11" w:customStyle="1">
    <w:name w:val="Car Car11"/>
    <w:uiPriority w:val="99"/>
    <w:qFormat/>
    <w:rsid w:val="00fa1e7a"/>
    <w:rPr>
      <w:rFonts w:ascii="Arial" w:hAnsi="Arial"/>
      <w:color w:val="00000A"/>
      <w:sz w:val="20"/>
      <w:lang w:val="ca-ES" w:eastAsia="zh-CN"/>
    </w:rPr>
  </w:style>
  <w:style w:type="character" w:styleId="CarCar10" w:customStyle="1">
    <w:name w:val="Car Car10"/>
    <w:uiPriority w:val="99"/>
    <w:qFormat/>
    <w:rsid w:val="00fa1e7a"/>
    <w:rPr>
      <w:rFonts w:ascii="Arial" w:hAnsi="Arial"/>
      <w:color w:val="00000A"/>
      <w:sz w:val="20"/>
      <w:lang w:val="ca-ES" w:eastAsia="zh-CN"/>
    </w:rPr>
  </w:style>
  <w:style w:type="character" w:styleId="CarCar9" w:customStyle="1">
    <w:name w:val="Car Car9"/>
    <w:uiPriority w:val="99"/>
    <w:qFormat/>
    <w:rsid w:val="00fa1e7a"/>
    <w:rPr>
      <w:rFonts w:ascii="Times New Roman" w:hAnsi="Times New Roman"/>
      <w:color w:val="00000A"/>
      <w:sz w:val="2"/>
      <w:lang w:val="ca-ES" w:eastAsia="zh-CN"/>
    </w:rPr>
  </w:style>
  <w:style w:type="character" w:styleId="PlaceholderText">
    <w:name w:val="Placeholder Text"/>
    <w:basedOn w:val="DefaultParagraphFont"/>
    <w:uiPriority w:val="99"/>
    <w:qFormat/>
    <w:rsid w:val="00fa1e7a"/>
    <w:rPr>
      <w:rFonts w:cs="Times New Roman"/>
      <w:color w:val="808080"/>
    </w:rPr>
  </w:style>
  <w:style w:type="character" w:styleId="CITE" w:customStyle="1">
    <w:name w:val="CITE"/>
    <w:uiPriority w:val="99"/>
    <w:qFormat/>
    <w:rsid w:val="00fa1e7a"/>
    <w:rPr>
      <w:i/>
    </w:rPr>
  </w:style>
  <w:style w:type="character" w:styleId="CODE" w:customStyle="1">
    <w:name w:val="CODE"/>
    <w:uiPriority w:val="99"/>
    <w:qFormat/>
    <w:rsid w:val="00fa1e7a"/>
    <w:rPr>
      <w:rFonts w:ascii="Courier New" w:hAnsi="Courier New"/>
      <w:sz w:val="20"/>
    </w:rPr>
  </w:style>
  <w:style w:type="character" w:styleId="EnlacedeInternetvisitado" w:customStyle="1">
    <w:name w:val="Enlace de Internet visitado"/>
    <w:uiPriority w:val="99"/>
    <w:qFormat/>
    <w:rsid w:val="00fa1e7a"/>
    <w:rPr>
      <w:color w:val="800080"/>
      <w:u w:val="single"/>
    </w:rPr>
  </w:style>
  <w:style w:type="character" w:styleId="Keyboard" w:customStyle="1">
    <w:name w:val="Keyboard"/>
    <w:uiPriority w:val="99"/>
    <w:qFormat/>
    <w:rsid w:val="00fa1e7a"/>
    <w:rPr>
      <w:rFonts w:ascii="Courier New" w:hAnsi="Courier New"/>
      <w:b/>
      <w:sz w:val="20"/>
    </w:rPr>
  </w:style>
  <w:style w:type="character" w:styleId="Sample" w:customStyle="1">
    <w:name w:val="Sample"/>
    <w:uiPriority w:val="99"/>
    <w:qFormat/>
    <w:rsid w:val="00fa1e7a"/>
    <w:rPr>
      <w:rFonts w:ascii="Courier New" w:hAnsi="Courier New"/>
    </w:rPr>
  </w:style>
  <w:style w:type="character" w:styleId="Strong">
    <w:name w:val="Strong"/>
    <w:basedOn w:val="DefaultParagraphFont"/>
    <w:qFormat/>
    <w:rsid w:val="00fa1e7a"/>
    <w:rPr>
      <w:rFonts w:cs="Times New Roman"/>
      <w:b/>
    </w:rPr>
  </w:style>
  <w:style w:type="character" w:styleId="Typewriter" w:customStyle="1">
    <w:name w:val="Typewriter"/>
    <w:uiPriority w:val="99"/>
    <w:qFormat/>
    <w:rsid w:val="00fa1e7a"/>
    <w:rPr>
      <w:rFonts w:ascii="Courier New" w:hAnsi="Courier New"/>
      <w:sz w:val="20"/>
    </w:rPr>
  </w:style>
  <w:style w:type="character" w:styleId="HTMLMarkup" w:customStyle="1">
    <w:name w:val="HTML Markup"/>
    <w:uiPriority w:val="99"/>
    <w:qFormat/>
    <w:rsid w:val="00fa1e7a"/>
    <w:rPr>
      <w:vanish/>
      <w:color w:val="FF0000"/>
    </w:rPr>
  </w:style>
  <w:style w:type="character" w:styleId="Comment" w:customStyle="1">
    <w:name w:val="Comment"/>
    <w:uiPriority w:val="99"/>
    <w:qFormat/>
    <w:rsid w:val="00fa1e7a"/>
    <w:rPr>
      <w:vanish/>
    </w:rPr>
  </w:style>
  <w:style w:type="character" w:styleId="TtuloCar" w:customStyle="1">
    <w:name w:val="Título Car"/>
    <w:basedOn w:val="DefaultParagraphFont"/>
    <w:link w:val="Ttulo"/>
    <w:uiPriority w:val="99"/>
    <w:qFormat/>
    <w:locked/>
    <w:rPr>
      <w:rFonts w:ascii="Cambria" w:hAnsi="Cambria" w:cs="Times New Roman"/>
      <w:b/>
      <w:bCs/>
      <w:color w:val="00000A"/>
      <w:kern w:val="2"/>
      <w:sz w:val="32"/>
      <w:szCs w:val="32"/>
      <w:lang w:val="ca-ES" w:eastAsia="zh-CN"/>
    </w:rPr>
  </w:style>
  <w:style w:type="character" w:styleId="TextoindependienteCar" w:customStyle="1">
    <w:name w:val="Texto independiente Car"/>
    <w:basedOn w:val="DefaultParagraphFont"/>
    <w:link w:val="Textoindependiente"/>
    <w:uiPriority w:val="99"/>
    <w:semiHidden/>
    <w:qFormat/>
    <w:locked/>
    <w:rPr>
      <w:rFonts w:ascii="Arial" w:hAnsi="Arial" w:eastAsia="SimSun;宋体" w:cs="Times New Roman"/>
      <w:color w:val="00000A"/>
      <w:sz w:val="20"/>
      <w:szCs w:val="20"/>
      <w:lang w:val="ca-ES" w:eastAsia="zh-CN"/>
    </w:rPr>
  </w:style>
  <w:style w:type="character" w:styleId="EncabezadoCar1" w:customStyle="1">
    <w:name w:val="Encabezado Car1"/>
    <w:basedOn w:val="DefaultParagraphFont"/>
    <w:link w:val="Encabezado"/>
    <w:uiPriority w:val="99"/>
    <w:semiHidden/>
    <w:qFormat/>
    <w:locked/>
    <w:rPr>
      <w:rFonts w:ascii="Arial" w:hAnsi="Arial" w:eastAsia="SimSun;宋体" w:cs="Times New Roman"/>
      <w:color w:val="00000A"/>
      <w:sz w:val="20"/>
      <w:szCs w:val="20"/>
      <w:lang w:val="ca-ES" w:eastAsia="zh-CN"/>
    </w:rPr>
  </w:style>
  <w:style w:type="character" w:styleId="PiedepginaCar" w:customStyle="1">
    <w:name w:val="Pie de página Car"/>
    <w:basedOn w:val="DefaultParagraphFont"/>
    <w:link w:val="Piedepgina"/>
    <w:uiPriority w:val="99"/>
    <w:semiHidden/>
    <w:qFormat/>
    <w:locked/>
    <w:rPr>
      <w:rFonts w:ascii="Arial" w:hAnsi="Arial" w:eastAsia="SimSun;宋体" w:cs="Times New Roman"/>
      <w:color w:val="00000A"/>
      <w:sz w:val="20"/>
      <w:szCs w:val="20"/>
      <w:lang w:val="ca-ES" w:eastAsia="zh-CN"/>
    </w:rPr>
  </w:style>
  <w:style w:type="character" w:styleId="Textoindependiente2Car" w:customStyle="1">
    <w:name w:val="Texto independiente 2 Car"/>
    <w:basedOn w:val="DefaultParagraphFont"/>
    <w:link w:val="Textoindependiente2"/>
    <w:uiPriority w:val="99"/>
    <w:semiHidden/>
    <w:qFormat/>
    <w:locked/>
    <w:rPr>
      <w:rFonts w:ascii="Arial" w:hAnsi="Arial" w:eastAsia="SimSun;宋体" w:cs="Times New Roman"/>
      <w:color w:val="00000A"/>
      <w:sz w:val="20"/>
      <w:szCs w:val="20"/>
      <w:lang w:val="ca-ES" w:eastAsia="zh-CN"/>
    </w:rPr>
  </w:style>
  <w:style w:type="character" w:styleId="MapadeldocumentoCar" w:customStyle="1">
    <w:name w:val="Mapa del documento Car"/>
    <w:basedOn w:val="DefaultParagraphFont"/>
    <w:link w:val="Mapadeldocumento"/>
    <w:uiPriority w:val="99"/>
    <w:semiHidden/>
    <w:qFormat/>
    <w:locked/>
    <w:rPr>
      <w:rFonts w:ascii="Times New Roman" w:hAnsi="Times New Roman" w:eastAsia="SimSun;宋体" w:cs="Times New Roman"/>
      <w:color w:val="00000A"/>
      <w:sz w:val="2"/>
      <w:lang w:val="ca-ES" w:eastAsia="zh-CN"/>
    </w:rPr>
  </w:style>
  <w:style w:type="character" w:styleId="Textoindependiente3Car" w:customStyle="1">
    <w:name w:val="Texto independiente 3 Car"/>
    <w:basedOn w:val="DefaultParagraphFont"/>
    <w:link w:val="Textoindependiente3"/>
    <w:uiPriority w:val="99"/>
    <w:semiHidden/>
    <w:qFormat/>
    <w:locked/>
    <w:rPr>
      <w:rFonts w:ascii="Arial" w:hAnsi="Arial" w:eastAsia="SimSun;宋体" w:cs="Times New Roman"/>
      <w:color w:val="00000A"/>
      <w:sz w:val="16"/>
      <w:szCs w:val="16"/>
      <w:lang w:val="ca-ES" w:eastAsia="zh-CN"/>
    </w:rPr>
  </w:style>
  <w:style w:type="character" w:styleId="TextosinformatoCar" w:customStyle="1">
    <w:name w:val="Texto sin formato Car"/>
    <w:basedOn w:val="DefaultParagraphFont"/>
    <w:link w:val="Textosinformato"/>
    <w:uiPriority w:val="99"/>
    <w:semiHidden/>
    <w:qFormat/>
    <w:locked/>
    <w:rPr>
      <w:rFonts w:ascii="Courier New" w:hAnsi="Courier New" w:eastAsia="SimSun;宋体" w:cs="Courier New"/>
      <w:color w:val="00000A"/>
      <w:sz w:val="20"/>
      <w:szCs w:val="20"/>
      <w:lang w:val="ca-ES" w:eastAsia="zh-CN"/>
    </w:rPr>
  </w:style>
  <w:style w:type="character" w:styleId="SangradetextonormalCar" w:customStyle="1">
    <w:name w:val="Sangría de texto normal Car"/>
    <w:basedOn w:val="DefaultParagraphFont"/>
    <w:link w:val="Sangradetextonormal"/>
    <w:uiPriority w:val="99"/>
    <w:semiHidden/>
    <w:qFormat/>
    <w:locked/>
    <w:rPr>
      <w:rFonts w:ascii="Arial" w:hAnsi="Arial" w:eastAsia="SimSun;宋体" w:cs="Times New Roman"/>
      <w:color w:val="00000A"/>
      <w:sz w:val="20"/>
      <w:szCs w:val="20"/>
      <w:lang w:val="ca-ES" w:eastAsia="zh-CN"/>
    </w:rPr>
  </w:style>
  <w:style w:type="character" w:styleId="Sangra2detindependienteCar" w:customStyle="1">
    <w:name w:val="Sangría 2 de t. independiente Car"/>
    <w:basedOn w:val="DefaultParagraphFont"/>
    <w:link w:val="Sangra2detindependiente"/>
    <w:uiPriority w:val="99"/>
    <w:semiHidden/>
    <w:qFormat/>
    <w:locked/>
    <w:rPr>
      <w:rFonts w:ascii="Arial" w:hAnsi="Arial" w:eastAsia="SimSun;宋体" w:cs="Times New Roman"/>
      <w:color w:val="00000A"/>
      <w:sz w:val="20"/>
      <w:szCs w:val="20"/>
      <w:lang w:val="ca-ES" w:eastAsia="zh-CN"/>
    </w:rPr>
  </w:style>
  <w:style w:type="character" w:styleId="Sangra3detindependienteCar" w:customStyle="1">
    <w:name w:val="Sangría 3 de t. independiente Car"/>
    <w:basedOn w:val="DefaultParagraphFont"/>
    <w:link w:val="Sangra3detindependiente"/>
    <w:uiPriority w:val="99"/>
    <w:semiHidden/>
    <w:qFormat/>
    <w:locked/>
    <w:rPr>
      <w:rFonts w:ascii="Arial" w:hAnsi="Arial" w:eastAsia="SimSun;宋体" w:cs="Times New Roman"/>
      <w:color w:val="00000A"/>
      <w:sz w:val="16"/>
      <w:szCs w:val="16"/>
      <w:lang w:val="ca-ES" w:eastAsia="zh-CN"/>
    </w:rPr>
  </w:style>
  <w:style w:type="character" w:styleId="TextonotapieCar" w:customStyle="1">
    <w:name w:val="Texto nota pie Car"/>
    <w:basedOn w:val="DefaultParagraphFont"/>
    <w:link w:val="Textonotapie"/>
    <w:uiPriority w:val="99"/>
    <w:semiHidden/>
    <w:qFormat/>
    <w:locked/>
    <w:rPr>
      <w:rFonts w:ascii="Arial" w:hAnsi="Arial" w:eastAsia="SimSun;宋体" w:cs="Times New Roman"/>
      <w:color w:val="00000A"/>
      <w:sz w:val="20"/>
      <w:szCs w:val="20"/>
      <w:lang w:val="ca-ES" w:eastAsia="zh-CN"/>
    </w:rPr>
  </w:style>
  <w:style w:type="character" w:styleId="TextodegloboCar1" w:customStyle="1">
    <w:name w:val="Texto de globo Car1"/>
    <w:basedOn w:val="DefaultParagraphFont"/>
    <w:link w:val="Textodeglobo"/>
    <w:uiPriority w:val="99"/>
    <w:semiHidden/>
    <w:qFormat/>
    <w:locked/>
    <w:rPr>
      <w:rFonts w:ascii="Times New Roman" w:hAnsi="Times New Roman" w:eastAsia="SimSun;宋体" w:cs="Times New Roman"/>
      <w:color w:val="00000A"/>
      <w:sz w:val="2"/>
      <w:lang w:val="ca-ES" w:eastAsia="zh-CN"/>
    </w:rPr>
  </w:style>
  <w:style w:type="character" w:styleId="TextocomentarioCar" w:customStyle="1">
    <w:name w:val="Texto comentario Car"/>
    <w:basedOn w:val="DefaultParagraphFont"/>
    <w:link w:val="Textocomentario"/>
    <w:uiPriority w:val="99"/>
    <w:semiHidden/>
    <w:qFormat/>
    <w:locked/>
    <w:rPr>
      <w:rFonts w:ascii="Arial" w:hAnsi="Arial" w:eastAsia="SimSun;宋体" w:cs="Times New Roman"/>
      <w:color w:val="00000A"/>
      <w:sz w:val="20"/>
      <w:szCs w:val="20"/>
      <w:lang w:val="ca-ES" w:eastAsia="zh-CN"/>
    </w:rPr>
  </w:style>
  <w:style w:type="character" w:styleId="AsuntodelcomentarioCar" w:customStyle="1">
    <w:name w:val="Asunto del comentario Car"/>
    <w:basedOn w:val="TextocomentarioCar"/>
    <w:link w:val="Asuntodelcomentario"/>
    <w:uiPriority w:val="99"/>
    <w:semiHidden/>
    <w:qFormat/>
    <w:locked/>
    <w:rPr>
      <w:rFonts w:ascii="Arial" w:hAnsi="Arial" w:eastAsia="SimSun;宋体" w:cs="Times New Roman"/>
      <w:b/>
      <w:bCs/>
      <w:color w:val="00000A"/>
      <w:sz w:val="20"/>
      <w:szCs w:val="20"/>
      <w:lang w:val="ca-ES" w:eastAsia="zh-CN"/>
    </w:rPr>
  </w:style>
  <w:style w:type="character" w:styleId="EnlladInternet">
    <w:name w:val="Enllaç d'Internet"/>
    <w:basedOn w:val="DefaultParagraphFont"/>
    <w:uiPriority w:val="99"/>
    <w:unhideWhenUsed/>
    <w:qFormat/>
    <w:locked/>
    <w:rsid w:val="003e566a"/>
    <w:rPr>
      <w:color w:val="0000FF" w:themeColor="hyperlink"/>
      <w:u w:val="single"/>
    </w:rPr>
  </w:style>
  <w:style w:type="character" w:styleId="Pics">
    <w:name w:val="Pics"/>
    <w:qFormat/>
    <w:rPr>
      <w:rFonts w:ascii="OpenSymbol" w:hAnsi="OpenSymbol" w:eastAsia="OpenSymbol" w:cs="OpenSymbol"/>
    </w:rPr>
  </w:style>
  <w:style w:type="character" w:styleId="Smbolsdenumeraci">
    <w:name w:val="Símbols de numeració"/>
    <w:qFormat/>
    <w:rPr/>
  </w:style>
  <w:style w:type="character" w:styleId="Mfasifort">
    <w:name w:val="Èmfasi fort"/>
    <w:qFormat/>
    <w:rPr>
      <w:b/>
    </w:rPr>
  </w:style>
  <w:style w:type="paragraph" w:styleId="Encapalament" w:customStyle="1">
    <w:name w:val="Encapçalament"/>
    <w:basedOn w:val="Normal"/>
    <w:next w:val="Cosdeltext"/>
    <w:uiPriority w:val="99"/>
    <w:qFormat/>
    <w:rsid w:val="00fa1e7a"/>
    <w:pPr>
      <w:keepNext w:val="true"/>
      <w:spacing w:before="240" w:after="120"/>
    </w:pPr>
    <w:rPr>
      <w:rFonts w:ascii="Liberation Sans;Arial" w:hAnsi="Liberation Sans;Arial" w:eastAsia="Microsoft YaHei" w:cs="Lucida Sans;Times New Roman"/>
      <w:sz w:val="28"/>
      <w:szCs w:val="28"/>
    </w:rPr>
  </w:style>
  <w:style w:type="paragraph" w:styleId="Cosdeltext">
    <w:name w:val="Body Text"/>
    <w:basedOn w:val="Normal"/>
    <w:link w:val="TextoindependienteCar"/>
    <w:uiPriority w:val="99"/>
    <w:rsid w:val="00fa1e7a"/>
    <w:pPr/>
    <w:rPr>
      <w:rFonts w:ascii="Times New Roman" w:hAnsi="Times New Roman" w:cs="Times New Roman"/>
      <w:sz w:val="28"/>
      <w:lang w:val="es-ES"/>
    </w:rPr>
  </w:style>
  <w:style w:type="paragraph" w:styleId="Llista">
    <w:name w:val="List"/>
    <w:basedOn w:val="Cosdeltext"/>
    <w:uiPriority w:val="99"/>
    <w:rsid w:val="00fa1e7a"/>
    <w:pPr/>
    <w:rPr>
      <w:rFonts w:cs="Arial"/>
    </w:rPr>
  </w:style>
  <w:style w:type="paragraph" w:styleId="Llegenda">
    <w:name w:val="Caption"/>
    <w:basedOn w:val="Normal"/>
    <w:qFormat/>
    <w:pPr>
      <w:suppressLineNumbers/>
      <w:spacing w:before="120" w:after="120"/>
    </w:pPr>
    <w:rPr>
      <w:rFonts w:cs="Arial"/>
      <w:i/>
      <w:iCs/>
      <w:sz w:val="24"/>
      <w:szCs w:val="24"/>
    </w:rPr>
  </w:style>
  <w:style w:type="paragraph" w:styleId="Ndex" w:customStyle="1">
    <w:name w:val="Índex"/>
    <w:basedOn w:val="Normal"/>
    <w:uiPriority w:val="99"/>
    <w:qFormat/>
    <w:rsid w:val="00fa1e7a"/>
    <w:pPr>
      <w:suppressLineNumbers/>
    </w:pPr>
    <w:rPr>
      <w:rFonts w:cs="Lucida Sans;Times New Roman"/>
    </w:rPr>
  </w:style>
  <w:style w:type="paragraph" w:styleId="Caption">
    <w:name w:val="caption"/>
    <w:basedOn w:val="Normal"/>
    <w:uiPriority w:val="99"/>
    <w:qFormat/>
    <w:rsid w:val="00fa1e7a"/>
    <w:pPr>
      <w:suppressLineNumbers/>
      <w:spacing w:before="120" w:after="120"/>
    </w:pPr>
    <w:rPr>
      <w:rFonts w:cs="Lucida Sans;Times New Roman"/>
      <w:i/>
      <w:iCs/>
      <w:sz w:val="24"/>
      <w:szCs w:val="24"/>
    </w:rPr>
  </w:style>
  <w:style w:type="paragraph" w:styleId="Epgrafe1" w:customStyle="1">
    <w:name w:val="Epígrafe1"/>
    <w:basedOn w:val="Normal"/>
    <w:uiPriority w:val="99"/>
    <w:qFormat/>
    <w:rsid w:val="00fa1e7a"/>
    <w:pPr>
      <w:suppressLineNumbers/>
      <w:spacing w:before="120" w:after="120"/>
    </w:pPr>
    <w:rPr>
      <w:i/>
      <w:iCs/>
      <w:sz w:val="24"/>
      <w:szCs w:val="24"/>
    </w:rPr>
  </w:style>
  <w:style w:type="paragraph" w:styleId="Ttol">
    <w:name w:val="Title"/>
    <w:basedOn w:val="Normal"/>
    <w:next w:val="Cosdeltext"/>
    <w:link w:val="TtuloCar"/>
    <w:uiPriority w:val="99"/>
    <w:qFormat/>
    <w:rsid w:val="00fa1e7a"/>
    <w:pPr>
      <w:keepNext w:val="true"/>
      <w:spacing w:before="240" w:after="120"/>
    </w:pPr>
    <w:rPr>
      <w:rFonts w:ascii="Liberation Sans;Arial" w:hAnsi="Liberation Sans;Arial" w:eastAsia="Microsoft YaHei" w:cs="Liberation Sans;Arial"/>
      <w:sz w:val="28"/>
      <w:szCs w:val="28"/>
    </w:rPr>
  </w:style>
  <w:style w:type="paragraph" w:styleId="Ndice" w:customStyle="1">
    <w:name w:val="Índice"/>
    <w:basedOn w:val="Normal"/>
    <w:uiPriority w:val="99"/>
    <w:qFormat/>
    <w:rsid w:val="00fa1e7a"/>
    <w:pPr>
      <w:suppressLineNumbers/>
    </w:pPr>
    <w:rPr/>
  </w:style>
  <w:style w:type="paragraph" w:styleId="Capaleraipeu" w:customStyle="1">
    <w:name w:val="Capçalera i peu"/>
    <w:basedOn w:val="Normal"/>
    <w:uiPriority w:val="99"/>
    <w:qFormat/>
    <w:rsid w:val="00fa1e7a"/>
    <w:pPr>
      <w:suppressLineNumbers/>
      <w:tabs>
        <w:tab w:val="clear" w:pos="720"/>
        <w:tab w:val="center" w:pos="4819" w:leader="none"/>
        <w:tab w:val="right" w:pos="9638" w:leader="none"/>
      </w:tabs>
    </w:pPr>
    <w:rPr/>
  </w:style>
  <w:style w:type="paragraph" w:styleId="Cabeceraypie" w:customStyle="1">
    <w:name w:val="Cabecera y pie"/>
    <w:basedOn w:val="Normal"/>
    <w:uiPriority w:val="99"/>
    <w:qFormat/>
    <w:rsid w:val="00fa1e7a"/>
    <w:pPr>
      <w:suppressLineNumbers/>
      <w:tabs>
        <w:tab w:val="clear" w:pos="720"/>
        <w:tab w:val="center" w:pos="4819" w:leader="none"/>
        <w:tab w:val="right" w:pos="9638" w:leader="none"/>
      </w:tabs>
    </w:pPr>
    <w:rPr/>
  </w:style>
  <w:style w:type="paragraph" w:styleId="Capalera">
    <w:name w:val="Header"/>
    <w:basedOn w:val="Normal"/>
    <w:link w:val="EncabezadoCar1"/>
    <w:uiPriority w:val="99"/>
    <w:rsid w:val="00fa1e7a"/>
    <w:pPr/>
    <w:rPr/>
  </w:style>
  <w:style w:type="paragraph" w:styleId="Peudepgina">
    <w:name w:val="Footer"/>
    <w:basedOn w:val="Normal"/>
    <w:link w:val="PiedepginaCar"/>
    <w:uiPriority w:val="99"/>
    <w:rsid w:val="00fa1e7a"/>
    <w:pPr/>
    <w:rPr/>
  </w:style>
  <w:style w:type="paragraph" w:styleId="Autocorreccin" w:customStyle="1">
    <w:name w:val="Autocorrección"/>
    <w:uiPriority w:val="99"/>
    <w:qFormat/>
    <w:rsid w:val="00fa1e7a"/>
    <w:pPr>
      <w:widowControl/>
      <w:suppressAutoHyphens w:val="true"/>
      <w:bidi w:val="0"/>
      <w:spacing w:before="0" w:after="0"/>
      <w:jc w:val="left"/>
    </w:pPr>
    <w:rPr>
      <w:rFonts w:ascii="Times New Roman" w:hAnsi="Times New Roman" w:eastAsia="SimSun;宋体" w:cs="Times New Roman"/>
      <w:color w:val="00000A"/>
      <w:kern w:val="0"/>
      <w:sz w:val="20"/>
      <w:szCs w:val="20"/>
      <w:lang w:val="es-ES" w:eastAsia="zh-CN" w:bidi="ar-SA"/>
    </w:rPr>
  </w:style>
  <w:style w:type="paragraph" w:styleId="BlockText">
    <w:name w:val="Block Text"/>
    <w:basedOn w:val="Normal"/>
    <w:uiPriority w:val="99"/>
    <w:qFormat/>
    <w:rsid w:val="00fa1e7a"/>
    <w:pPr>
      <w:ind w:left="-142" w:right="-2001" w:hanging="0"/>
    </w:pPr>
    <w:rPr>
      <w:color w:val="000000"/>
      <w:sz w:val="24"/>
      <w:lang w:val="en-US"/>
    </w:rPr>
  </w:style>
  <w:style w:type="paragraph" w:styleId="BodyText2">
    <w:name w:val="Body Text 2"/>
    <w:basedOn w:val="Normal"/>
    <w:link w:val="Textoindependiente2Car"/>
    <w:uiPriority w:val="99"/>
    <w:qFormat/>
    <w:rsid w:val="00fa1e7a"/>
    <w:pPr>
      <w:ind w:right="-1" w:hanging="0"/>
      <w:jc w:val="both"/>
    </w:pPr>
    <w:rPr/>
  </w:style>
  <w:style w:type="paragraph" w:styleId="DocumentMap">
    <w:name w:val="Document Map"/>
    <w:basedOn w:val="Normal"/>
    <w:link w:val="MapadeldocumentoCar"/>
    <w:uiPriority w:val="99"/>
    <w:qFormat/>
    <w:rsid w:val="00fa1e7a"/>
    <w:pPr>
      <w:shd w:val="clear" w:color="auto" w:fill="000080"/>
    </w:pPr>
    <w:rPr>
      <w:rFonts w:ascii="Tahoma" w:hAnsi="Tahoma" w:cs="Tahoma"/>
    </w:rPr>
  </w:style>
  <w:style w:type="paragraph" w:styleId="BodyText3">
    <w:name w:val="Body Text 3"/>
    <w:basedOn w:val="Normal"/>
    <w:link w:val="Textoindependiente3Car"/>
    <w:uiPriority w:val="99"/>
    <w:qFormat/>
    <w:rsid w:val="00fa1e7a"/>
    <w:pPr>
      <w:jc w:val="both"/>
    </w:pPr>
    <w:rPr>
      <w:lang w:val="es-ES"/>
    </w:rPr>
  </w:style>
  <w:style w:type="paragraph" w:styleId="PlainText">
    <w:name w:val="Plain Text"/>
    <w:basedOn w:val="Normal"/>
    <w:link w:val="TextosinformatoCar"/>
    <w:uiPriority w:val="99"/>
    <w:qFormat/>
    <w:rsid w:val="00fa1e7a"/>
    <w:pPr/>
    <w:rPr>
      <w:rFonts w:ascii="Courier New" w:hAnsi="Courier New" w:cs="Courier New"/>
    </w:rPr>
  </w:style>
  <w:style w:type="paragraph" w:styleId="Sagnatdelcosdeltext">
    <w:name w:val="Body Text Indent"/>
    <w:basedOn w:val="Normal"/>
    <w:link w:val="SangradetextonormalCar"/>
    <w:uiPriority w:val="99"/>
    <w:rsid w:val="00fa1e7a"/>
    <w:pPr>
      <w:ind w:left="360" w:hanging="0"/>
      <w:jc w:val="both"/>
    </w:pPr>
    <w:rPr>
      <w:sz w:val="22"/>
    </w:rPr>
  </w:style>
  <w:style w:type="paragraph" w:styleId="BodyTextIndent2">
    <w:name w:val="Body Text Indent 2"/>
    <w:basedOn w:val="Normal"/>
    <w:link w:val="Sangra2detindependienteCar"/>
    <w:uiPriority w:val="99"/>
    <w:qFormat/>
    <w:rsid w:val="00fa1e7a"/>
    <w:pPr>
      <w:ind w:left="426" w:hanging="0"/>
      <w:jc w:val="both"/>
    </w:pPr>
    <w:rPr>
      <w:sz w:val="22"/>
    </w:rPr>
  </w:style>
  <w:style w:type="paragraph" w:styleId="BodyTextIndent3">
    <w:name w:val="Body Text Indent 3"/>
    <w:basedOn w:val="Normal"/>
    <w:link w:val="Sangra3detindependienteCar"/>
    <w:uiPriority w:val="99"/>
    <w:qFormat/>
    <w:rsid w:val="00fa1e7a"/>
    <w:pPr>
      <w:ind w:left="426" w:hanging="426"/>
      <w:jc w:val="both"/>
    </w:pPr>
    <w:rPr>
      <w:sz w:val="22"/>
    </w:rPr>
  </w:style>
  <w:style w:type="paragraph" w:styleId="Textopredeterminado" w:customStyle="1">
    <w:name w:val="Texto predeterminado"/>
    <w:basedOn w:val="Normal"/>
    <w:uiPriority w:val="99"/>
    <w:qFormat/>
    <w:rsid w:val="00fa1e7a"/>
    <w:pPr/>
    <w:rPr>
      <w:rFonts w:ascii="Times New Roman" w:hAnsi="Times New Roman" w:cs="Times New Roman"/>
      <w:sz w:val="24"/>
    </w:rPr>
  </w:style>
  <w:style w:type="paragraph" w:styleId="Estndar" w:customStyle="1">
    <w:name w:val="Estándar"/>
    <w:basedOn w:val="Normal"/>
    <w:uiPriority w:val="99"/>
    <w:qFormat/>
    <w:rsid w:val="00fa1e7a"/>
    <w:pPr/>
    <w:rPr>
      <w:rFonts w:ascii="Times New Roman" w:hAnsi="Times New Roman" w:cs="Times New Roman"/>
      <w:sz w:val="24"/>
    </w:rPr>
  </w:style>
  <w:style w:type="paragraph" w:styleId="Default" w:customStyle="1">
    <w:name w:val="Default"/>
    <w:qFormat/>
    <w:rsid w:val="00fa1e7a"/>
    <w:pPr>
      <w:widowControl/>
      <w:suppressAutoHyphens w:val="true"/>
      <w:bidi w:val="0"/>
      <w:spacing w:before="0" w:after="0"/>
      <w:jc w:val="left"/>
    </w:pPr>
    <w:rPr>
      <w:rFonts w:ascii="Arial" w:hAnsi="Arial" w:eastAsia="SimSun;宋体" w:cs="Arial"/>
      <w:color w:val="000000"/>
      <w:kern w:val="0"/>
      <w:sz w:val="24"/>
      <w:szCs w:val="20"/>
      <w:lang w:val="es-ES" w:eastAsia="zh-CN" w:bidi="ar-SA"/>
    </w:rPr>
  </w:style>
  <w:style w:type="paragraph" w:styleId="Quadro" w:customStyle="1">
    <w:name w:val="quadro"/>
    <w:basedOn w:val="Normal"/>
    <w:uiPriority w:val="99"/>
    <w:qFormat/>
    <w:rsid w:val="00fa1e7a"/>
    <w:pPr>
      <w:keepNext w:val="true"/>
      <w:keepLines/>
      <w:jc w:val="both"/>
    </w:pPr>
    <w:rPr>
      <w:rFonts w:ascii="Times New Roman" w:hAnsi="Times New Roman" w:cs="Times New Roman"/>
    </w:rPr>
  </w:style>
  <w:style w:type="paragraph" w:styleId="NormalWeb">
    <w:name w:val="Normal (Web)"/>
    <w:basedOn w:val="Normal"/>
    <w:uiPriority w:val="99"/>
    <w:qFormat/>
    <w:rsid w:val="00fa1e7a"/>
    <w:pPr>
      <w:spacing w:before="100" w:after="100"/>
    </w:pPr>
    <w:rPr>
      <w:rFonts w:ascii="Times New Roman" w:hAnsi="Times New Roman" w:cs="Times New Roman"/>
      <w:sz w:val="24"/>
      <w:lang w:val="es-ES"/>
    </w:rPr>
  </w:style>
  <w:style w:type="paragraph" w:styleId="Notaalpeu">
    <w:name w:val="Footnote Text"/>
    <w:basedOn w:val="Normal"/>
    <w:link w:val="TextonotapieCar"/>
    <w:uiPriority w:val="99"/>
    <w:rsid w:val="00fa1e7a"/>
    <w:pPr/>
    <w:rPr/>
  </w:style>
  <w:style w:type="paragraph" w:styleId="BalloonText">
    <w:name w:val="Balloon Text"/>
    <w:basedOn w:val="Normal"/>
    <w:link w:val="TextodegloboCar1"/>
    <w:uiPriority w:val="99"/>
    <w:qFormat/>
    <w:rsid w:val="00fa1e7a"/>
    <w:pPr/>
    <w:rPr>
      <w:rFonts w:ascii="Tahoma" w:hAnsi="Tahoma" w:cs="Wingdings"/>
      <w:sz w:val="16"/>
      <w:szCs w:val="16"/>
    </w:rPr>
  </w:style>
  <w:style w:type="paragraph" w:styleId="Blockquote" w:customStyle="1">
    <w:name w:val="Blockquote"/>
    <w:basedOn w:val="Normal"/>
    <w:uiPriority w:val="99"/>
    <w:qFormat/>
    <w:rsid w:val="00fa1e7a"/>
    <w:pPr>
      <w:spacing w:before="100" w:after="100"/>
      <w:ind w:left="360" w:right="360" w:hanging="0"/>
    </w:pPr>
    <w:rPr>
      <w:rFonts w:ascii="Times New Roman" w:hAnsi="Times New Roman" w:cs="Times New Roman"/>
      <w:sz w:val="24"/>
      <w:lang w:val="es-ES"/>
    </w:rPr>
  </w:style>
  <w:style w:type="paragraph" w:styleId="Titol1" w:customStyle="1">
    <w:name w:val="titol 1"/>
    <w:basedOn w:val="Encapalament1"/>
    <w:uiPriority w:val="99"/>
    <w:qFormat/>
    <w:rsid w:val="00fa1e7a"/>
    <w:pPr>
      <w:numPr>
        <w:ilvl w:val="0"/>
        <w:numId w:val="0"/>
      </w:numPr>
      <w:spacing w:lineRule="auto" w:line="360" w:before="0" w:after="0"/>
      <w:jc w:val="both"/>
    </w:pPr>
    <w:rPr>
      <w:sz w:val="22"/>
    </w:rPr>
  </w:style>
  <w:style w:type="paragraph" w:styleId="Annotationtext">
    <w:name w:val="annotation text"/>
    <w:basedOn w:val="Normal"/>
    <w:link w:val="TextocomentarioCar"/>
    <w:uiPriority w:val="99"/>
    <w:qFormat/>
    <w:rsid w:val="00fa1e7a"/>
    <w:pPr/>
    <w:rPr/>
  </w:style>
  <w:style w:type="paragraph" w:styleId="Annotationsubject">
    <w:name w:val="annotation subject"/>
    <w:basedOn w:val="Annotationtext"/>
    <w:link w:val="AsuntodelcomentarioCar"/>
    <w:uiPriority w:val="99"/>
    <w:qFormat/>
    <w:rsid w:val="00fa1e7a"/>
    <w:pPr/>
    <w:rPr>
      <w:b/>
      <w:bCs/>
    </w:rPr>
  </w:style>
  <w:style w:type="paragraph" w:styleId="ListParagraph">
    <w:name w:val="List Paragraph"/>
    <w:basedOn w:val="Normal"/>
    <w:uiPriority w:val="99"/>
    <w:qFormat/>
    <w:rsid w:val="00fa1e7a"/>
    <w:pPr>
      <w:spacing w:lineRule="auto" w:line="276" w:before="0" w:after="200"/>
      <w:ind w:left="720" w:hanging="0"/>
      <w:contextualSpacing/>
    </w:pPr>
    <w:rPr>
      <w:rFonts w:ascii="Calibri" w:hAnsi="Calibri" w:cs="Calibri"/>
      <w:sz w:val="22"/>
      <w:szCs w:val="22"/>
    </w:rPr>
  </w:style>
  <w:style w:type="paragraph" w:styleId="Normalindex" w:customStyle="1">
    <w:name w:val="Normal_index"/>
    <w:basedOn w:val="Normal"/>
    <w:uiPriority w:val="99"/>
    <w:qFormat/>
    <w:rsid w:val="00fa1e7a"/>
    <w:pPr>
      <w:keepLines/>
      <w:widowControl w:val="false"/>
      <w:spacing w:lineRule="exact" w:line="240"/>
    </w:pPr>
    <w:rPr>
      <w:lang w:val="es-ES"/>
    </w:rPr>
  </w:style>
  <w:style w:type="paragraph" w:styleId="Pa6" w:customStyle="1">
    <w:name w:val="Pa6"/>
    <w:basedOn w:val="Default"/>
    <w:next w:val="Default"/>
    <w:uiPriority w:val="99"/>
    <w:qFormat/>
    <w:rsid w:val="00fa1e7a"/>
    <w:pPr>
      <w:spacing w:lineRule="atLeast" w:line="201"/>
    </w:pPr>
    <w:rPr>
      <w:szCs w:val="24"/>
    </w:rPr>
  </w:style>
  <w:style w:type="paragraph" w:styleId="Pa13" w:customStyle="1">
    <w:name w:val="Pa13"/>
    <w:basedOn w:val="Default"/>
    <w:next w:val="Default"/>
    <w:uiPriority w:val="99"/>
    <w:qFormat/>
    <w:rsid w:val="00fa1e7a"/>
    <w:pPr>
      <w:spacing w:lineRule="atLeast" w:line="201"/>
    </w:pPr>
    <w:rPr>
      <w:szCs w:val="24"/>
    </w:rPr>
  </w:style>
  <w:style w:type="paragraph" w:styleId="Pargrafdellista" w:customStyle="1">
    <w:name w:val="Paràgraf de llista"/>
    <w:basedOn w:val="Normal"/>
    <w:uiPriority w:val="99"/>
    <w:qFormat/>
    <w:rsid w:val="00fa1e7a"/>
    <w:pPr>
      <w:ind w:left="708" w:hanging="0"/>
    </w:pPr>
    <w:rPr>
      <w:rFonts w:ascii="Times New Roman" w:hAnsi="Times New Roman" w:cs="Times New Roman"/>
      <w:sz w:val="24"/>
      <w:szCs w:val="24"/>
    </w:rPr>
  </w:style>
  <w:style w:type="paragraph" w:styleId="Plectext" w:customStyle="1">
    <w:name w:val="plec_text"/>
    <w:basedOn w:val="Normal"/>
    <w:uiPriority w:val="99"/>
    <w:qFormat/>
    <w:rsid w:val="00fa1e7a"/>
    <w:pPr>
      <w:spacing w:lineRule="atLeast" w:line="240"/>
      <w:jc w:val="both"/>
    </w:pPr>
    <w:rPr>
      <w:sz w:val="22"/>
      <w:szCs w:val="22"/>
    </w:rPr>
  </w:style>
  <w:style w:type="paragraph" w:styleId="Pa9" w:customStyle="1">
    <w:name w:val="Pa9"/>
    <w:basedOn w:val="Default"/>
    <w:next w:val="Default"/>
    <w:uiPriority w:val="99"/>
    <w:qFormat/>
    <w:rsid w:val="00fa1e7a"/>
    <w:pPr>
      <w:spacing w:lineRule="atLeast" w:line="201"/>
    </w:pPr>
    <w:rPr>
      <w:szCs w:val="24"/>
    </w:rPr>
  </w:style>
  <w:style w:type="paragraph" w:styleId="Pa8" w:customStyle="1">
    <w:name w:val="Pa8"/>
    <w:basedOn w:val="Default"/>
    <w:next w:val="Default"/>
    <w:uiPriority w:val="99"/>
    <w:qFormat/>
    <w:rsid w:val="00fa1e7a"/>
    <w:pPr>
      <w:spacing w:lineRule="atLeast" w:line="201"/>
    </w:pPr>
    <w:rPr>
      <w:szCs w:val="24"/>
    </w:rPr>
  </w:style>
  <w:style w:type="paragraph" w:styleId="Contenidodelatabla" w:customStyle="1">
    <w:name w:val="Contenido de la tabla"/>
    <w:basedOn w:val="Normal"/>
    <w:uiPriority w:val="99"/>
    <w:qFormat/>
    <w:rsid w:val="00fa1e7a"/>
    <w:pPr>
      <w:suppressLineNumbers/>
    </w:pPr>
    <w:rPr/>
  </w:style>
  <w:style w:type="paragraph" w:styleId="Ttulodelatabla" w:customStyle="1">
    <w:name w:val="Título de la tabla"/>
    <w:basedOn w:val="Contenidodelatabla"/>
    <w:uiPriority w:val="99"/>
    <w:qFormat/>
    <w:rsid w:val="00fa1e7a"/>
    <w:pPr>
      <w:jc w:val="center"/>
    </w:pPr>
    <w:rPr>
      <w:b/>
      <w:bCs/>
    </w:rPr>
  </w:style>
  <w:style w:type="paragraph" w:styleId="Contenidodelmarco" w:customStyle="1">
    <w:name w:val="Contenido del marco"/>
    <w:basedOn w:val="Normal"/>
    <w:uiPriority w:val="99"/>
    <w:qFormat/>
    <w:rsid w:val="00fa1e7a"/>
    <w:pPr/>
    <w:rPr/>
  </w:style>
  <w:style w:type="paragraph" w:styleId="Textosinformato3" w:customStyle="1">
    <w:name w:val="Texto sin formato3"/>
    <w:basedOn w:val="Normal"/>
    <w:qFormat/>
    <w:rsid w:val="00fa1e7a"/>
    <w:pPr/>
    <w:rPr>
      <w:rFonts w:ascii="Courier New" w:hAnsi="Courier New" w:cs="Courier New"/>
    </w:rPr>
  </w:style>
  <w:style w:type="paragraph" w:styleId="Contingutdelataula" w:customStyle="1">
    <w:name w:val="Contingut de la taula"/>
    <w:basedOn w:val="Normal"/>
    <w:uiPriority w:val="99"/>
    <w:qFormat/>
    <w:rsid w:val="00fa1e7a"/>
    <w:pPr>
      <w:suppressLineNumbers/>
    </w:pPr>
    <w:rPr/>
  </w:style>
  <w:style w:type="paragraph" w:styleId="Encapalamentdelataula" w:customStyle="1">
    <w:name w:val="Encapçalament de la taula"/>
    <w:basedOn w:val="Contingutdelataula"/>
    <w:uiPriority w:val="99"/>
    <w:qFormat/>
    <w:rsid w:val="00fa1e7a"/>
    <w:pPr>
      <w:jc w:val="center"/>
    </w:pPr>
    <w:rPr>
      <w:b/>
      <w:bCs/>
    </w:rPr>
  </w:style>
  <w:style w:type="paragraph" w:styleId="Contingutdelmarc" w:customStyle="1">
    <w:name w:val="Contingut del marc"/>
    <w:basedOn w:val="Normal"/>
    <w:uiPriority w:val="99"/>
    <w:qFormat/>
    <w:rsid w:val="00fa1e7a"/>
    <w:pPr/>
    <w:rPr/>
  </w:style>
  <w:style w:type="paragraph" w:styleId="Textocomentario1" w:customStyle="1">
    <w:name w:val="Texto comentario1"/>
    <w:basedOn w:val="Normal"/>
    <w:uiPriority w:val="99"/>
    <w:qFormat/>
    <w:rsid w:val="00fa1e7a"/>
    <w:pPr>
      <w:jc w:val="both"/>
    </w:pPr>
    <w:rPr>
      <w:rFonts w:ascii="Dutch;Cambria" w:hAnsi="Dutch;Cambria" w:cs="Dutch;Cambria"/>
      <w:color w:val="000000"/>
      <w:kern w:val="2"/>
    </w:rPr>
  </w:style>
  <w:style w:type="paragraph" w:styleId="Textosinformato1" w:customStyle="1">
    <w:name w:val="Texto sin formato1"/>
    <w:basedOn w:val="Normal"/>
    <w:qFormat/>
    <w:rsid w:val="00fa1e7a"/>
    <w:pPr/>
    <w:rPr>
      <w:rFonts w:ascii="Courier New" w:hAnsi="Courier New" w:cs="Courier New"/>
      <w:color w:val="000000"/>
      <w:kern w:val="2"/>
    </w:rPr>
  </w:style>
  <w:style w:type="paragraph" w:styleId="DefinitionTerm" w:customStyle="1">
    <w:name w:val="Definition Term"/>
    <w:basedOn w:val="Normal"/>
    <w:uiPriority w:val="99"/>
    <w:qFormat/>
    <w:rsid w:val="00fa1e7a"/>
    <w:pPr/>
    <w:rPr/>
  </w:style>
  <w:style w:type="paragraph" w:styleId="DefinitionList" w:customStyle="1">
    <w:name w:val="Definition List"/>
    <w:basedOn w:val="Normal"/>
    <w:uiPriority w:val="99"/>
    <w:qFormat/>
    <w:rsid w:val="00fa1e7a"/>
    <w:pPr>
      <w:ind w:left="360" w:hanging="0"/>
    </w:pPr>
    <w:rPr/>
  </w:style>
  <w:style w:type="paragraph" w:styleId="H1" w:customStyle="1">
    <w:name w:val="H1"/>
    <w:basedOn w:val="Normal"/>
    <w:uiPriority w:val="99"/>
    <w:qFormat/>
    <w:rsid w:val="00fa1e7a"/>
    <w:pPr>
      <w:keepNext w:val="true"/>
      <w:spacing w:before="100" w:after="100"/>
    </w:pPr>
    <w:rPr>
      <w:b/>
      <w:kern w:val="2"/>
      <w:sz w:val="48"/>
    </w:rPr>
  </w:style>
  <w:style w:type="paragraph" w:styleId="H2" w:customStyle="1">
    <w:name w:val="H2"/>
    <w:basedOn w:val="Normal"/>
    <w:uiPriority w:val="99"/>
    <w:qFormat/>
    <w:rsid w:val="00fa1e7a"/>
    <w:pPr>
      <w:keepNext w:val="true"/>
      <w:spacing w:before="100" w:after="100"/>
    </w:pPr>
    <w:rPr>
      <w:b/>
      <w:sz w:val="36"/>
    </w:rPr>
  </w:style>
  <w:style w:type="paragraph" w:styleId="H3" w:customStyle="1">
    <w:name w:val="H3"/>
    <w:basedOn w:val="Normal"/>
    <w:uiPriority w:val="99"/>
    <w:qFormat/>
    <w:rsid w:val="00fa1e7a"/>
    <w:pPr>
      <w:keepNext w:val="true"/>
      <w:spacing w:before="100" w:after="100"/>
    </w:pPr>
    <w:rPr>
      <w:b/>
      <w:sz w:val="28"/>
    </w:rPr>
  </w:style>
  <w:style w:type="paragraph" w:styleId="H4" w:customStyle="1">
    <w:name w:val="H4"/>
    <w:basedOn w:val="Normal"/>
    <w:uiPriority w:val="99"/>
    <w:qFormat/>
    <w:rsid w:val="00fa1e7a"/>
    <w:pPr>
      <w:keepNext w:val="true"/>
      <w:spacing w:before="100" w:after="100"/>
    </w:pPr>
    <w:rPr>
      <w:b/>
      <w:sz w:val="24"/>
    </w:rPr>
  </w:style>
  <w:style w:type="paragraph" w:styleId="H5" w:customStyle="1">
    <w:name w:val="H5"/>
    <w:basedOn w:val="Normal"/>
    <w:uiPriority w:val="99"/>
    <w:qFormat/>
    <w:rsid w:val="00fa1e7a"/>
    <w:pPr>
      <w:keepNext w:val="true"/>
      <w:spacing w:before="100" w:after="100"/>
    </w:pPr>
    <w:rPr>
      <w:b/>
    </w:rPr>
  </w:style>
  <w:style w:type="paragraph" w:styleId="H6" w:customStyle="1">
    <w:name w:val="H6"/>
    <w:basedOn w:val="Normal"/>
    <w:uiPriority w:val="99"/>
    <w:qFormat/>
    <w:rsid w:val="00fa1e7a"/>
    <w:pPr>
      <w:keepNext w:val="true"/>
      <w:spacing w:before="100" w:after="100"/>
    </w:pPr>
    <w:rPr>
      <w:b/>
      <w:sz w:val="16"/>
    </w:rPr>
  </w:style>
  <w:style w:type="paragraph" w:styleId="Address" w:customStyle="1">
    <w:name w:val="Address"/>
    <w:basedOn w:val="Normal"/>
    <w:uiPriority w:val="99"/>
    <w:qFormat/>
    <w:rsid w:val="00fa1e7a"/>
    <w:pPr/>
    <w:rPr>
      <w:i/>
    </w:rPr>
  </w:style>
  <w:style w:type="paragraph" w:styleId="Preformatted" w:customStyle="1">
    <w:name w:val="Preformatted"/>
    <w:basedOn w:val="Normal"/>
    <w:uiPriority w:val="99"/>
    <w:qFormat/>
    <w:rsid w:val="00fa1e7a"/>
    <w:pPr>
      <w:tabs>
        <w:tab w:val="clear" w:pos="720"/>
        <w:tab w:val="left" w:pos="0" w:leader="none"/>
        <w:tab w:val="left" w:pos="959" w:leader="none"/>
        <w:tab w:val="left" w:pos="1918" w:leader="none"/>
        <w:tab w:val="left" w:pos="2877" w:leader="none"/>
        <w:tab w:val="left" w:pos="3836" w:leader="none"/>
        <w:tab w:val="left" w:pos="4795" w:leader="none"/>
        <w:tab w:val="left" w:pos="5754" w:leader="none"/>
        <w:tab w:val="left" w:pos="6713" w:leader="none"/>
        <w:tab w:val="left" w:pos="7672" w:leader="none"/>
        <w:tab w:val="left" w:pos="8631" w:leader="none"/>
        <w:tab w:val="left" w:pos="9590" w:leader="none"/>
      </w:tabs>
    </w:pPr>
    <w:rPr>
      <w:rFonts w:ascii="Courier New" w:hAnsi="Courier New" w:cs="Courier New"/>
    </w:rPr>
  </w:style>
  <w:style w:type="paragraph" w:styleId="ZBottomofForm1" w:customStyle="1">
    <w:name w:val="z-Bottom of Form1"/>
    <w:uiPriority w:val="99"/>
    <w:qFormat/>
    <w:rsid w:val="00fa1e7a"/>
    <w:pPr>
      <w:widowControl w:val="false"/>
      <w:pBdr>
        <w:top w:val="double" w:sz="2" w:space="0" w:color="000000"/>
      </w:pBdr>
      <w:suppressAutoHyphens w:val="true"/>
      <w:bidi w:val="0"/>
      <w:spacing w:before="0" w:after="0"/>
      <w:jc w:val="center"/>
    </w:pPr>
    <w:rPr>
      <w:rFonts w:ascii="Arial" w:hAnsi="Arial" w:eastAsia="NSimSun" w:cs="Courier New"/>
      <w:vanish/>
      <w:color w:val="auto"/>
      <w:kern w:val="0"/>
      <w:sz w:val="16"/>
      <w:szCs w:val="24"/>
      <w:lang w:val="es-ES" w:eastAsia="zh-CN" w:bidi="hi-IN"/>
    </w:rPr>
  </w:style>
  <w:style w:type="paragraph" w:styleId="ZTopofForm1" w:customStyle="1">
    <w:name w:val="z-Top of Form1"/>
    <w:uiPriority w:val="99"/>
    <w:qFormat/>
    <w:rsid w:val="00fa1e7a"/>
    <w:pPr>
      <w:widowControl w:val="false"/>
      <w:pBdr>
        <w:bottom w:val="double" w:sz="2" w:space="0" w:color="000000"/>
      </w:pBdr>
      <w:suppressAutoHyphens w:val="true"/>
      <w:bidi w:val="0"/>
      <w:spacing w:before="0" w:after="0"/>
      <w:jc w:val="center"/>
    </w:pPr>
    <w:rPr>
      <w:rFonts w:ascii="Arial" w:hAnsi="Arial" w:eastAsia="NSimSun" w:cs="Courier New"/>
      <w:vanish/>
      <w:color w:val="auto"/>
      <w:kern w:val="0"/>
      <w:sz w:val="16"/>
      <w:szCs w:val="24"/>
      <w:lang w:val="es-ES" w:eastAsia="zh-CN" w:bidi="hi-IN"/>
    </w:rPr>
  </w:style>
  <w:style w:type="paragraph" w:styleId="Prrafodelista1" w:customStyle="1">
    <w:name w:val="Párrafo de lista1"/>
    <w:basedOn w:val="Normal"/>
    <w:qFormat/>
    <w:rsid w:val="004644b0"/>
    <w:pPr>
      <w:spacing w:before="120" w:after="0"/>
      <w:ind w:left="720" w:hanging="0"/>
      <w:contextualSpacing/>
    </w:pPr>
    <w:rPr>
      <w:rFonts w:ascii="Liberation Serif" w:hAnsi="Liberation Serif" w:eastAsia="NSimSun" w:cs="Lucida Sans"/>
      <w:color w:val="auto"/>
      <w:kern w:val="2"/>
      <w:sz w:val="24"/>
      <w:szCs w:val="24"/>
      <w:lang w:bidi="hi-IN"/>
    </w:rPr>
  </w:style>
  <w:style w:type="paragraph" w:styleId="Textosinformato2" w:customStyle="1">
    <w:name w:val="Texto sin formato2"/>
    <w:basedOn w:val="Normal"/>
    <w:qFormat/>
    <w:rsid w:val="0086481f"/>
    <w:pPr/>
    <w:rPr>
      <w:rFonts w:ascii="Courier New" w:hAnsi="Courier New" w:eastAsia="NSimSun" w:cs="Courier New"/>
    </w:rPr>
  </w:style>
  <w:style w:type="paragraph" w:styleId="TableParagraph">
    <w:name w:val="Table Paragraph"/>
    <w:basedOn w:val="Normal"/>
    <w:qFormat/>
    <w:pPr>
      <w:spacing w:before="59" w:after="0"/>
    </w:pPr>
    <w:rPr>
      <w:rFonts w:ascii="Arial MT" w:hAnsi="Arial MT" w:eastAsia="Arial MT" w:cs="Arial MT"/>
      <w:lang w:val="ca-ES" w:eastAsia="en-US" w:bidi="ar-SA"/>
    </w:rPr>
  </w:style>
  <w:style w:type="numbering" w:styleId="NoList" w:default="1">
    <w:name w:val="No List"/>
    <w:uiPriority w:val="99"/>
    <w:semiHidden/>
    <w:unhideWhenUsed/>
    <w:qFormat/>
  </w:style>
  <w:style w:type="numbering" w:styleId="Numeraciabc">
    <w:name w:val="Numeració abc"/>
    <w:qFormat/>
  </w:style>
  <w:style w:type="table" w:default="1" w:styleId="Tabla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contractacio@terrassa.cat" TargetMode="External"/><Relationship Id="rId3" Type="http://schemas.openxmlformats.org/officeDocument/2006/relationships/hyperlink" Target="mailto:sau.tic@pautic.gencat.cat" TargetMode="External"/><Relationship Id="rId4" Type="http://schemas.openxmlformats.org/officeDocument/2006/relationships/hyperlink" Target="https://contractaciopublica.cat/ca/perfils-contractant/detall/terrassa" TargetMode="External"/><Relationship Id="rId5" Type="http://schemas.openxmlformats.org/officeDocument/2006/relationships/image" Target="media/image1.png"/><Relationship Id="rId6" Type="http://schemas.openxmlformats.org/officeDocument/2006/relationships/hyperlink" Target="https://contractaciopublica.cat/ca/perfils-contractant/detall/terrassa" TargetMode="External"/><Relationship Id="rId7" Type="http://schemas.openxmlformats.org/officeDocument/2006/relationships/hyperlink" Target="https://aoberta.terrassa.cat/tramits/ferTramit.jsp?id=7803" TargetMode="External"/><Relationship Id="rId8" Type="http://schemas.openxmlformats.org/officeDocument/2006/relationships/hyperlink" Target="https://contractaciopublica.cat/ca/perfils-contractant/detall/terrassa" TargetMode="External"/><Relationship Id="rId9" Type="http://schemas.openxmlformats.org/officeDocument/2006/relationships/hyperlink" Target="https://suport-licitacions-empreses.aoc.cat/hc/ca" TargetMode="External"/><Relationship Id="rId10" Type="http://schemas.openxmlformats.org/officeDocument/2006/relationships/hyperlink" Target="https://contractaciopublica.cat/ca/manuals/usuari" TargetMode="External"/><Relationship Id="rId11" Type="http://schemas.openxmlformats.org/officeDocument/2006/relationships/hyperlink" Target="http://eur-lex.europa.eu/legal-content/ES/TXT/?uri=uriserv:OJ.L_.2016.003.01.0016.01.SPA&amp;toc=OJ:L:2016:003:TOC" TargetMode="External"/><Relationship Id="rId12" Type="http://schemas.openxmlformats.org/officeDocument/2006/relationships/hyperlink" Target="https://contractaciopublica.cat/ca/perfils-contractant/detall/terrassa" TargetMode="External"/><Relationship Id="rId13" Type="http://schemas.openxmlformats.org/officeDocument/2006/relationships/hyperlink" Target="https://contractaciopublica.cat/ca/perfils-contractant/detall/terrassa" TargetMode="External"/><Relationship Id="rId14" Type="http://schemas.openxmlformats.org/officeDocument/2006/relationships/hyperlink" Target="https://aoberta.terrassa.cat/tramits/fitxa.jsp?id=4761" TargetMode="External"/><Relationship Id="rId15" Type="http://schemas.openxmlformats.org/officeDocument/2006/relationships/hyperlink" Target="https://aoberta.terrassa.cat/tramits/fitxa.jsp?id=4761" TargetMode="External"/><Relationship Id="rId16" Type="http://schemas.openxmlformats.org/officeDocument/2006/relationships/hyperlink" Target="https://www.boe.es/doue/2016/003/L00016-00034.pdf" TargetMode="External"/><Relationship Id="rId17" Type="http://schemas.openxmlformats.org/officeDocument/2006/relationships/hyperlink" Target="https://seuelectronica.terrassa.cat/web/seu/ajuda/notificacio-electronica" TargetMode="External"/><Relationship Id="rId18" Type="http://schemas.openxmlformats.org/officeDocument/2006/relationships/hyperlink" Target="https://seuelectronica.terrassa.cat/" TargetMode="External"/><Relationship Id="rId19" Type="http://schemas.openxmlformats.org/officeDocument/2006/relationships/hyperlink" Target="https://seuelectronica.terrassa.cat/" TargetMode="External"/><Relationship Id="rId20" Type="http://schemas.openxmlformats.org/officeDocument/2006/relationships/header" Target="header1.xml"/><Relationship Id="rId21" Type="http://schemas.openxmlformats.org/officeDocument/2006/relationships/footer" Target="footer1.xml"/><Relationship Id="rId22" Type="http://schemas.openxmlformats.org/officeDocument/2006/relationships/image" Target="media/image3.png"/><Relationship Id="rId23" Type="http://schemas.openxmlformats.org/officeDocument/2006/relationships/header" Target="header2.xml"/><Relationship Id="rId24" Type="http://schemas.openxmlformats.org/officeDocument/2006/relationships/footer" Target="footer2.xml"/><Relationship Id="rId25" Type="http://schemas.openxmlformats.org/officeDocument/2006/relationships/hyperlink" Target="mailto:protecciodades@terrassa.cat" TargetMode="External"/><Relationship Id="rId26" Type="http://schemas.openxmlformats.org/officeDocument/2006/relationships/hyperlink" Target="mailto:protecciodades@terrassa.cat" TargetMode="External"/><Relationship Id="rId27" Type="http://schemas.openxmlformats.org/officeDocument/2006/relationships/header" Target="header3.xml"/><Relationship Id="rId28" Type="http://schemas.openxmlformats.org/officeDocument/2006/relationships/footer" Target="footer3.xml"/><Relationship Id="rId29" Type="http://schemas.openxmlformats.org/officeDocument/2006/relationships/numbering" Target="numbering.xml"/><Relationship Id="rId30" Type="http://schemas.openxmlformats.org/officeDocument/2006/relationships/fontTable" Target="fontTable.xml"/><Relationship Id="rId31" Type="http://schemas.openxmlformats.org/officeDocument/2006/relationships/settings" Target="settings.xml"/><Relationship Id="rId32" Type="http://schemas.openxmlformats.org/officeDocument/2006/relationships/theme" Target="theme/theme1.xml"/><Relationship Id="rId33" Type="http://schemas.openxmlformats.org/officeDocument/2006/relationships/customXml" Target="../customXml/item1.xml"/>
</Relationships>
</file>

<file path=word/_rels/header1.xml.rels><?xml version="1.0" encoding="UTF-8"?>
<Relationships xmlns="http://schemas.openxmlformats.org/package/2006/relationships"><Relationship Id="rId1" Type="http://schemas.openxmlformats.org/officeDocument/2006/relationships/image" Target="media/image2.jpeg"/><Relationship Id="rId2" Type="http://schemas.openxmlformats.org/officeDocument/2006/relationships/hyperlink" Target="mailto:Contractacio@terrassa.cat" TargetMode="External"/><Relationship Id="rId3" Type="http://schemas.openxmlformats.org/officeDocument/2006/relationships/hyperlink" Target="http://seuelectronica.terrassa.cat/web/seu/perfil-de-contractant" TargetMode="External"/>
</Relationships>
</file>

<file path=word/_rels/header3.xml.rels><?xml version="1.0" encoding="UTF-8"?>
<Relationships xmlns="http://schemas.openxmlformats.org/package/2006/relationships"><Relationship Id="rId1" Type="http://schemas.openxmlformats.org/officeDocument/2006/relationships/image" Target="media/image4.jpeg"/><Relationship Id="rId2" Type="http://schemas.openxmlformats.org/officeDocument/2006/relationships/hyperlink" Target="mailto:Contractacio@terrassa.cat" TargetMode="External"/><Relationship Id="rId3" Type="http://schemas.openxmlformats.org/officeDocument/2006/relationships/hyperlink" Target="http://seuelectronica.terrassa.cat/web/seu/perfil-de-contractant"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58CEE9-43A0-48D7-ACBB-121270DD04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1650</TotalTime>
  <Application>LibreOffice/7.1.1.2$Windows_X86_64 LibreOffice_project/fe0b08f4af1bacafe4c7ecc87ce55bb426164676</Application>
  <AppVersion>15.0000</AppVersion>
  <Pages>77</Pages>
  <Words>27316</Words>
  <Characters>154471</Characters>
  <CharactersWithSpaces>181329</CharactersWithSpaces>
  <Paragraphs>1473</Paragraphs>
  <Company>Ayto Terrassa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2024-01-09T13:52:00Z</dcterms:created>
  <dc:creator>Francisco Javier Morales Gámez</dc:creator>
  <dc:description/>
  <dc:language>ca-ES</dc:language>
  <cp:lastModifiedBy/>
  <cp:lastPrinted>1995-11-21T17:41:00Z</cp:lastPrinted>
  <dcterms:modified xsi:type="dcterms:W3CDTF">2025-03-07T11:45:40Z</dcterms:modified>
  <cp:revision>311</cp:revision>
  <dc:subject/>
  <dc:title>PLEC DE CLÀUSULES ADMINISTTRATIVES PARTICULARS REGULADORES DEL CONTRACTE D'OBRES D'URBANITZACIÓ DEL SECTOR DE SANTA MARGARITA I, UNITAT D'ACTUACIÓ EN SÒL URBÀ NÚM</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Encoding">
    <vt:lpwstr>utf-8</vt:lpwstr>
  </property>
  <property fmtid="{D5CDD505-2E9C-101B-9397-08002B2CF9AE}" pid="3" name="HTML">
    <vt:bool>1</vt:bool>
  </property>
</Properties>
</file>