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5D48991F" w14:textId="77777777" w:rsidR="0099241D" w:rsidRDefault="0051279C" w:rsidP="0099241D">
      <w:pPr>
        <w:tabs>
          <w:tab w:val="left" w:pos="851"/>
        </w:tabs>
        <w:ind w:left="709" w:hanging="709"/>
        <w:jc w:val="both"/>
      </w:pPr>
      <w:r w:rsidRPr="00CC01A7">
        <w:rPr>
          <w:b/>
        </w:rPr>
        <w:t>Obra:</w:t>
      </w:r>
      <w:r w:rsidRPr="00CC01A7">
        <w:rPr>
          <w:b/>
        </w:rPr>
        <w:tab/>
      </w:r>
      <w:r w:rsidR="0099241D">
        <w:t>RAM 2024 ALS SERVEIS TERRITORIALS AL VALLÉS OCCIDENTAL (I):</w:t>
      </w:r>
    </w:p>
    <w:p w14:paraId="3E6CA965" w14:textId="4527355E" w:rsidR="0051279C" w:rsidRPr="00CC01A7" w:rsidRDefault="0099241D" w:rsidP="0099241D">
      <w:pPr>
        <w:tabs>
          <w:tab w:val="left" w:pos="851"/>
        </w:tabs>
        <w:ind w:left="709" w:hanging="709"/>
        <w:jc w:val="both"/>
        <w:rPr>
          <w:b/>
        </w:rPr>
      </w:pPr>
      <w:r>
        <w:tab/>
        <w:t>ESCOLA L’ORENETA (BADIA DEL VALLÈS)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47FF7BDE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99241D" w:rsidRPr="0099241D">
        <w:rPr>
          <w:rFonts w:eastAsia="Arial" w:cs="Arial"/>
          <w:bCs/>
        </w:rPr>
        <w:t>XMV-24526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99241D" w:rsidRDefault="009420F8" w:rsidP="00535822">
      <w:pPr>
        <w:numPr>
          <w:ilvl w:val="0"/>
          <w:numId w:val="4"/>
        </w:numPr>
        <w:jc w:val="both"/>
      </w:pPr>
      <w:r w:rsidRPr="0099241D">
        <w:t>Pressupost en suport informàtic.</w:t>
      </w:r>
    </w:p>
    <w:p w14:paraId="484872F3" w14:textId="77777777" w:rsidR="004D1DE5" w:rsidRPr="0099241D" w:rsidRDefault="004D1DE5" w:rsidP="004D1DE5">
      <w:pPr>
        <w:numPr>
          <w:ilvl w:val="0"/>
          <w:numId w:val="4"/>
        </w:numPr>
        <w:jc w:val="both"/>
      </w:pPr>
      <w:r w:rsidRPr="0099241D">
        <w:t>Pressupost de seguretat i salut en suport informàtic.</w:t>
      </w:r>
    </w:p>
    <w:p w14:paraId="1E6EAF78" w14:textId="77777777" w:rsidR="009420F8" w:rsidRPr="0099241D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99241D">
        <w:t>En cas de dis</w:t>
      </w:r>
      <w:r w:rsidR="00BC7D0A" w:rsidRPr="0099241D">
        <w:t>crepància entre l’esmentat en el</w:t>
      </w:r>
      <w:r w:rsidRPr="0099241D">
        <w:t xml:space="preserve"> present</w:t>
      </w:r>
      <w:r w:rsidR="001C0D6B" w:rsidRPr="0099241D">
        <w:t xml:space="preserve"> annex</w:t>
      </w:r>
      <w:r w:rsidRPr="0099241D">
        <w:t xml:space="preserve"> i qualsevol document del Projecte</w:t>
      </w:r>
      <w:r w:rsidRPr="00BC7D0A">
        <w:t xml:space="preserve">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99241D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133BA6FB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3DF48F66" w14:textId="72819A63" w:rsidR="0099241D" w:rsidRPr="00E20957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E00ACA">
              <w:rPr>
                <w:rFonts w:cs="Arial"/>
              </w:rPr>
              <w:t>Pressupost Exec. Material (PEM) que inclou l’import del pressupost de Seguretat i Salut</w:t>
            </w:r>
            <w:r w:rsidRPr="00E00ACA">
              <w:rPr>
                <w:rFonts w:cs="Arial"/>
              </w:rPr>
              <w:tab/>
              <w:t>346.635,29</w:t>
            </w:r>
            <w:r w:rsidRPr="00E00ACA">
              <w:rPr>
                <w:rFonts w:cs="Arial"/>
              </w:rPr>
              <w:tab/>
              <w:t>€</w:t>
            </w:r>
          </w:p>
        </w:tc>
      </w:tr>
      <w:tr w:rsidR="0099241D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0F2650E0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65D3DCAB" w14:textId="4BF9614A" w:rsidR="0099241D" w:rsidRPr="00E20957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E00ACA">
              <w:rPr>
                <w:rFonts w:cs="Arial"/>
              </w:rPr>
              <w:t>Despeses Generals (13%)</w:t>
            </w:r>
            <w:r w:rsidRPr="00E00ACA">
              <w:rPr>
                <w:rFonts w:cs="Arial"/>
              </w:rPr>
              <w:tab/>
              <w:t>45.062,59</w:t>
            </w:r>
            <w:r w:rsidRPr="00E00ACA">
              <w:rPr>
                <w:rFonts w:cs="Arial"/>
              </w:rPr>
              <w:tab/>
              <w:t>€</w:t>
            </w:r>
          </w:p>
        </w:tc>
      </w:tr>
      <w:tr w:rsidR="0099241D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228BC7E4" w:rsidR="0099241D" w:rsidRPr="00E20957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E00ACA">
              <w:rPr>
                <w:rFonts w:cs="Arial"/>
              </w:rPr>
              <w:t>Benefici Industrial (6%)</w:t>
            </w:r>
            <w:r w:rsidRPr="00E00ACA">
              <w:rPr>
                <w:rFonts w:cs="Arial"/>
              </w:rPr>
              <w:tab/>
              <w:t>20.798,12</w:t>
            </w:r>
            <w:r w:rsidRPr="00E00ACA">
              <w:rPr>
                <w:rFonts w:cs="Arial"/>
              </w:rPr>
              <w:tab/>
              <w:t>€</w:t>
            </w:r>
          </w:p>
        </w:tc>
      </w:tr>
      <w:tr w:rsidR="0099241D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91F1EE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60232E08" w14:textId="45FAFD4B" w:rsidR="0099241D" w:rsidRPr="00E20957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r w:rsidRPr="00E00ACA">
              <w:rPr>
                <w:rFonts w:cs="Arial"/>
              </w:rPr>
              <w:t>Subtotal</w:t>
            </w:r>
            <w:r w:rsidRPr="00E00ACA">
              <w:rPr>
                <w:rFonts w:cs="Arial"/>
              </w:rPr>
              <w:tab/>
              <w:t>412.496,00</w:t>
            </w:r>
            <w:r w:rsidRPr="00E00ACA">
              <w:rPr>
                <w:rFonts w:cs="Arial"/>
              </w:rPr>
              <w:tab/>
              <w:t>€</w:t>
            </w:r>
          </w:p>
        </w:tc>
      </w:tr>
      <w:tr w:rsidR="0099241D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D40B2D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09BD8A87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  <w:r w:rsidRPr="00E00ACA">
              <w:rPr>
                <w:rFonts w:cs="Arial"/>
              </w:rPr>
              <w:t>IVA  (21% )</w:t>
            </w:r>
            <w:r w:rsidRPr="00E00ACA">
              <w:rPr>
                <w:rFonts w:cs="Arial"/>
              </w:rPr>
              <w:tab/>
              <w:t>86.624,16</w:t>
            </w:r>
            <w:r w:rsidRPr="00E00ACA">
              <w:rPr>
                <w:rFonts w:cs="Arial"/>
              </w:rPr>
              <w:tab/>
              <w:t>€</w:t>
            </w:r>
          </w:p>
          <w:p w14:paraId="6AD703D6" w14:textId="77777777" w:rsidR="0099241D" w:rsidRPr="00E20957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99241D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13F7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</w:rPr>
            </w:pPr>
          </w:p>
          <w:p w14:paraId="64A2CA0A" w14:textId="77777777" w:rsidR="0099241D" w:rsidRPr="00E00ACA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</w:rPr>
            </w:pPr>
            <w:r w:rsidRPr="00E00ACA">
              <w:rPr>
                <w:rFonts w:cs="Arial"/>
                <w:b/>
              </w:rPr>
              <w:t>Press. Exec. Contracte (PEC)</w:t>
            </w:r>
            <w:r w:rsidRPr="00E00ACA">
              <w:rPr>
                <w:rFonts w:cs="Arial"/>
                <w:b/>
              </w:rPr>
              <w:tab/>
              <w:t>499.120,16</w:t>
            </w:r>
            <w:r w:rsidRPr="00E00ACA">
              <w:rPr>
                <w:rFonts w:cs="Arial"/>
                <w:b/>
              </w:rPr>
              <w:tab/>
              <w:t>€</w:t>
            </w:r>
          </w:p>
          <w:p w14:paraId="1BD210BF" w14:textId="77777777" w:rsidR="0099241D" w:rsidRPr="00E20957" w:rsidRDefault="0099241D" w:rsidP="0099241D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79C2DF86" w:rsidR="00B8294D" w:rsidRPr="00BC7D0A" w:rsidRDefault="001B47B3" w:rsidP="00933708">
      <w:pPr>
        <w:jc w:val="both"/>
        <w:rPr>
          <w:b/>
        </w:rPr>
      </w:pPr>
      <w:r w:rsidRPr="0099241D">
        <w:t xml:space="preserve">NOTA: el </w:t>
      </w:r>
      <w:r w:rsidRPr="0099241D">
        <w:rPr>
          <w:rFonts w:cs="Arial"/>
        </w:rPr>
        <w:t xml:space="preserve">termini d’execució de les obres serà de </w:t>
      </w:r>
      <w:r w:rsidR="0099241D" w:rsidRPr="0099241D">
        <w:rPr>
          <w:rFonts w:cs="Arial"/>
        </w:rPr>
        <w:t>6</w:t>
      </w:r>
      <w:r w:rsidRPr="0099241D">
        <w:rPr>
          <w:rFonts w:cs="Arial"/>
        </w:rPr>
        <w:t xml:space="preserve"> mesos.</w:t>
      </w:r>
      <w:r w:rsidR="00933708" w:rsidRPr="00BC7D0A">
        <w:rPr>
          <w:rFonts w:cs="Arial"/>
        </w:rPr>
        <w:t xml:space="preserve"> 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59E3AADA" w14:textId="77777777" w:rsidR="009420F8" w:rsidRPr="00BC7D0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BC7D0A" w:rsidRDefault="00B21074" w:rsidP="00535822">
      <w:pPr>
        <w:jc w:val="both"/>
      </w:pPr>
      <w:r w:rsidRPr="00BC7D0A">
        <w:t>En cas que el projecte indiqui marques o models concrets, cal entendre que són referències del nivell de qualitat del producte i/o de les seves prestacions, i que els productes afectats poden ser substituïts per altres, d'altres marques o models, el nivell de qualitat i/o de prestacions dels qua</w:t>
      </w:r>
      <w:r w:rsidR="002604C3" w:rsidRPr="00BC7D0A">
        <w:t>ls sigui equivalent o superior.</w:t>
      </w:r>
    </w:p>
    <w:p w14:paraId="6830AA34" w14:textId="77777777" w:rsidR="00D376D3" w:rsidRDefault="00D376D3" w:rsidP="00535822">
      <w:pPr>
        <w:jc w:val="both"/>
        <w:rPr>
          <w:b/>
        </w:rPr>
      </w:pPr>
    </w:p>
    <w:p w14:paraId="4A72B25C" w14:textId="546CEA53" w:rsidR="0099241D" w:rsidRPr="00877CD1" w:rsidRDefault="0099241D" w:rsidP="0099241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0E5BC1">
        <w:rPr>
          <w:rFonts w:cs="Arial"/>
        </w:rPr>
        <w:lastRenderedPageBreak/>
        <w:t>Capítol 01.03. : s’han eliminat tots els subcapítols i en el seu lloc s’ha posat una partida amb codi</w:t>
      </w:r>
      <w:r w:rsidRPr="00877CD1">
        <w:rPr>
          <w:rFonts w:cs="Arial"/>
        </w:rPr>
        <w:t xml:space="preserve"> H00000SS, descripció “</w:t>
      </w:r>
      <w:r w:rsidRPr="00877CD1">
        <w:rPr>
          <w:rFonts w:cs="Arial"/>
          <w:i/>
          <w:iCs/>
        </w:rPr>
        <w:t>Mesures de Seguretat i Salut a aplicar a l'obra.</w:t>
      </w:r>
      <w:r w:rsidRPr="00877CD1">
        <w:rPr>
          <w:rFonts w:cs="Arial"/>
        </w:rPr>
        <w:t>” i preu directe de 5.263,57 €. </w:t>
      </w:r>
    </w:p>
    <w:p w14:paraId="2D3149AA" w14:textId="77777777" w:rsidR="0099241D" w:rsidRPr="006E0E32" w:rsidRDefault="0099241D" w:rsidP="0099241D">
      <w:pPr>
        <w:rPr>
          <w:rFonts w:cs="Arial"/>
        </w:rPr>
      </w:pPr>
    </w:p>
    <w:p w14:paraId="56E3DB38" w14:textId="7EB18798" w:rsidR="0099241D" w:rsidRPr="006E0E32" w:rsidRDefault="0099241D" w:rsidP="0099241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6E0E32">
        <w:rPr>
          <w:rFonts w:cs="Arial"/>
        </w:rPr>
        <w:t>S’han recodificat les següents partides:</w:t>
      </w:r>
    </w:p>
    <w:p w14:paraId="7E5DD2B9" w14:textId="77777777" w:rsidR="0099241D" w:rsidRPr="006E0E32" w:rsidRDefault="0099241D" w:rsidP="0099241D">
      <w:pPr>
        <w:ind w:left="-4"/>
        <w:rPr>
          <w:rFonts w:cs="Arial"/>
        </w:rPr>
      </w:pPr>
    </w:p>
    <w:tbl>
      <w:tblPr>
        <w:tblW w:w="49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3045"/>
      </w:tblGrid>
      <w:tr w:rsidR="0099241D" w:rsidRPr="006E0E32" w14:paraId="5C1B2499" w14:textId="77777777" w:rsidTr="00DA00C3">
        <w:trPr>
          <w:trHeight w:val="210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A0C2C" w14:textId="77777777" w:rsidR="0099241D" w:rsidRPr="006E0E32" w:rsidRDefault="0099241D" w:rsidP="00DA00C3">
            <w:pPr>
              <w:jc w:val="center"/>
              <w:rPr>
                <w:rFonts w:cs="Arial"/>
              </w:rPr>
            </w:pPr>
            <w:r w:rsidRPr="006E0E32">
              <w:rPr>
                <w:rFonts w:cs="Arial"/>
              </w:rPr>
              <w:t>CODI PROJECTE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1F5B0" w14:textId="77777777" w:rsidR="0099241D" w:rsidRPr="006E0E32" w:rsidRDefault="0099241D" w:rsidP="00DA00C3">
            <w:pPr>
              <w:jc w:val="center"/>
              <w:rPr>
                <w:rFonts w:cs="Arial"/>
              </w:rPr>
            </w:pPr>
            <w:r w:rsidRPr="006E0E32">
              <w:rPr>
                <w:rFonts w:cs="Arial"/>
              </w:rPr>
              <w:t>CODI “SUPORT INFORMÀTIC”</w:t>
            </w:r>
          </w:p>
        </w:tc>
      </w:tr>
      <w:tr w:rsidR="0099241D" w:rsidRPr="006E0E32" w14:paraId="5E691D77" w14:textId="77777777" w:rsidTr="00DA00C3">
        <w:trPr>
          <w:trHeight w:val="62"/>
        </w:trPr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7DC3F" w14:textId="77777777" w:rsidR="0099241D" w:rsidRPr="006E0E32" w:rsidRDefault="0099241D" w:rsidP="00DA00C3">
            <w:pPr>
              <w:jc w:val="center"/>
              <w:rPr>
                <w:rFonts w:cs="Arial"/>
              </w:rPr>
            </w:pPr>
            <w:r w:rsidRPr="006E0E32">
              <w:rPr>
                <w:rFonts w:cs="Arial"/>
              </w:rPr>
              <w:t>EY03JR00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92E7B" w14:textId="77777777" w:rsidR="0099241D" w:rsidRPr="006E0E32" w:rsidRDefault="0099241D" w:rsidP="00DA00C3">
            <w:pPr>
              <w:jc w:val="center"/>
              <w:rPr>
                <w:rFonts w:cs="Arial"/>
              </w:rPr>
            </w:pPr>
            <w:r w:rsidRPr="006E0E32">
              <w:rPr>
                <w:rFonts w:cs="Arial"/>
              </w:rPr>
              <w:t>PPAUJR00</w:t>
            </w:r>
          </w:p>
        </w:tc>
      </w:tr>
      <w:tr w:rsidR="0099241D" w:rsidRPr="006E0E32" w14:paraId="17A247F7" w14:textId="77777777" w:rsidTr="00DA00C3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C56F2" w14:textId="77777777" w:rsidR="0099241D" w:rsidRPr="006E0E32" w:rsidRDefault="0099241D" w:rsidP="00DA00C3">
            <w:pPr>
              <w:jc w:val="center"/>
              <w:rPr>
                <w:rFonts w:cs="Arial"/>
              </w:rPr>
            </w:pPr>
            <w:r w:rsidRPr="006E0E32">
              <w:rPr>
                <w:rFonts w:cs="Arial"/>
              </w:rPr>
              <w:t>K21GZVE1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026ED" w14:textId="77777777" w:rsidR="0099241D" w:rsidRPr="006E0E32" w:rsidRDefault="0099241D" w:rsidP="00DA00C3">
            <w:pPr>
              <w:jc w:val="center"/>
              <w:rPr>
                <w:rFonts w:cs="Arial"/>
              </w:rPr>
            </w:pPr>
            <w:r w:rsidRPr="006E0E32">
              <w:rPr>
                <w:rFonts w:cs="Arial"/>
              </w:rPr>
              <w:t>PPAUZVE1</w:t>
            </w:r>
          </w:p>
        </w:tc>
      </w:tr>
    </w:tbl>
    <w:p w14:paraId="47AF82F5" w14:textId="77777777" w:rsidR="0099241D" w:rsidRPr="006E0E32" w:rsidRDefault="0099241D" w:rsidP="0099241D">
      <w:pPr>
        <w:ind w:left="-4"/>
        <w:rPr>
          <w:rFonts w:cs="Arial"/>
        </w:rPr>
      </w:pPr>
    </w:p>
    <w:p w14:paraId="333FBBA2" w14:textId="09584F20" w:rsidR="0099241D" w:rsidRDefault="0099241D" w:rsidP="0099241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Partides </w:t>
      </w:r>
      <w:r w:rsidRPr="006E0E32">
        <w:rPr>
          <w:rFonts w:cs="Arial"/>
        </w:rPr>
        <w:t>PPAUJR00</w:t>
      </w:r>
      <w:r>
        <w:rPr>
          <w:rFonts w:cs="Arial"/>
        </w:rPr>
        <w:t xml:space="preserve"> i </w:t>
      </w:r>
      <w:r w:rsidRPr="006E0E32">
        <w:rPr>
          <w:rFonts w:cs="Arial"/>
        </w:rPr>
        <w:t>PPAUZVE1</w:t>
      </w:r>
      <w:r>
        <w:rPr>
          <w:rFonts w:cs="Arial"/>
        </w:rPr>
        <w:t>: s’ha afegit a l’inici de la descripció “</w:t>
      </w:r>
      <w:r w:rsidRPr="006E0E32">
        <w:rPr>
          <w:rFonts w:cs="Arial"/>
          <w:i/>
          <w:iCs/>
        </w:rPr>
        <w:t>Partida alçada d’abonament íntegre per a...</w:t>
      </w:r>
      <w:r>
        <w:rPr>
          <w:rFonts w:cs="Arial"/>
        </w:rPr>
        <w:t>”, s’ha modificat la unitat d’amidament de “</w:t>
      </w:r>
      <w:r w:rsidRPr="006E0E32">
        <w:rPr>
          <w:rFonts w:cs="Arial"/>
          <w:i/>
          <w:iCs/>
        </w:rPr>
        <w:t>u</w:t>
      </w:r>
      <w:r>
        <w:rPr>
          <w:rFonts w:cs="Arial"/>
        </w:rPr>
        <w:t>” a “</w:t>
      </w:r>
      <w:r w:rsidRPr="006E0E32">
        <w:rPr>
          <w:rFonts w:cs="Arial"/>
          <w:i/>
          <w:iCs/>
        </w:rPr>
        <w:t>pa</w:t>
      </w:r>
      <w:r>
        <w:rPr>
          <w:rFonts w:cs="Arial"/>
        </w:rPr>
        <w:t>” i s’ha eliminat la justificació del preu assignant preu directe.</w:t>
      </w:r>
    </w:p>
    <w:p w14:paraId="2F0E0C65" w14:textId="77777777" w:rsidR="0099241D" w:rsidRPr="00B73C8C" w:rsidRDefault="0099241D" w:rsidP="0099241D">
      <w:pPr>
        <w:rPr>
          <w:rFonts w:cs="Arial"/>
        </w:rPr>
      </w:pPr>
    </w:p>
    <w:p w14:paraId="48FE50AA" w14:textId="70733329" w:rsidR="0099241D" w:rsidRPr="00B73C8C" w:rsidRDefault="0099241D" w:rsidP="0099241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B73C8C">
        <w:rPr>
          <w:rFonts w:cs="Arial"/>
        </w:rPr>
        <w:t>Partida EG13SQPB: s’han eliminat de la justificació del preu els elements següents: EG4MPM75, EG4RU015, EG1MKA72, EG1MPR48, EG1MPR72, EG415D9C, EG415DJ9, EG415DJF, EG415DJH, EG415DJJ, EG415EKK, EG415EKL, EG415FJD, EG4242JH, EG4243JH, EG4243JK, EG4MGP25, EG415FKM i EG4243JM</w:t>
      </w:r>
      <w:r>
        <w:rPr>
          <w:rFonts w:cs="Arial"/>
        </w:rPr>
        <w:t>.</w:t>
      </w:r>
    </w:p>
    <w:p w14:paraId="5F6958A8" w14:textId="77777777" w:rsidR="0099241D" w:rsidRPr="00B73C8C" w:rsidRDefault="0099241D" w:rsidP="0099241D">
      <w:pPr>
        <w:rPr>
          <w:rFonts w:cs="Arial"/>
        </w:rPr>
      </w:pPr>
    </w:p>
    <w:p w14:paraId="677B0922" w14:textId="74EA22B5" w:rsidR="0099241D" w:rsidRDefault="0099241D" w:rsidP="0099241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B73C8C">
        <w:rPr>
          <w:rFonts w:cs="Arial"/>
        </w:rPr>
        <w:t>Partida EG13SQIN s’han eliminat de la justificació del preu els elements següents: EG4MPM75, EG1MP120, EG1MPR48</w:t>
      </w:r>
      <w:r>
        <w:rPr>
          <w:rFonts w:cs="Arial"/>
        </w:rPr>
        <w:t xml:space="preserve">, </w:t>
      </w:r>
      <w:r w:rsidRPr="00D113CC">
        <w:rPr>
          <w:rFonts w:cs="Arial"/>
        </w:rPr>
        <w:t>EG1MPR72</w:t>
      </w:r>
      <w:r>
        <w:rPr>
          <w:rFonts w:cs="Arial"/>
        </w:rPr>
        <w:t xml:space="preserve">, </w:t>
      </w:r>
      <w:r w:rsidRPr="00D113CC">
        <w:rPr>
          <w:rFonts w:cs="Arial"/>
        </w:rPr>
        <w:t>EG415D9C</w:t>
      </w:r>
      <w:r>
        <w:rPr>
          <w:rFonts w:cs="Arial"/>
        </w:rPr>
        <w:t xml:space="preserve">, </w:t>
      </w:r>
      <w:r w:rsidRPr="00D113CC">
        <w:rPr>
          <w:rFonts w:cs="Arial"/>
        </w:rPr>
        <w:t>EG415DJ9</w:t>
      </w:r>
      <w:r>
        <w:rPr>
          <w:rFonts w:cs="Arial"/>
        </w:rPr>
        <w:t xml:space="preserve">, </w:t>
      </w:r>
      <w:r w:rsidRPr="00D113CC">
        <w:rPr>
          <w:rFonts w:cs="Arial"/>
        </w:rPr>
        <w:t>EG415DJB</w:t>
      </w:r>
      <w:r>
        <w:rPr>
          <w:rFonts w:cs="Arial"/>
        </w:rPr>
        <w:t xml:space="preserve">, </w:t>
      </w:r>
      <w:r w:rsidRPr="00D113CC">
        <w:rPr>
          <w:rFonts w:cs="Arial"/>
        </w:rPr>
        <w:t>EG415DJF</w:t>
      </w:r>
      <w:r>
        <w:rPr>
          <w:rFonts w:cs="Arial"/>
        </w:rPr>
        <w:t xml:space="preserve">, </w:t>
      </w:r>
      <w:r w:rsidRPr="00D113CC">
        <w:rPr>
          <w:rFonts w:cs="Arial"/>
        </w:rPr>
        <w:t>EG415DJH</w:t>
      </w:r>
      <w:r>
        <w:rPr>
          <w:rFonts w:cs="Arial"/>
        </w:rPr>
        <w:t xml:space="preserve">, </w:t>
      </w:r>
      <w:r w:rsidRPr="00D113CC">
        <w:rPr>
          <w:rFonts w:cs="Arial"/>
        </w:rPr>
        <w:t>EG415DJJ</w:t>
      </w:r>
      <w:r>
        <w:rPr>
          <w:rFonts w:cs="Arial"/>
        </w:rPr>
        <w:t xml:space="preserve">, </w:t>
      </w:r>
      <w:r w:rsidRPr="00D113CC">
        <w:rPr>
          <w:rFonts w:cs="Arial"/>
        </w:rPr>
        <w:t>EG415EKK</w:t>
      </w:r>
      <w:r>
        <w:rPr>
          <w:rFonts w:cs="Arial"/>
        </w:rPr>
        <w:t xml:space="preserve">, </w:t>
      </w:r>
      <w:r w:rsidRPr="00D113CC">
        <w:rPr>
          <w:rFonts w:cs="Arial"/>
        </w:rPr>
        <w:t>EG415EKL</w:t>
      </w:r>
      <w:r>
        <w:rPr>
          <w:rFonts w:cs="Arial"/>
        </w:rPr>
        <w:t xml:space="preserve">, </w:t>
      </w:r>
      <w:r w:rsidRPr="00D113CC">
        <w:rPr>
          <w:rFonts w:cs="Arial"/>
        </w:rPr>
        <w:t>EG415FJD</w:t>
      </w:r>
      <w:r>
        <w:rPr>
          <w:rFonts w:cs="Arial"/>
        </w:rPr>
        <w:t xml:space="preserve">, </w:t>
      </w:r>
      <w:r w:rsidRPr="00D113CC">
        <w:rPr>
          <w:rFonts w:cs="Arial"/>
        </w:rPr>
        <w:t>EG4242JH</w:t>
      </w:r>
      <w:r>
        <w:rPr>
          <w:rFonts w:cs="Arial"/>
        </w:rPr>
        <w:t xml:space="preserve">, </w:t>
      </w:r>
      <w:r w:rsidRPr="00D113CC">
        <w:rPr>
          <w:rFonts w:cs="Arial"/>
        </w:rPr>
        <w:t>EG4243JH</w:t>
      </w:r>
      <w:r>
        <w:rPr>
          <w:rFonts w:cs="Arial"/>
        </w:rPr>
        <w:t xml:space="preserve">, </w:t>
      </w:r>
      <w:r w:rsidRPr="00D113CC">
        <w:rPr>
          <w:rFonts w:cs="Arial"/>
        </w:rPr>
        <w:t>EG4243JK</w:t>
      </w:r>
      <w:r>
        <w:rPr>
          <w:rFonts w:cs="Arial"/>
        </w:rPr>
        <w:t xml:space="preserve"> i </w:t>
      </w:r>
      <w:r w:rsidRPr="00D113CC">
        <w:rPr>
          <w:rFonts w:cs="Arial"/>
        </w:rPr>
        <w:t>EG4MGP25</w:t>
      </w:r>
      <w:r>
        <w:rPr>
          <w:rFonts w:cs="Arial"/>
        </w:rPr>
        <w:t>.</w:t>
      </w:r>
    </w:p>
    <w:p w14:paraId="761A50F7" w14:textId="77777777" w:rsidR="0099241D" w:rsidRDefault="0099241D" w:rsidP="0099241D">
      <w:pPr>
        <w:rPr>
          <w:rFonts w:cs="Arial"/>
          <w:highlight w:val="yellow"/>
        </w:rPr>
      </w:pPr>
    </w:p>
    <w:p w14:paraId="57C31D0D" w14:textId="5DB64DFA" w:rsidR="0099241D" w:rsidRPr="00D113CC" w:rsidRDefault="0099241D" w:rsidP="0099241D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D113CC">
        <w:rPr>
          <w:rFonts w:cs="Arial"/>
        </w:rPr>
        <w:t xml:space="preserve">S’han </w:t>
      </w:r>
      <w:r>
        <w:rPr>
          <w:rFonts w:cs="Arial"/>
        </w:rPr>
        <w:t>eliminat</w:t>
      </w:r>
      <w:r w:rsidRPr="00D113CC">
        <w:rPr>
          <w:rFonts w:cs="Arial"/>
        </w:rPr>
        <w:t xml:space="preserve"> totes les notes de les partides que en contenien.</w:t>
      </w:r>
    </w:p>
    <w:p w14:paraId="733E4F6A" w14:textId="77777777" w:rsidR="0099241D" w:rsidRPr="00D113CC" w:rsidRDefault="0099241D" w:rsidP="0099241D">
      <w:pPr>
        <w:rPr>
          <w:rFonts w:cs="Arial"/>
        </w:rPr>
      </w:pPr>
    </w:p>
    <w:p w14:paraId="0A1A7C48" w14:textId="77777777" w:rsidR="0099241D" w:rsidRPr="00BC7D0A" w:rsidRDefault="0099241D" w:rsidP="00535822">
      <w:pPr>
        <w:jc w:val="both"/>
        <w:rPr>
          <w:b/>
        </w:rPr>
      </w:pPr>
    </w:p>
    <w:sectPr w:rsidR="0099241D" w:rsidRPr="00BC7D0A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67F4716E"/>
    <w:lvl w:ilvl="0" w:tplc="D8B4F532">
      <w:start w:val="1"/>
      <w:numFmt w:val="decimal"/>
      <w:lvlText w:val="1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0DBC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77B56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17AC6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1546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9241D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05A9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10</cp:revision>
  <cp:lastPrinted>2015-12-03T10:53:00Z</cp:lastPrinted>
  <dcterms:created xsi:type="dcterms:W3CDTF">2019-05-07T13:52:00Z</dcterms:created>
  <dcterms:modified xsi:type="dcterms:W3CDTF">2025-01-28T07:42:00Z</dcterms:modified>
</cp:coreProperties>
</file>