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7A31" w14:textId="77777777" w:rsidR="00DE3489" w:rsidRDefault="00DE3489" w:rsidP="00DE3489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1F18831E" w14:textId="77777777" w:rsidR="00DE3489" w:rsidRDefault="00DE3489" w:rsidP="00DE3489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0A6ADD29" w14:textId="77777777" w:rsidR="00DE3489" w:rsidRDefault="00DE3489" w:rsidP="00DE3489">
      <w:pPr>
        <w:jc w:val="center"/>
        <w:rPr>
          <w:rFonts w:cs="Arial"/>
          <w:b/>
          <w:lang w:eastAsia="es-ES"/>
        </w:rPr>
      </w:pPr>
      <w:r w:rsidRPr="001709B8">
        <w:rPr>
          <w:rFonts w:eastAsia="Calibri" w:cs="Arial"/>
          <w:b/>
          <w:lang w:eastAsia="en-US"/>
        </w:rPr>
        <w:t>X2024003735</w:t>
      </w:r>
      <w:r>
        <w:rPr>
          <w:rFonts w:eastAsia="Calibri" w:cs="Arial"/>
          <w:b/>
          <w:lang w:eastAsia="en-US"/>
        </w:rPr>
        <w:t xml:space="preserve"> </w:t>
      </w:r>
      <w:r w:rsidRPr="001709B8">
        <w:rPr>
          <w:rFonts w:eastAsia="Calibri" w:cs="Arial"/>
          <w:b/>
          <w:lang w:eastAsia="en-US"/>
        </w:rPr>
        <w:t>Obres –</w:t>
      </w:r>
      <w:r w:rsidRPr="00696626">
        <w:rPr>
          <w:rFonts w:eastAsia="Calibri" w:cs="Arial"/>
          <w:b/>
          <w:lang w:eastAsia="en-US"/>
        </w:rPr>
        <w:t xml:space="preserve"> Contracte d’obres</w:t>
      </w:r>
      <w:r w:rsidRPr="003F2AFF">
        <w:rPr>
          <w:rFonts w:eastAsia="Calibri" w:cs="Arial"/>
          <w:b/>
          <w:lang w:eastAsia="en-US"/>
        </w:rPr>
        <w:t xml:space="preserve"> per a la recuperació de l’antiga mina de regants de Montmeló.</w:t>
      </w:r>
    </w:p>
    <w:p w14:paraId="40B31768" w14:textId="77777777" w:rsidR="00DE3489" w:rsidRDefault="00DE3489" w:rsidP="00DE3489">
      <w:pPr>
        <w:jc w:val="center"/>
        <w:rPr>
          <w:rFonts w:eastAsia="Calibri" w:cs="Arial"/>
          <w:b/>
          <w:lang w:eastAsia="en-US"/>
        </w:rPr>
      </w:pPr>
    </w:p>
    <w:p w14:paraId="3195BC63" w14:textId="77777777" w:rsidR="00DE3489" w:rsidRDefault="00DE3489" w:rsidP="00DE3489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5868E001" w14:textId="77777777" w:rsidR="00DE3489" w:rsidRDefault="00DE3489" w:rsidP="00DE3489">
      <w:pPr>
        <w:ind w:left="720" w:hanging="11"/>
        <w:jc w:val="center"/>
        <w:rPr>
          <w:rFonts w:eastAsia="Calibri" w:cs="Arial"/>
          <w:lang w:eastAsia="en-US"/>
        </w:rPr>
      </w:pPr>
    </w:p>
    <w:p w14:paraId="4A666F7D" w14:textId="77777777" w:rsidR="00DE3489" w:rsidRDefault="00DE3489" w:rsidP="00DE3489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56CFE22E" w14:textId="77777777" w:rsidR="00DE3489" w:rsidRDefault="00DE3489" w:rsidP="00DE3489">
      <w:pPr>
        <w:rPr>
          <w:rFonts w:eastAsia="Calibri" w:cs="Arial"/>
          <w:b/>
          <w:lang w:eastAsia="en-US"/>
        </w:rPr>
      </w:pPr>
    </w:p>
    <w:p w14:paraId="0024DB67" w14:textId="77777777" w:rsidR="00DE3489" w:rsidRDefault="00DE3489" w:rsidP="00DE3489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3337F1">
        <w:rPr>
          <w:rFonts w:cs="Arial"/>
          <w:lang w:eastAsia="es-ES"/>
        </w:rPr>
        <w:t xml:space="preserve">.. ....................., opta a la contractació relativa al </w:t>
      </w:r>
      <w:r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  <w:r w:rsidRPr="003337F1">
        <w:rPr>
          <w:rFonts w:cs="Arial"/>
          <w:lang w:eastAsia="es-ES"/>
        </w:rPr>
        <w:t xml:space="preserve">, en relació a les següents </w:t>
      </w:r>
      <w:r>
        <w:rPr>
          <w:rFonts w:cs="Arial"/>
          <w:lang w:eastAsia="es-ES"/>
        </w:rPr>
        <w:t>possibles puntuacions automàtiques DECLARA:</w:t>
      </w:r>
    </w:p>
    <w:p w14:paraId="2101A5FB" w14:textId="77777777" w:rsidR="00DE3489" w:rsidRDefault="00DE3489" w:rsidP="00DE3489">
      <w:pPr>
        <w:rPr>
          <w:rFonts w:cs="Arial"/>
          <w:lang w:eastAsia="es-ES"/>
        </w:rPr>
      </w:pPr>
    </w:p>
    <w:p w14:paraId="5749646D" w14:textId="77777777" w:rsidR="00DE3489" w:rsidRDefault="00DE3489" w:rsidP="00DE3489">
      <w:pPr>
        <w:rPr>
          <w:rFonts w:cs="Arial"/>
          <w:b/>
        </w:rPr>
      </w:pPr>
    </w:p>
    <w:p w14:paraId="359E9472" w14:textId="77777777" w:rsidR="00DE3489" w:rsidRDefault="00DE3489" w:rsidP="00DE3489">
      <w:pPr>
        <w:jc w:val="left"/>
        <w:rPr>
          <w:rFonts w:cs="Arial"/>
          <w:lang w:eastAsia="es-ES"/>
        </w:rPr>
      </w:pPr>
    </w:p>
    <w:p w14:paraId="1FB1B401" w14:textId="77777777" w:rsidR="00DE3489" w:rsidRDefault="00DE3489" w:rsidP="00DE3489">
      <w:pPr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Criteri 2. Per l’aplicació de la baixa presentada en l’oferta als preus nous que composin preus contradictoris que puguin sorgir en el decurs de l’obra, fins a 15 punts.</w:t>
      </w:r>
    </w:p>
    <w:p w14:paraId="7F5354FD" w14:textId="77777777" w:rsidR="00DE3489" w:rsidRDefault="00DE3489" w:rsidP="00DE348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>El percentatge indicat a continuació, en relació a la baixa presentada respecte del Pressupost de licitació, serà el que s’aplicarà en el cas que durant l’execució de l’obra hi hagi preus contradictoris.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DE3489" w14:paraId="62721753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AD1" w14:textId="77777777" w:rsidR="00DE3489" w:rsidRDefault="00DE3489" w:rsidP="003056CD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lang w:eastAsia="es-ES"/>
              </w:rPr>
              <w:t>Per aplicació del 100% de la baixa que s’ha ofert, si hi ha preus contradictoris,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5F9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  <w:tr w:rsidR="00DE3489" w14:paraId="48928956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AB23" w14:textId="77777777" w:rsidR="00DE3489" w:rsidRDefault="00DE3489" w:rsidP="003056CD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lang w:eastAsia="es-ES"/>
              </w:rPr>
              <w:t>Per aplicació del 75% de la baixa que s’ha ofert, si hi ha preus contradictoris, 10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B57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  <w:tr w:rsidR="00DE3489" w14:paraId="4255AA7B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530" w14:textId="77777777" w:rsidR="00DE3489" w:rsidRDefault="00DE3489" w:rsidP="003056CD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lang w:eastAsia="es-ES"/>
              </w:rPr>
              <w:t>Per aplicació del 50% de la baixa que s’ha ofert, si hi ha preus contradictoris, 7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053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  <w:tr w:rsidR="00DE3489" w14:paraId="24CD73BE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11B7" w14:textId="77777777" w:rsidR="00DE3489" w:rsidRDefault="00DE3489" w:rsidP="003056CD">
            <w:pPr>
              <w:rPr>
                <w:rFonts w:cs="Arial"/>
                <w:bCs/>
                <w:lang w:eastAsia="es-ES"/>
              </w:rPr>
            </w:pPr>
            <w:r>
              <w:rPr>
                <w:rFonts w:cs="Arial"/>
                <w:bCs/>
                <w:lang w:eastAsia="es-ES"/>
              </w:rPr>
              <w:t>Per aplicació del 25% de la baixa que s’ha ofert, si hi ha preus contradictoris, 3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BF0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</w:tbl>
    <w:p w14:paraId="78DDF36C" w14:textId="77777777" w:rsidR="00DE3489" w:rsidRDefault="00DE3489" w:rsidP="00DE348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  <w:t>(marcar proposta)</w:t>
      </w:r>
    </w:p>
    <w:p w14:paraId="75D0674C" w14:textId="77777777" w:rsidR="00DE3489" w:rsidRDefault="00DE3489" w:rsidP="00DE3489">
      <w:pPr>
        <w:rPr>
          <w:rFonts w:cs="Arial"/>
          <w:bCs/>
          <w:lang w:eastAsia="es-ES"/>
        </w:rPr>
      </w:pPr>
    </w:p>
    <w:p w14:paraId="5717D28F" w14:textId="77777777" w:rsidR="00DE3489" w:rsidRDefault="00DE3489" w:rsidP="00DE348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 xml:space="preserve">El percentatge de la baixa respecte al pressupost de licitació s’indicarà a </w:t>
      </w:r>
      <w:r>
        <w:rPr>
          <w:rFonts w:cs="Arial"/>
          <w:b/>
          <w:lang w:eastAsia="es-ES"/>
        </w:rPr>
        <w:t>l’Annex 2 d’aquest PCAP</w:t>
      </w:r>
      <w:r>
        <w:rPr>
          <w:rFonts w:cs="Arial"/>
          <w:bCs/>
          <w:lang w:eastAsia="es-ES"/>
        </w:rPr>
        <w:t>.</w:t>
      </w:r>
    </w:p>
    <w:p w14:paraId="47F58CD8" w14:textId="77777777" w:rsidR="00DE3489" w:rsidRDefault="00DE3489" w:rsidP="00DE348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 xml:space="preserve">La referència dels preus contradictoris seran els del BANC BEDEC del </w:t>
      </w:r>
      <w:proofErr w:type="spellStart"/>
      <w:r>
        <w:rPr>
          <w:rFonts w:cs="Arial"/>
          <w:bCs/>
          <w:lang w:eastAsia="es-ES"/>
        </w:rPr>
        <w:t>ITeC</w:t>
      </w:r>
      <w:proofErr w:type="spellEnd"/>
      <w:r>
        <w:rPr>
          <w:rFonts w:cs="Arial"/>
          <w:bCs/>
          <w:lang w:eastAsia="es-ES"/>
        </w:rPr>
        <w:t xml:space="preserve"> (Institut de Tecnologia de la Construcció) del moment de la tramitació del procediment preus contradictoris.</w:t>
      </w:r>
    </w:p>
    <w:p w14:paraId="32290C97" w14:textId="77777777" w:rsidR="00DE3489" w:rsidRDefault="00DE3489" w:rsidP="00DE3489">
      <w:pPr>
        <w:rPr>
          <w:rFonts w:cs="Arial"/>
          <w:bCs/>
          <w:lang w:eastAsia="es-ES"/>
        </w:rPr>
      </w:pPr>
    </w:p>
    <w:p w14:paraId="6BD4D9B0" w14:textId="77777777" w:rsidR="00DE3489" w:rsidRDefault="00DE3489" w:rsidP="00DE3489">
      <w:pPr>
        <w:rPr>
          <w:rFonts w:cs="Arial"/>
          <w:bCs/>
          <w:lang w:eastAsia="es-ES"/>
        </w:rPr>
      </w:pPr>
    </w:p>
    <w:p w14:paraId="5FB03729" w14:textId="77777777" w:rsidR="00DE3489" w:rsidRDefault="00DE3489" w:rsidP="00DE3489">
      <w:pPr>
        <w:rPr>
          <w:rFonts w:cs="Arial"/>
          <w:bCs/>
          <w:lang w:eastAsia="es-ES"/>
        </w:rPr>
      </w:pPr>
    </w:p>
    <w:p w14:paraId="06411469" w14:textId="77777777" w:rsidR="00DE3489" w:rsidRDefault="00DE3489" w:rsidP="00DE3489">
      <w:pPr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Criteri 3. Per l’increment del termini de garantia: fins a un màxim de 15 punts</w:t>
      </w:r>
    </w:p>
    <w:p w14:paraId="09B8C4EF" w14:textId="77777777" w:rsidR="00DE3489" w:rsidRDefault="00DE3489" w:rsidP="00DE3489">
      <w:pPr>
        <w:rPr>
          <w:rFonts w:cs="Arial"/>
          <w:lang w:eastAsia="es-ES"/>
        </w:rPr>
      </w:pPr>
      <w:r>
        <w:rPr>
          <w:rFonts w:cs="Arial"/>
          <w:lang w:eastAsia="es-ES"/>
        </w:rPr>
        <w:t>S’atorgaran punts d’acord amb:</w:t>
      </w:r>
    </w:p>
    <w:p w14:paraId="1067AE90" w14:textId="77777777" w:rsidR="00DE3489" w:rsidRDefault="00DE3489" w:rsidP="00DE3489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DE3489" w14:paraId="06E642D3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8474" w14:textId="77777777" w:rsidR="00DE3489" w:rsidRDefault="00DE3489" w:rsidP="003056CD">
            <w:pPr>
              <w:rPr>
                <w:rFonts w:cs="Arial"/>
                <w:bCs/>
              </w:rPr>
            </w:pPr>
            <w:r>
              <w:rPr>
                <w:rFonts w:cs="Arial"/>
                <w:lang w:eastAsia="es-ES"/>
              </w:rPr>
              <w:t>Per increment de la garantia fins als 4 anys, (2+2)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48B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  <w:tr w:rsidR="00DE3489" w14:paraId="2A7653E4" w14:textId="77777777" w:rsidTr="003056CD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276" w14:textId="77777777" w:rsidR="00DE3489" w:rsidRDefault="00DE3489" w:rsidP="003056CD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Per increment de la garantia fins als 3 anys (2+1), 8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058" w14:textId="77777777" w:rsidR="00DE3489" w:rsidRDefault="00DE3489" w:rsidP="003056CD">
            <w:pPr>
              <w:rPr>
                <w:rFonts w:cs="Arial"/>
                <w:bCs/>
              </w:rPr>
            </w:pPr>
          </w:p>
        </w:tc>
      </w:tr>
    </w:tbl>
    <w:p w14:paraId="187D1617" w14:textId="77777777" w:rsidR="00DE3489" w:rsidRDefault="00DE3489" w:rsidP="00DE3489">
      <w:pPr>
        <w:rPr>
          <w:rFonts w:cs="Arial"/>
          <w:bCs/>
          <w:lang w:eastAsia="es-ES"/>
        </w:rPr>
      </w:pP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</w:r>
      <w:r>
        <w:rPr>
          <w:rFonts w:cs="Arial"/>
          <w:bCs/>
          <w:lang w:eastAsia="es-ES"/>
        </w:rPr>
        <w:tab/>
        <w:t>(marcar proposta)</w:t>
      </w:r>
    </w:p>
    <w:p w14:paraId="11C5360B" w14:textId="77777777" w:rsidR="00DE3489" w:rsidRDefault="00DE3489" w:rsidP="00DE3489">
      <w:pPr>
        <w:rPr>
          <w:rFonts w:cs="Arial"/>
          <w:lang w:eastAsia="es-ES"/>
        </w:rPr>
      </w:pPr>
    </w:p>
    <w:p w14:paraId="55B6F4A0" w14:textId="77777777" w:rsidR="00DE3489" w:rsidRDefault="00DE3489" w:rsidP="00DE3489">
      <w:pPr>
        <w:rPr>
          <w:rFonts w:cs="Arial"/>
          <w:lang w:eastAsia="es-ES"/>
        </w:rPr>
      </w:pPr>
      <w:r>
        <w:rPr>
          <w:rFonts w:cs="Arial"/>
          <w:lang w:eastAsia="es-ES"/>
        </w:rPr>
        <w:tab/>
      </w:r>
    </w:p>
    <w:p w14:paraId="66D3738B" w14:textId="77777777" w:rsidR="00DE3489" w:rsidRDefault="00DE3489" w:rsidP="00DE3489">
      <w:pPr>
        <w:jc w:val="left"/>
        <w:rPr>
          <w:rFonts w:cs="Arial"/>
          <w:lang w:eastAsia="es-ES"/>
        </w:rPr>
      </w:pPr>
    </w:p>
    <w:p w14:paraId="59047808" w14:textId="77777777" w:rsidR="00DE3489" w:rsidRDefault="00DE3489" w:rsidP="00DE3489">
      <w:pPr>
        <w:jc w:val="left"/>
        <w:rPr>
          <w:rFonts w:cs="Arial"/>
          <w:lang w:eastAsia="es-ES"/>
        </w:rPr>
      </w:pPr>
    </w:p>
    <w:p w14:paraId="1B7DB143" w14:textId="77777777" w:rsidR="00DE3489" w:rsidRDefault="00DE3489" w:rsidP="00DE3489">
      <w:pPr>
        <w:rPr>
          <w:rFonts w:cs="Arial"/>
          <w:lang w:eastAsia="es-ES"/>
        </w:rPr>
      </w:pPr>
    </w:p>
    <w:p w14:paraId="40060F76" w14:textId="77777777" w:rsidR="00DE3489" w:rsidRDefault="00DE3489" w:rsidP="00DE3489">
      <w:pPr>
        <w:jc w:val="left"/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38BFD94" w14:textId="77777777" w:rsidR="00DE3489" w:rsidRDefault="00DE3489" w:rsidP="00DE3489">
      <w:pPr>
        <w:jc w:val="center"/>
        <w:rPr>
          <w:rFonts w:eastAsia="Calibri" w:cs="Arial"/>
          <w:b/>
          <w:lang w:eastAsia="en-US"/>
        </w:rPr>
      </w:pPr>
    </w:p>
    <w:p w14:paraId="6E7E71E3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1D18E8D" w14:textId="77777777" w:rsidR="00894EC3" w:rsidRDefault="00894EC3"/>
    <w:sectPr w:rsidR="00894E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5D88" w14:textId="77777777" w:rsidR="00894EC3" w:rsidRDefault="00894EC3" w:rsidP="00894EC3">
      <w:r>
        <w:separator/>
      </w:r>
    </w:p>
  </w:endnote>
  <w:endnote w:type="continuationSeparator" w:id="0">
    <w:p w14:paraId="7E6FB62C" w14:textId="77777777" w:rsidR="00894EC3" w:rsidRDefault="00894EC3" w:rsidP="008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3B08" w14:textId="77777777" w:rsidR="00894EC3" w:rsidRDefault="00894EC3" w:rsidP="00894EC3">
      <w:r>
        <w:separator/>
      </w:r>
    </w:p>
  </w:footnote>
  <w:footnote w:type="continuationSeparator" w:id="0">
    <w:p w14:paraId="0078C2CC" w14:textId="77777777" w:rsidR="00894EC3" w:rsidRDefault="00894EC3" w:rsidP="008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C8A" w14:textId="2E15BADE" w:rsidR="00894EC3" w:rsidRDefault="00894EC3">
    <w:pPr>
      <w:pStyle w:val="Encabezado"/>
    </w:pPr>
    <w:r w:rsidRPr="00061596">
      <w:rPr>
        <w:noProof/>
        <w:lang w:bidi="th-TH"/>
      </w:rPr>
      <w:drawing>
        <wp:inline distT="0" distB="0" distL="0" distR="0" wp14:anchorId="12AEB297" wp14:editId="2044E2AF">
          <wp:extent cx="2165350" cy="810895"/>
          <wp:effectExtent l="19050" t="0" r="635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2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3"/>
    <w:rsid w:val="00894EC3"/>
    <w:rsid w:val="009724A5"/>
    <w:rsid w:val="00A6783C"/>
    <w:rsid w:val="00D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9B8"/>
  <w15:chartTrackingRefBased/>
  <w15:docId w15:val="{91290D1E-F204-49F8-8564-3A668AF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C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E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94EC3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DE34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2024-11-04T11:04:00Z</dcterms:created>
  <dcterms:modified xsi:type="dcterms:W3CDTF">2024-11-04T11:04:00Z</dcterms:modified>
</cp:coreProperties>
</file>