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61" w:rsidRDefault="00E06C61" w:rsidP="00E06C61">
      <w:pPr>
        <w:ind w:left="260"/>
        <w:rPr>
          <w:rFonts w:asciiTheme="majorHAnsi" w:eastAsia="Calibri" w:hAnsiTheme="majorHAnsi" w:cs="Calibri"/>
          <w:b/>
          <w:bCs/>
          <w:sz w:val="28"/>
          <w:szCs w:val="28"/>
          <w:u w:val="single"/>
        </w:rPr>
      </w:pPr>
    </w:p>
    <w:p w:rsidR="00B225D4" w:rsidRDefault="00B225D4" w:rsidP="00E06C61">
      <w:pPr>
        <w:ind w:left="260"/>
        <w:rPr>
          <w:rFonts w:asciiTheme="majorHAnsi" w:eastAsia="Calibri" w:hAnsiTheme="majorHAnsi" w:cs="Calibri"/>
          <w:b/>
          <w:bCs/>
          <w:sz w:val="28"/>
          <w:szCs w:val="28"/>
          <w:u w:val="single"/>
        </w:rPr>
      </w:pPr>
    </w:p>
    <w:p w:rsidR="00E06C61" w:rsidRPr="00B225D4" w:rsidRDefault="00E06C61" w:rsidP="00E06C61">
      <w:pPr>
        <w:ind w:left="260"/>
        <w:rPr>
          <w:rFonts w:ascii="Verdana" w:eastAsia="Cambria" w:hAnsi="Verdana" w:cs="Cambria"/>
          <w:b/>
          <w:bCs/>
          <w:sz w:val="22"/>
        </w:rPr>
      </w:pPr>
      <w:r>
        <w:rPr>
          <w:rFonts w:asciiTheme="majorHAnsi" w:eastAsia="Calibri" w:hAnsiTheme="majorHAnsi" w:cs="Calibri"/>
          <w:bCs/>
          <w:sz w:val="28"/>
          <w:szCs w:val="28"/>
        </w:rPr>
        <w:tab/>
      </w:r>
      <w:r>
        <w:rPr>
          <w:rFonts w:asciiTheme="majorHAnsi" w:eastAsia="Calibri" w:hAnsiTheme="majorHAnsi" w:cs="Calibri"/>
          <w:bCs/>
          <w:sz w:val="28"/>
          <w:szCs w:val="28"/>
        </w:rPr>
        <w:tab/>
      </w:r>
      <w:r>
        <w:rPr>
          <w:rFonts w:asciiTheme="majorHAnsi" w:eastAsia="Calibri" w:hAnsiTheme="majorHAnsi" w:cs="Calibri"/>
          <w:bCs/>
          <w:sz w:val="28"/>
          <w:szCs w:val="28"/>
        </w:rPr>
        <w:tab/>
      </w:r>
      <w:r>
        <w:rPr>
          <w:rFonts w:asciiTheme="majorHAnsi" w:eastAsia="Calibri" w:hAnsiTheme="majorHAnsi" w:cs="Calibri"/>
          <w:bCs/>
          <w:sz w:val="28"/>
          <w:szCs w:val="28"/>
        </w:rPr>
        <w:tab/>
      </w:r>
      <w:r>
        <w:rPr>
          <w:rFonts w:asciiTheme="majorHAnsi" w:eastAsia="Calibri" w:hAnsiTheme="majorHAnsi" w:cs="Calibri"/>
          <w:bCs/>
          <w:sz w:val="28"/>
          <w:szCs w:val="28"/>
        </w:rPr>
        <w:tab/>
      </w:r>
      <w:r w:rsidRPr="00B225D4">
        <w:rPr>
          <w:rFonts w:ascii="Verdana" w:eastAsia="Cambria" w:hAnsi="Verdana" w:cs="Cambria"/>
          <w:b/>
          <w:bCs/>
          <w:sz w:val="22"/>
        </w:rPr>
        <w:t xml:space="preserve">ANNEX </w:t>
      </w:r>
      <w:r w:rsidR="006A73D5" w:rsidRPr="00B225D4">
        <w:rPr>
          <w:rFonts w:ascii="Verdana" w:eastAsia="Cambria" w:hAnsi="Verdana" w:cs="Cambria"/>
          <w:b/>
          <w:bCs/>
          <w:sz w:val="22"/>
        </w:rPr>
        <w:t>11</w:t>
      </w:r>
    </w:p>
    <w:p w:rsidR="00B225D4" w:rsidRDefault="00B225D4" w:rsidP="00E06C61">
      <w:pPr>
        <w:ind w:left="260"/>
        <w:rPr>
          <w:rFonts w:ascii="Verdana" w:eastAsia="Calibri" w:hAnsi="Verdana" w:cs="Calibri"/>
          <w:bCs/>
        </w:rPr>
      </w:pPr>
    </w:p>
    <w:p w:rsidR="00B225D4" w:rsidRPr="00B225D4" w:rsidRDefault="00B225D4" w:rsidP="00E06C61">
      <w:pPr>
        <w:ind w:left="260"/>
        <w:rPr>
          <w:rFonts w:ascii="Verdana" w:eastAsia="Calibri" w:hAnsi="Verdana" w:cs="Calibri"/>
          <w:bCs/>
        </w:rPr>
      </w:pPr>
    </w:p>
    <w:p w:rsidR="00E06C61" w:rsidRDefault="00B225D4" w:rsidP="00B225D4">
      <w:pPr>
        <w:ind w:left="260"/>
        <w:jc w:val="center"/>
        <w:rPr>
          <w:rFonts w:ascii="Verdana" w:hAnsi="Verdana"/>
        </w:rPr>
      </w:pPr>
      <w:r w:rsidRPr="00B225D4">
        <w:rPr>
          <w:rFonts w:ascii="Verdana" w:hAnsi="Verdana"/>
          <w:b/>
          <w:bCs/>
        </w:rPr>
        <w:t xml:space="preserve">PROTOCOL </w:t>
      </w:r>
      <w:r w:rsidRPr="00B225D4">
        <w:rPr>
          <w:rFonts w:ascii="Verdana" w:hAnsi="Verdana"/>
        </w:rPr>
        <w:t xml:space="preserve">per a la incorporació, seguiment i verificació del compliment de la </w:t>
      </w:r>
      <w:r w:rsidRPr="00B225D4">
        <w:rPr>
          <w:rFonts w:ascii="Verdana" w:hAnsi="Verdana"/>
          <w:b/>
          <w:bCs/>
          <w:color w:val="FF0000"/>
        </w:rPr>
        <w:t xml:space="preserve">CONDICIÓ ESPECIAL D’EXECUCIÓ “MESURES CONTRA L’ASSETJAMENT SEXUAL I PER RAÓ DE SEXE” </w:t>
      </w:r>
      <w:r w:rsidRPr="00B225D4">
        <w:rPr>
          <w:rFonts w:ascii="Verdana" w:hAnsi="Verdana"/>
        </w:rPr>
        <w:t>en els contractes públics de l’Ajuntament de Barcelona</w:t>
      </w:r>
    </w:p>
    <w:p w:rsidR="00B225D4" w:rsidRDefault="00B225D4" w:rsidP="00B225D4">
      <w:pPr>
        <w:ind w:left="260"/>
        <w:jc w:val="center"/>
        <w:rPr>
          <w:rFonts w:ascii="Verdana" w:hAnsi="Verdana"/>
        </w:rPr>
      </w:pPr>
    </w:p>
    <w:p w:rsidR="00B225D4" w:rsidRDefault="00B225D4" w:rsidP="00B225D4">
      <w:pPr>
        <w:ind w:left="260"/>
        <w:jc w:val="center"/>
        <w:rPr>
          <w:rFonts w:ascii="Verdana" w:hAnsi="Verdana"/>
        </w:rPr>
      </w:pPr>
    </w:p>
    <w:p w:rsidR="00B225D4" w:rsidRPr="00B225D4" w:rsidRDefault="00B225D4" w:rsidP="00B225D4">
      <w:pPr>
        <w:ind w:left="260"/>
        <w:jc w:val="center"/>
        <w:rPr>
          <w:rFonts w:ascii="Verdana" w:hAnsi="Verdana"/>
        </w:rPr>
      </w:pPr>
    </w:p>
    <w:p w:rsidR="00E06C61" w:rsidRPr="00B225D4" w:rsidRDefault="00E06C61" w:rsidP="00E06C61">
      <w:pPr>
        <w:spacing w:line="20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  <w:r w:rsidRPr="00B225D4">
        <w:rPr>
          <w:rFonts w:ascii="Verdana" w:eastAsia="Calibri" w:hAnsi="Verdana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E319A" wp14:editId="2D519DB7">
                <wp:simplePos x="0" y="0"/>
                <wp:positionH relativeFrom="column">
                  <wp:posOffset>152400</wp:posOffset>
                </wp:positionH>
                <wp:positionV relativeFrom="paragraph">
                  <wp:posOffset>120650</wp:posOffset>
                </wp:positionV>
                <wp:extent cx="5562600" cy="3093720"/>
                <wp:effectExtent l="0" t="0" r="19050" b="11430"/>
                <wp:wrapNone/>
                <wp:docPr id="30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5D4" w:rsidRDefault="00B225D4" w:rsidP="00E06C61">
                            <w:pPr>
                              <w:ind w:left="260"/>
                              <w:rPr>
                                <w:rFonts w:asciiTheme="majorHAnsi" w:eastAsia="Calibri" w:hAnsiTheme="majorHAnsi" w:cs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B225D4" w:rsidRPr="0014688D" w:rsidRDefault="00B225D4" w:rsidP="00E06C61">
                            <w:pPr>
                              <w:ind w:left="260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4688D">
                              <w:rPr>
                                <w:rFonts w:asciiTheme="majorHAnsi" w:eastAsia="Calibri" w:hAnsiTheme="majorHAnsi" w:cs="Calibri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Model de clàusula:</w:t>
                            </w:r>
                          </w:p>
                          <w:p w:rsidR="00B225D4" w:rsidRPr="0014688D" w:rsidRDefault="00B225D4" w:rsidP="00E06C61">
                            <w:pPr>
                              <w:spacing w:line="169" w:lineRule="exact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B225D4" w:rsidRPr="00F21344" w:rsidRDefault="00B225D4" w:rsidP="00E06C61">
                            <w:pPr>
                              <w:spacing w:line="232" w:lineRule="auto"/>
                              <w:ind w:left="260"/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  <w:t>L’empresa contractista, en el termini de deu dies posteriors a la data de formalització del contracte, ha de presentar a la persona responsable del contracte el Protocol o un document que detalli les mesures per prevenir i abordar l’assetjament sexual i l’assetjament per raó de sexe en relació amb el personal adscrit a l’execució del contracte. Aquestes mesures han de garantir, com a mínim, la formació del personal i la designació de persones de referència que vetllin per un espai de treball lliure de violències masclistes.</w:t>
                            </w:r>
                          </w:p>
                          <w:p w:rsidR="00B225D4" w:rsidRPr="00F21344" w:rsidRDefault="00B225D4" w:rsidP="00E06C61">
                            <w:pPr>
                              <w:spacing w:line="232" w:lineRule="auto"/>
                              <w:ind w:left="260"/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225D4" w:rsidRPr="00F21344" w:rsidRDefault="00B225D4" w:rsidP="00E06C61">
                            <w:pPr>
                              <w:spacing w:line="232" w:lineRule="auto"/>
                              <w:ind w:left="260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  <w:t>L’empresa contractista ha d’aplicar mesures de protecció especifica de les persones professionals contra l’assetjament sexual i per raó de sexe que aquestes puguin patir per part de les persones usuàries, així com garantir la capacitació del personal en la detecció i abordatge de les situacions d’assetjament que puguin patir les persones usuàries finals.</w:t>
                            </w: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</w:p>
                          <w:p w:rsidR="00B225D4" w:rsidRPr="00F21344" w:rsidRDefault="00B225D4" w:rsidP="00E06C61">
                            <w:pPr>
                              <w:spacing w:line="173" w:lineRule="exact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B225D4" w:rsidRPr="00F21344" w:rsidRDefault="00B225D4" w:rsidP="00E06C61">
                            <w:pPr>
                              <w:autoSpaceDE w:val="0"/>
                              <w:adjustRightInd w:val="0"/>
                              <w:ind w:left="284"/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  <w:t>Si l’empresa motiva les raons per no poder aportar aquesta documentació en el termini atorgat, rebrà les indicacions i l’assessorament municipal i se li podrà concedir un nou termini perquè aporti la informació de les pràctiques requerides. L’incompliment d’aportació del Protocol o document que detalli les mesures per prevenir i abordar l’assetjament sexual i l’assetjament per raó de sexe, després de rebre aquest assessorament, suposarà la imposició d’una sanció econòmica d’un 1% del preu del contracte, que s’incrementarà mensualment fins a un màxim del 10% del preu.</w:t>
                            </w:r>
                          </w:p>
                          <w:p w:rsidR="00B225D4" w:rsidRPr="00F21344" w:rsidRDefault="00B225D4" w:rsidP="00E06C61">
                            <w:pPr>
                              <w:autoSpaceDE w:val="0"/>
                              <w:adjustRightInd w:val="0"/>
                              <w:ind w:left="284"/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B225D4" w:rsidRPr="00F21344" w:rsidRDefault="00B225D4" w:rsidP="00E06C61">
                            <w:pPr>
                              <w:autoSpaceDE w:val="0"/>
                              <w:adjustRightInd w:val="0"/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</w:rPr>
                              <w:t>---------------------------------------------------</w:t>
                            </w:r>
                          </w:p>
                          <w:p w:rsidR="00B225D4" w:rsidRPr="00F21344" w:rsidRDefault="00B225D4" w:rsidP="00E06C61">
                            <w:pPr>
                              <w:spacing w:line="227" w:lineRule="auto"/>
                              <w:ind w:left="260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  <w:t xml:space="preserve">3 </w:t>
                            </w:r>
                            <w:r w:rsidRPr="00F21344">
                              <w:rPr>
                                <w:rFonts w:asciiTheme="majorHAnsi" w:hAnsiTheme="majorHAnsi" w:cs="Cambria,Italic"/>
                                <w:i/>
                                <w:iCs/>
                                <w:sz w:val="16"/>
                                <w:szCs w:val="16"/>
                              </w:rPr>
                              <w:t>Paràgraf opcional per als contractes de serveis en què la prestació estigui destinada a persones físiques.</w:t>
                            </w:r>
                          </w:p>
                          <w:p w:rsidR="00B225D4" w:rsidRPr="0014688D" w:rsidRDefault="00B225D4" w:rsidP="00E06C6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:rsidR="00B225D4" w:rsidRPr="0014688D" w:rsidRDefault="00B225D4" w:rsidP="00E06C61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4688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---------------------------------------------------</w:t>
                            </w:r>
                          </w:p>
                          <w:p w:rsidR="00B225D4" w:rsidRPr="0014688D" w:rsidRDefault="00B225D4" w:rsidP="00E06C61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4688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  <w:vertAlign w:val="superscript"/>
                              </w:rPr>
                              <w:t>3</w:t>
                            </w:r>
                            <w:r w:rsidRPr="0014688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Paràgraf opcional per als contractes de serveis en què la prestació estigui destinada a persones físiques.</w:t>
                            </w:r>
                          </w:p>
                          <w:p w:rsidR="00B225D4" w:rsidRPr="0014688D" w:rsidRDefault="00B225D4" w:rsidP="00E06C61">
                            <w:pPr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14688D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225D4" w:rsidRPr="0014688D" w:rsidRDefault="00B225D4" w:rsidP="00E06C61">
                            <w:pPr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12pt;margin-top:9.5pt;width:438pt;height:2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">
                <v:textbox>
                  <w:txbxContent>
                    <w:p w:rsidR="00B225D4" w:rsidRDefault="00B225D4" w:rsidP="00E06C61">
                      <w:pPr>
                        <w:ind w:left="260"/>
                        <w:rPr>
                          <w:rFonts w:asciiTheme="majorHAnsi" w:eastAsia="Calibri" w:hAnsiTheme="majorHAnsi" w:cs="Calibri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</w:p>
                    <w:p w:rsidR="00B225D4" w:rsidRPr="0014688D" w:rsidRDefault="00B225D4" w:rsidP="00E06C61">
                      <w:pPr>
                        <w:ind w:left="260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4688D">
                        <w:rPr>
                          <w:rFonts w:asciiTheme="majorHAnsi" w:eastAsia="Calibri" w:hAnsiTheme="majorHAnsi" w:cs="Calibri"/>
                          <w:b/>
                          <w:bCs/>
                          <w:i/>
                          <w:sz w:val="18"/>
                          <w:szCs w:val="18"/>
                        </w:rPr>
                        <w:t>Model de clàusula:</w:t>
                      </w:r>
                    </w:p>
                    <w:p w:rsidR="00B225D4" w:rsidRPr="0014688D" w:rsidRDefault="00B225D4" w:rsidP="00E06C61">
                      <w:pPr>
                        <w:spacing w:line="169" w:lineRule="exact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:rsidR="00B225D4" w:rsidRPr="00F21344" w:rsidRDefault="00B225D4" w:rsidP="00E06C61">
                      <w:pPr>
                        <w:spacing w:line="232" w:lineRule="auto"/>
                        <w:ind w:left="260"/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</w:pP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  <w:t>L’empresa contractista, en el termini de deu dies posteriors a la data de formalització del contracte, ha de presentar a la persona responsable del contracte el Protocol o un document que detalli les mesures per prevenir i abordar l’assetjament sexual i l’assetjament per raó de sexe en relació amb el personal adscrit a l’execució del contracte. Aquestes mesures han de garantir, com a mínim, la formació del personal i la designació de persones de referència que vetllin per un espai de treball lliure de violències masclistes.</w:t>
                      </w:r>
                    </w:p>
                    <w:p w:rsidR="00B225D4" w:rsidRPr="00F21344" w:rsidRDefault="00B225D4" w:rsidP="00E06C61">
                      <w:pPr>
                        <w:spacing w:line="232" w:lineRule="auto"/>
                        <w:ind w:left="260"/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225D4" w:rsidRPr="00F21344" w:rsidRDefault="00B225D4" w:rsidP="00E06C61">
                      <w:pPr>
                        <w:spacing w:line="232" w:lineRule="auto"/>
                        <w:ind w:left="260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  <w:t>L’empresa contractista ha d’aplicar mesures de protecció especifica de les persones professionals contra l’assetjament sexual i per raó de sexe que aquestes puguin patir per part de les persones usuàries, així com garantir la capacitació del personal en la detecció i abordatge de les situacions d’assetjament que puguin patir les persones usuàries finals.</w:t>
                      </w: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>3</w:t>
                      </w:r>
                    </w:p>
                    <w:p w:rsidR="00B225D4" w:rsidRPr="00F21344" w:rsidRDefault="00B225D4" w:rsidP="00E06C61">
                      <w:pPr>
                        <w:spacing w:line="173" w:lineRule="exact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:rsidR="00B225D4" w:rsidRPr="00F21344" w:rsidRDefault="00B225D4" w:rsidP="00E06C61">
                      <w:pPr>
                        <w:autoSpaceDE w:val="0"/>
                        <w:adjustRightInd w:val="0"/>
                        <w:ind w:left="284"/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</w:pP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  <w:t>Si l’empresa motiva les raons per no poder aportar aquesta documentació en el termini atorgat, rebrà les indicacions i l’assessorament municipal i se li podrà concedir un nou termini perquè aporti la informació de les pràctiques requerides. L’incompliment d’aportació del Protocol o document que detalli les mesures per prevenir i abordar l’assetjament sexual i l’assetjament per raó de sexe, després de rebre aquest assessorament, suposarà la imposició d’una sanció econòmica d’un 1% del preu del contracte, que s’incrementarà mensualment fins a un màxim del 10% del preu.</w:t>
                      </w:r>
                    </w:p>
                    <w:p w:rsidR="00B225D4" w:rsidRPr="00F21344" w:rsidRDefault="00B225D4" w:rsidP="00E06C61">
                      <w:pPr>
                        <w:autoSpaceDE w:val="0"/>
                        <w:adjustRightInd w:val="0"/>
                        <w:ind w:left="284"/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B225D4" w:rsidRPr="00F21344" w:rsidRDefault="00B225D4" w:rsidP="00E06C61">
                      <w:pPr>
                        <w:autoSpaceDE w:val="0"/>
                        <w:adjustRightInd w:val="0"/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</w:pP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</w:rPr>
                        <w:t>---------------------------------------------------</w:t>
                      </w:r>
                    </w:p>
                    <w:p w:rsidR="00B225D4" w:rsidRPr="00F21344" w:rsidRDefault="00B225D4" w:rsidP="00E06C61">
                      <w:pPr>
                        <w:spacing w:line="227" w:lineRule="auto"/>
                        <w:ind w:left="260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8"/>
                          <w:szCs w:val="18"/>
                          <w:vertAlign w:val="superscript"/>
                        </w:rPr>
                        <w:t xml:space="preserve">3 </w:t>
                      </w:r>
                      <w:r w:rsidRPr="00F21344">
                        <w:rPr>
                          <w:rFonts w:asciiTheme="majorHAnsi" w:hAnsiTheme="majorHAnsi" w:cs="Cambria,Italic"/>
                          <w:i/>
                          <w:iCs/>
                          <w:sz w:val="16"/>
                          <w:szCs w:val="16"/>
                        </w:rPr>
                        <w:t>Paràgraf opcional per als contractes de serveis en què la prestació estigui destinada a persones físiques.</w:t>
                      </w:r>
                    </w:p>
                    <w:p w:rsidR="00B225D4" w:rsidRPr="0014688D" w:rsidRDefault="00B225D4" w:rsidP="00E06C61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:rsidR="00B225D4" w:rsidRPr="0014688D" w:rsidRDefault="00B225D4" w:rsidP="00E06C61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4688D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---------------------------------------------------</w:t>
                      </w:r>
                    </w:p>
                    <w:p w:rsidR="00B225D4" w:rsidRPr="0014688D" w:rsidRDefault="00B225D4" w:rsidP="00E06C61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4688D">
                        <w:rPr>
                          <w:rFonts w:asciiTheme="majorHAnsi" w:hAnsiTheme="majorHAnsi"/>
                          <w:i/>
                          <w:sz w:val="18"/>
                          <w:szCs w:val="18"/>
                          <w:vertAlign w:val="superscript"/>
                        </w:rPr>
                        <w:t>3</w:t>
                      </w:r>
                      <w:r w:rsidRPr="0014688D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Paràgraf opcional per als contractes de serveis en què la prestació estigui destinada a persones físiques.</w:t>
                      </w:r>
                    </w:p>
                    <w:p w:rsidR="00B225D4" w:rsidRPr="0014688D" w:rsidRDefault="00B225D4" w:rsidP="00E06C61">
                      <w:pPr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14688D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:rsidR="00B225D4" w:rsidRPr="0014688D" w:rsidRDefault="00B225D4" w:rsidP="00E06C61">
                      <w:pPr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spacing w:line="276" w:lineRule="exact"/>
        <w:rPr>
          <w:rFonts w:ascii="Verdana" w:hAnsi="Verdana"/>
        </w:rPr>
      </w:pPr>
    </w:p>
    <w:p w:rsidR="00E06C61" w:rsidRPr="00B225D4" w:rsidRDefault="00E06C61" w:rsidP="00E06C61">
      <w:pPr>
        <w:ind w:left="260"/>
        <w:rPr>
          <w:rFonts w:ascii="Verdana" w:eastAsia="Calibri" w:hAnsi="Verdana" w:cs="Calibri"/>
          <w:b/>
          <w:bCs/>
          <w:i/>
        </w:rPr>
      </w:pPr>
    </w:p>
    <w:p w:rsidR="00E06C61" w:rsidRPr="00B225D4" w:rsidRDefault="00E06C61" w:rsidP="00E06C61">
      <w:pPr>
        <w:spacing w:line="385" w:lineRule="exact"/>
        <w:rPr>
          <w:rFonts w:ascii="Verdana" w:hAnsi="Verdana"/>
        </w:rPr>
      </w:pPr>
    </w:p>
    <w:p w:rsidR="00E06C61" w:rsidRPr="00B225D4" w:rsidRDefault="00E06C61" w:rsidP="00E06C61">
      <w:pPr>
        <w:spacing w:line="385" w:lineRule="exact"/>
        <w:rPr>
          <w:rFonts w:ascii="Verdana" w:hAnsi="Verdana"/>
        </w:rPr>
      </w:pPr>
    </w:p>
    <w:p w:rsidR="00E06C61" w:rsidRPr="00B225D4" w:rsidRDefault="00E06C61" w:rsidP="00E06C61">
      <w:pPr>
        <w:spacing w:line="385" w:lineRule="exact"/>
        <w:rPr>
          <w:rFonts w:ascii="Verdana" w:hAnsi="Verdana"/>
        </w:rPr>
      </w:pPr>
    </w:p>
    <w:p w:rsidR="00E06C61" w:rsidRPr="00B225D4" w:rsidRDefault="00E06C61" w:rsidP="00E06C61">
      <w:pPr>
        <w:spacing w:line="273" w:lineRule="exact"/>
        <w:rPr>
          <w:rFonts w:ascii="Verdana" w:hAnsi="Verdana"/>
        </w:rPr>
      </w:pPr>
    </w:p>
    <w:p w:rsidR="00E06C61" w:rsidRPr="00B225D4" w:rsidRDefault="00E06C61" w:rsidP="00E06C61">
      <w:pPr>
        <w:ind w:left="260"/>
        <w:rPr>
          <w:rFonts w:ascii="Verdana" w:eastAsia="Calibri" w:hAnsi="Verdana" w:cs="Calibri"/>
        </w:rPr>
      </w:pPr>
    </w:p>
    <w:p w:rsidR="00E06C61" w:rsidRPr="00B225D4" w:rsidRDefault="00E06C61" w:rsidP="00E06C61">
      <w:pPr>
        <w:ind w:left="260"/>
        <w:rPr>
          <w:rFonts w:ascii="Verdana" w:eastAsia="Calibri" w:hAnsi="Verdana" w:cs="Calibri"/>
        </w:rPr>
      </w:pPr>
    </w:p>
    <w:p w:rsidR="00E06C61" w:rsidRPr="00B225D4" w:rsidRDefault="00E06C61" w:rsidP="00E06C61">
      <w:pPr>
        <w:ind w:left="260"/>
        <w:rPr>
          <w:rFonts w:ascii="Verdana" w:eastAsia="Calibri" w:hAnsi="Verdana" w:cs="Calibri"/>
        </w:rPr>
      </w:pPr>
    </w:p>
    <w:p w:rsidR="00E06C61" w:rsidRPr="00B225D4" w:rsidRDefault="00E06C61" w:rsidP="00E06C61">
      <w:pPr>
        <w:ind w:left="260"/>
        <w:rPr>
          <w:rFonts w:ascii="Verdana" w:eastAsia="Calibri" w:hAnsi="Verdana" w:cs="Calibri"/>
        </w:rPr>
      </w:pPr>
    </w:p>
    <w:p w:rsidR="00B225D4" w:rsidRDefault="00B225D4" w:rsidP="00B225D4">
      <w:pPr>
        <w:pStyle w:val="Default"/>
      </w:pPr>
    </w:p>
    <w:p w:rsidR="00B225D4" w:rsidRPr="00B225D4" w:rsidRDefault="00B225D4" w:rsidP="00B225D4">
      <w:pPr>
        <w:pStyle w:val="Default"/>
        <w:jc w:val="center"/>
        <w:rPr>
          <w:sz w:val="20"/>
          <w:szCs w:val="20"/>
        </w:rPr>
      </w:pPr>
      <w:r w:rsidRPr="00B225D4">
        <w:rPr>
          <w:sz w:val="20"/>
          <w:szCs w:val="20"/>
        </w:rPr>
        <w:t xml:space="preserve">Procediment d’aplicació per a </w:t>
      </w:r>
    </w:p>
    <w:p w:rsidR="00B225D4" w:rsidRPr="00B225D4" w:rsidRDefault="00B225D4" w:rsidP="00B225D4">
      <w:pPr>
        <w:pStyle w:val="Default"/>
        <w:jc w:val="center"/>
        <w:rPr>
          <w:b/>
          <w:bCs/>
          <w:sz w:val="20"/>
          <w:szCs w:val="20"/>
        </w:rPr>
      </w:pPr>
      <w:r w:rsidRPr="00B225D4">
        <w:rPr>
          <w:b/>
          <w:bCs/>
          <w:sz w:val="20"/>
          <w:szCs w:val="20"/>
        </w:rPr>
        <w:t>Empreses contractistes</w:t>
      </w:r>
    </w:p>
    <w:p w:rsidR="00B225D4" w:rsidRDefault="00B225D4" w:rsidP="00B225D4">
      <w:pPr>
        <w:pStyle w:val="Default"/>
        <w:jc w:val="center"/>
        <w:rPr>
          <w:sz w:val="23"/>
          <w:szCs w:val="23"/>
          <w:u w:val="single"/>
        </w:rPr>
      </w:pPr>
    </w:p>
    <w:p w:rsidR="00B225D4" w:rsidRPr="00B225D4" w:rsidRDefault="00B225D4" w:rsidP="00B225D4">
      <w:pPr>
        <w:pStyle w:val="Default"/>
        <w:jc w:val="center"/>
        <w:rPr>
          <w:sz w:val="23"/>
          <w:szCs w:val="23"/>
          <w:u w:val="single"/>
        </w:rPr>
      </w:pPr>
    </w:p>
    <w:p w:rsidR="00B225D4" w:rsidRPr="00B225D4" w:rsidRDefault="00B225D4" w:rsidP="00B225D4">
      <w:pPr>
        <w:autoSpaceDE w:val="0"/>
        <w:adjustRightInd w:val="0"/>
        <w:rPr>
          <w:b/>
          <w:bCs/>
        </w:rPr>
      </w:pPr>
      <w:r w:rsidRPr="00B225D4">
        <w:rPr>
          <w:rFonts w:ascii="Verdana" w:hAnsi="Verdana" w:cs="Cambria"/>
          <w:b/>
          <w:u w:val="single"/>
        </w:rPr>
        <w:t>1. Fase d’execució del contracte</w:t>
      </w:r>
      <w:r w:rsidRPr="00B225D4">
        <w:rPr>
          <w:b/>
          <w:bCs/>
          <w:u w:val="single"/>
        </w:rPr>
        <w:t xml:space="preserve">: </w:t>
      </w:r>
    </w:p>
    <w:p w:rsidR="00B225D4" w:rsidRDefault="00B225D4" w:rsidP="00B225D4">
      <w:pPr>
        <w:spacing w:line="218" w:lineRule="auto"/>
        <w:rPr>
          <w:b/>
          <w:bCs/>
        </w:rPr>
      </w:pPr>
    </w:p>
    <w:p w:rsidR="00E06C61" w:rsidRPr="00B225D4" w:rsidRDefault="00E06C61" w:rsidP="00B225D4">
      <w:pPr>
        <w:spacing w:line="218" w:lineRule="auto"/>
        <w:rPr>
          <w:rFonts w:ascii="Verdana" w:hAnsi="Verdana"/>
        </w:rPr>
      </w:pPr>
      <w:r w:rsidRPr="00B225D4">
        <w:rPr>
          <w:rFonts w:ascii="Verdana" w:eastAsia="Calibri" w:hAnsi="Verdana" w:cs="Calibri"/>
        </w:rPr>
        <w:t>En un termini màxim de 10 dies naturals posteriors a la data de formalització del contracte, l’empresa contractista aportarà una declaració signada conforme aporta i annexa:</w:t>
      </w:r>
    </w:p>
    <w:p w:rsidR="00E06C61" w:rsidRPr="00B225D4" w:rsidRDefault="00E06C61" w:rsidP="00E06C61">
      <w:pPr>
        <w:spacing w:line="170" w:lineRule="exact"/>
        <w:rPr>
          <w:rFonts w:ascii="Verdana" w:hAnsi="Verdana"/>
        </w:rPr>
      </w:pPr>
    </w:p>
    <w:p w:rsidR="00E06C61" w:rsidRPr="00B225D4" w:rsidRDefault="00E06C61" w:rsidP="00E06C61">
      <w:pPr>
        <w:tabs>
          <w:tab w:val="left" w:pos="709"/>
        </w:tabs>
        <w:spacing w:line="225" w:lineRule="auto"/>
        <w:ind w:left="709" w:hanging="283"/>
        <w:rPr>
          <w:rFonts w:ascii="Verdana" w:hAnsi="Verdana"/>
        </w:rPr>
      </w:pPr>
      <w:r w:rsidRPr="00B225D4">
        <w:rPr>
          <w:rFonts w:ascii="Verdana" w:eastAsia="Calibri" w:hAnsi="Verdana" w:cs="Calibri"/>
        </w:rPr>
        <w:t>a.</w:t>
      </w:r>
      <w:r w:rsidRPr="00B225D4">
        <w:rPr>
          <w:rFonts w:ascii="Verdana" w:eastAsia="Calibri" w:hAnsi="Verdana" w:cs="Calibri"/>
        </w:rPr>
        <w:tab/>
        <w:t xml:space="preserve">un </w:t>
      </w:r>
      <w:r w:rsidRPr="00B225D4">
        <w:rPr>
          <w:rFonts w:ascii="Verdana" w:eastAsia="Calibri" w:hAnsi="Verdana" w:cs="Calibri"/>
          <w:b/>
          <w:bCs/>
        </w:rPr>
        <w:t>Pla d’igualtat</w:t>
      </w:r>
      <w:r w:rsidRPr="00B225D4">
        <w:rPr>
          <w:rFonts w:ascii="Verdana" w:eastAsia="Calibri" w:hAnsi="Verdana" w:cs="Calibri"/>
        </w:rPr>
        <w:t xml:space="preserve"> </w:t>
      </w:r>
      <w:r w:rsidRPr="00B225D4">
        <w:rPr>
          <w:rFonts w:ascii="Verdana" w:hAnsi="Verdana" w:cs="Cambria"/>
        </w:rPr>
        <w:t>que incorpora mesures per a prevenir i abordar l’assetjament sexual i l’assetjament per raó de sexe en relació amb el personal adscrit a l’execució del contracte, o bé</w:t>
      </w:r>
      <w:r w:rsidRPr="00B225D4">
        <w:rPr>
          <w:rFonts w:ascii="Verdana" w:eastAsia="Calibri" w:hAnsi="Verdana" w:cs="Calibri"/>
        </w:rPr>
        <w:t>...</w:t>
      </w:r>
    </w:p>
    <w:p w:rsidR="00E06C61" w:rsidRPr="00B225D4" w:rsidRDefault="00E06C61" w:rsidP="00E06C61">
      <w:pPr>
        <w:tabs>
          <w:tab w:val="left" w:pos="709"/>
        </w:tabs>
        <w:spacing w:line="171" w:lineRule="exact"/>
        <w:ind w:left="709" w:hanging="283"/>
        <w:rPr>
          <w:rFonts w:ascii="Verdana" w:hAnsi="Verdana"/>
        </w:rPr>
      </w:pPr>
    </w:p>
    <w:p w:rsidR="00E06C61" w:rsidRPr="00B225D4" w:rsidRDefault="00E06C61" w:rsidP="00E06C61">
      <w:pPr>
        <w:numPr>
          <w:ilvl w:val="0"/>
          <w:numId w:val="1"/>
        </w:numPr>
        <w:tabs>
          <w:tab w:val="left" w:pos="709"/>
        </w:tabs>
        <w:suppressAutoHyphens w:val="0"/>
        <w:autoSpaceDN/>
        <w:spacing w:line="218" w:lineRule="auto"/>
        <w:ind w:left="709" w:hanging="283"/>
        <w:jc w:val="left"/>
        <w:textAlignment w:val="auto"/>
        <w:rPr>
          <w:rFonts w:ascii="Verdana" w:eastAsia="Calibri" w:hAnsi="Verdana" w:cs="Calibri"/>
        </w:rPr>
      </w:pPr>
      <w:r w:rsidRPr="00B225D4">
        <w:rPr>
          <w:rFonts w:ascii="Verdana" w:eastAsia="Calibri" w:hAnsi="Verdana" w:cs="Calibri"/>
        </w:rPr>
        <w:t xml:space="preserve">un </w:t>
      </w:r>
      <w:r w:rsidRPr="00B225D4">
        <w:rPr>
          <w:rFonts w:ascii="Verdana" w:eastAsia="Calibri" w:hAnsi="Verdana" w:cs="Calibri"/>
          <w:b/>
          <w:bCs/>
        </w:rPr>
        <w:t>Protocol</w:t>
      </w:r>
      <w:r w:rsidRPr="00B225D4">
        <w:rPr>
          <w:rFonts w:ascii="Verdana" w:eastAsia="Calibri" w:hAnsi="Verdana" w:cs="Calibri"/>
        </w:rPr>
        <w:t xml:space="preserve"> </w:t>
      </w:r>
      <w:r w:rsidRPr="00B225D4">
        <w:rPr>
          <w:rFonts w:ascii="Verdana" w:hAnsi="Verdana" w:cs="Cambria"/>
        </w:rPr>
        <w:t>per a prevenir i abordar l’assetjament sexual i l’assetjament per raó de sexe en relació amb el personal adscrit a l’execució del contracte, o bé</w:t>
      </w:r>
      <w:r w:rsidRPr="00B225D4">
        <w:rPr>
          <w:rFonts w:ascii="Verdana" w:eastAsia="Calibri" w:hAnsi="Verdana" w:cs="Calibri"/>
        </w:rPr>
        <w:t>...</w:t>
      </w:r>
    </w:p>
    <w:p w:rsidR="00E06C61" w:rsidRPr="00B225D4" w:rsidRDefault="00E06C61" w:rsidP="00E06C61">
      <w:pPr>
        <w:tabs>
          <w:tab w:val="left" w:pos="709"/>
        </w:tabs>
        <w:spacing w:line="167" w:lineRule="exact"/>
        <w:ind w:left="709" w:hanging="283"/>
        <w:rPr>
          <w:rFonts w:ascii="Verdana" w:eastAsia="Calibri" w:hAnsi="Verdana" w:cs="Calibri"/>
        </w:rPr>
      </w:pPr>
    </w:p>
    <w:p w:rsidR="00E06C61" w:rsidRPr="00B225D4" w:rsidRDefault="00E06C61" w:rsidP="00E06C61">
      <w:pPr>
        <w:numPr>
          <w:ilvl w:val="0"/>
          <w:numId w:val="1"/>
        </w:numPr>
        <w:tabs>
          <w:tab w:val="left" w:pos="709"/>
        </w:tabs>
        <w:suppressAutoHyphens w:val="0"/>
        <w:autoSpaceDN/>
        <w:spacing w:line="225" w:lineRule="auto"/>
        <w:ind w:left="709" w:hanging="283"/>
        <w:textAlignment w:val="auto"/>
        <w:rPr>
          <w:rFonts w:ascii="Verdana" w:eastAsia="Calibri" w:hAnsi="Verdana" w:cs="Calibri"/>
        </w:rPr>
      </w:pPr>
      <w:r w:rsidRPr="00B225D4">
        <w:rPr>
          <w:rFonts w:ascii="Verdana" w:eastAsia="Calibri" w:hAnsi="Verdana" w:cs="Calibri"/>
        </w:rPr>
        <w:t xml:space="preserve">una </w:t>
      </w:r>
      <w:r w:rsidRPr="00B225D4">
        <w:rPr>
          <w:rFonts w:ascii="Verdana" w:eastAsia="Calibri" w:hAnsi="Verdana" w:cs="Calibri"/>
          <w:b/>
          <w:bCs/>
        </w:rPr>
        <w:t>descripció de les mesures concretes</w:t>
      </w:r>
      <w:r w:rsidRPr="00B225D4">
        <w:rPr>
          <w:rFonts w:ascii="Verdana" w:eastAsia="Calibri" w:hAnsi="Verdana" w:cs="Calibri"/>
        </w:rPr>
        <w:t xml:space="preserve"> </w:t>
      </w:r>
      <w:r w:rsidRPr="00B225D4">
        <w:rPr>
          <w:rFonts w:ascii="Verdana" w:hAnsi="Verdana" w:cs="Cambria"/>
        </w:rPr>
        <w:t>per a prevenir i abordar l’assetjament sexual i l’assetjament per raó de sexe en relació amb el personal adscrit a l’execució del contracte</w:t>
      </w:r>
      <w:r w:rsidRPr="00B225D4">
        <w:rPr>
          <w:rFonts w:ascii="Verdana" w:eastAsia="Calibri" w:hAnsi="Verdana" w:cs="Calibri"/>
        </w:rPr>
        <w:t>.</w:t>
      </w:r>
    </w:p>
    <w:p w:rsidR="00E06C61" w:rsidRPr="00B225D4" w:rsidRDefault="00E06C61" w:rsidP="00E06C61">
      <w:pPr>
        <w:tabs>
          <w:tab w:val="left" w:pos="709"/>
        </w:tabs>
        <w:spacing w:line="171" w:lineRule="exact"/>
        <w:ind w:left="709" w:hanging="283"/>
        <w:rPr>
          <w:rFonts w:ascii="Verdana" w:hAnsi="Verdana"/>
        </w:rPr>
      </w:pPr>
    </w:p>
    <w:p w:rsidR="00B225D4" w:rsidRDefault="00B225D4" w:rsidP="00E06C61">
      <w:pPr>
        <w:tabs>
          <w:tab w:val="left" w:pos="709"/>
        </w:tabs>
        <w:autoSpaceDE w:val="0"/>
        <w:adjustRightInd w:val="0"/>
        <w:ind w:left="709"/>
        <w:rPr>
          <w:rFonts w:ascii="Verdana" w:hAnsi="Verdana" w:cs="Cambria"/>
        </w:rPr>
      </w:pPr>
    </w:p>
    <w:p w:rsidR="00B225D4" w:rsidRDefault="00B225D4" w:rsidP="00E06C61">
      <w:pPr>
        <w:tabs>
          <w:tab w:val="left" w:pos="709"/>
        </w:tabs>
        <w:autoSpaceDE w:val="0"/>
        <w:adjustRightInd w:val="0"/>
        <w:ind w:left="709"/>
        <w:rPr>
          <w:rFonts w:ascii="Verdana" w:hAnsi="Verdana" w:cs="Cambria"/>
        </w:rPr>
      </w:pPr>
    </w:p>
    <w:p w:rsidR="00E06C61" w:rsidRPr="00B225D4" w:rsidRDefault="00E06C61" w:rsidP="00E06C61">
      <w:pPr>
        <w:tabs>
          <w:tab w:val="left" w:pos="709"/>
        </w:tabs>
        <w:autoSpaceDE w:val="0"/>
        <w:adjustRightInd w:val="0"/>
        <w:ind w:left="709"/>
        <w:rPr>
          <w:rFonts w:ascii="Verdana" w:hAnsi="Verdana" w:cs="Cambria"/>
        </w:rPr>
      </w:pPr>
      <w:r w:rsidRPr="00B225D4">
        <w:rPr>
          <w:rFonts w:ascii="Verdana" w:hAnsi="Verdana" w:cs="Cambria"/>
        </w:rPr>
        <w:t>Certificant que el document presentat compleix amb els requeriments quant a la inclusió, com a mínim, de les següents mesures:</w:t>
      </w:r>
    </w:p>
    <w:p w:rsidR="00E06C61" w:rsidRPr="00B225D4" w:rsidRDefault="00E06C61" w:rsidP="00E06C61">
      <w:pPr>
        <w:autoSpaceDE w:val="0"/>
        <w:adjustRightInd w:val="0"/>
        <w:ind w:left="1134"/>
        <w:rPr>
          <w:rFonts w:ascii="Verdana" w:hAnsi="Verdana" w:cs="Cambria"/>
        </w:rPr>
      </w:pPr>
    </w:p>
    <w:p w:rsidR="00E06C61" w:rsidRPr="00B225D4" w:rsidRDefault="00E06C61" w:rsidP="00E06C61">
      <w:pPr>
        <w:autoSpaceDE w:val="0"/>
        <w:adjustRightInd w:val="0"/>
        <w:ind w:left="1134"/>
        <w:rPr>
          <w:rFonts w:ascii="Verdana" w:hAnsi="Verdana" w:cs="Cambria"/>
        </w:rPr>
      </w:pPr>
      <w:r w:rsidRPr="00B225D4">
        <w:rPr>
          <w:rFonts w:ascii="Verdana" w:hAnsi="Verdana" w:cs="Cambria"/>
        </w:rPr>
        <w:t>- Accions formatives que garanteixin la capacitació del personal en matèria d’identificació, prevenció i abordatge de les situacions d’assetjament.</w:t>
      </w:r>
    </w:p>
    <w:p w:rsidR="00E06C61" w:rsidRPr="00B225D4" w:rsidRDefault="00E06C61" w:rsidP="00E06C61">
      <w:pPr>
        <w:autoSpaceDE w:val="0"/>
        <w:adjustRightInd w:val="0"/>
        <w:ind w:left="1134"/>
        <w:rPr>
          <w:rFonts w:ascii="Verdana" w:hAnsi="Verdana" w:cs="Cambria"/>
        </w:rPr>
      </w:pPr>
    </w:p>
    <w:p w:rsidR="00E06C61" w:rsidRPr="00B225D4" w:rsidRDefault="00E06C61" w:rsidP="00E06C61">
      <w:pPr>
        <w:autoSpaceDE w:val="0"/>
        <w:adjustRightInd w:val="0"/>
        <w:ind w:left="1134"/>
        <w:rPr>
          <w:rFonts w:ascii="Verdana" w:hAnsi="Verdana" w:cs="Cambria"/>
        </w:rPr>
      </w:pPr>
      <w:r w:rsidRPr="00B225D4">
        <w:rPr>
          <w:rFonts w:ascii="Verdana" w:hAnsi="Verdana" w:cs="Cambria"/>
        </w:rPr>
        <w:t>- Designació d’una o més persones referents que vetllin per un espai de treball lliure de violències masclistes, indicant, en aquest cas, el nom i cognoms de les mateixes i les seves dades de contacte.</w:t>
      </w:r>
    </w:p>
    <w:p w:rsidR="00E06C61" w:rsidRPr="00B225D4" w:rsidRDefault="00E06C61" w:rsidP="00E06C61">
      <w:pPr>
        <w:autoSpaceDE w:val="0"/>
        <w:adjustRightInd w:val="0"/>
        <w:rPr>
          <w:rFonts w:ascii="Verdana" w:hAnsi="Verdana" w:cs="Cambria"/>
        </w:rPr>
      </w:pPr>
    </w:p>
    <w:p w:rsidR="00E06C61" w:rsidRPr="00B225D4" w:rsidRDefault="00E06C61" w:rsidP="00E06C61">
      <w:pPr>
        <w:autoSpaceDE w:val="0"/>
        <w:adjustRightInd w:val="0"/>
        <w:rPr>
          <w:rFonts w:ascii="Verdana" w:hAnsi="Verdana" w:cs="Cambria"/>
        </w:rPr>
      </w:pPr>
      <w:r w:rsidRPr="00B225D4">
        <w:rPr>
          <w:rFonts w:ascii="Verdana" w:hAnsi="Verdana" w:cs="Cambria"/>
        </w:rPr>
        <w:t>La declaració signada s’acompanyarà del Pla d’igualtat, Protocol o document que detalli les mesures per a prevenir i abordar l’assetjament sexual i per raó de sexe.</w:t>
      </w:r>
    </w:p>
    <w:p w:rsidR="00E06C61" w:rsidRPr="00B225D4" w:rsidRDefault="00E06C61" w:rsidP="00E06C61">
      <w:pPr>
        <w:spacing w:line="218" w:lineRule="auto"/>
        <w:rPr>
          <w:rFonts w:ascii="Verdana" w:hAnsi="Verdana" w:cs="Cambria"/>
        </w:rPr>
      </w:pPr>
    </w:p>
    <w:p w:rsidR="00E06C61" w:rsidRPr="00B225D4" w:rsidRDefault="00E06C61" w:rsidP="00E06C61">
      <w:pPr>
        <w:spacing w:line="218" w:lineRule="auto"/>
        <w:rPr>
          <w:rFonts w:ascii="Verdana" w:hAnsi="Verdana" w:cs="Cambria"/>
        </w:rPr>
      </w:pPr>
      <w:r w:rsidRPr="00B225D4">
        <w:rPr>
          <w:rFonts w:ascii="Verdana" w:hAnsi="Verdana" w:cs="Cambria"/>
        </w:rPr>
        <w:t>Si durant aquest termini l’empresa contractista té qualsevol dubte relacionat amb el compliment de la clàusula, pot adreçar-se al Servei d’Assessorament per la Igualtat i la gestió del Temps, prestat per la DSGPT en col·laboració amb l’Oficina d’Atenció a les Empreses de Barcelona Activa, a través del portal:</w:t>
      </w:r>
    </w:p>
    <w:p w:rsidR="00E06C61" w:rsidRPr="00B225D4" w:rsidRDefault="00E06C61" w:rsidP="00E06C61">
      <w:pPr>
        <w:spacing w:line="218" w:lineRule="auto"/>
        <w:rPr>
          <w:rFonts w:ascii="Verdana" w:hAnsi="Verdana" w:cs="Cambria"/>
        </w:rPr>
      </w:pPr>
    </w:p>
    <w:p w:rsidR="00E06C61" w:rsidRPr="00B225D4" w:rsidRDefault="009D2B1E" w:rsidP="00E06C61">
      <w:pPr>
        <w:spacing w:line="218" w:lineRule="auto"/>
        <w:rPr>
          <w:rFonts w:ascii="Verdana" w:eastAsia="Calibri" w:hAnsi="Verdana" w:cs="Calibri"/>
        </w:rPr>
      </w:pPr>
      <w:hyperlink r:id="rId8" w:history="1">
        <w:r w:rsidR="00E06C61" w:rsidRPr="00B225D4">
          <w:rPr>
            <w:rStyle w:val="Enlla"/>
            <w:rFonts w:ascii="Verdana" w:hAnsi="Verdana" w:cs="Cambria,Bold"/>
            <w:b/>
            <w:bCs/>
          </w:rPr>
          <w:t>https://empreses.barcelonactiva.cat/ca/web/es/servei-d-assessorament-per-la-igualtat</w:t>
        </w:r>
      </w:hyperlink>
    </w:p>
    <w:p w:rsidR="00E06C61" w:rsidRPr="00B225D4" w:rsidRDefault="00E06C61" w:rsidP="00E06C61">
      <w:pPr>
        <w:spacing w:line="218" w:lineRule="auto"/>
        <w:rPr>
          <w:rFonts w:ascii="Verdana" w:eastAsia="Calibri" w:hAnsi="Verdana" w:cs="Calibri"/>
        </w:rPr>
      </w:pPr>
    </w:p>
    <w:p w:rsidR="00E06C61" w:rsidRPr="00B225D4" w:rsidRDefault="00E06C61" w:rsidP="00E06C61">
      <w:pPr>
        <w:autoSpaceDE w:val="0"/>
        <w:adjustRightInd w:val="0"/>
        <w:rPr>
          <w:rFonts w:ascii="Verdana" w:hAnsi="Verdana" w:cs="Cambria"/>
        </w:rPr>
      </w:pPr>
      <w:r w:rsidRPr="00B225D4">
        <w:rPr>
          <w:rFonts w:ascii="Verdana" w:hAnsi="Verdana" w:cs="Cambria"/>
        </w:rPr>
        <w:t>En cas de no poder presentar la documentació en el termini establert, l’empresa contractista comunicarà el motiu a la Unitat Promotora (UP), que podrà derivar-la al Servei d’Assessorament per la Igualtat i la gestió del Temps. La UP informarà l’empresa dels passos a seguir, facilitant-li l’adreça d’accés al Servei. Quan l’aplicació informàtica estigui operativa, consignarà aquesta derivació i s’assegurarà d’adjuntar qualsevol documentació relacionada.</w:t>
      </w:r>
    </w:p>
    <w:p w:rsidR="00E06C61" w:rsidRPr="00B225D4" w:rsidRDefault="00E06C61" w:rsidP="00E06C61">
      <w:pPr>
        <w:autoSpaceDE w:val="0"/>
        <w:adjustRightInd w:val="0"/>
        <w:rPr>
          <w:rFonts w:ascii="Verdana" w:hAnsi="Verdana" w:cs="Cambria"/>
        </w:rPr>
      </w:pPr>
    </w:p>
    <w:p w:rsidR="00E06C61" w:rsidRPr="00B225D4" w:rsidRDefault="00E06C61" w:rsidP="00E06C61">
      <w:pPr>
        <w:autoSpaceDE w:val="0"/>
        <w:adjustRightInd w:val="0"/>
        <w:rPr>
          <w:rFonts w:ascii="Verdana" w:hAnsi="Verdana" w:cs="Cambria"/>
        </w:rPr>
      </w:pPr>
      <w:r w:rsidRPr="00B225D4">
        <w:rPr>
          <w:rFonts w:ascii="Verdana" w:hAnsi="Verdana" w:cs="Cambria"/>
        </w:rPr>
        <w:t>Si un cop rebudes les recomanacions i l’assessorament de la DSGPT, l’empresa persisteix en l’incompliment del requeriment, la UP determinarà i consignarà en l’aplicació, quan aquesta estigui operatiu, l’import de la sanció econòmica aplicada i el percentatge que representa sobre el preu del contracte.</w:t>
      </w:r>
    </w:p>
    <w:p w:rsidR="00E06C61" w:rsidRDefault="00E06C61" w:rsidP="00E06C61">
      <w:pPr>
        <w:autoSpaceDE w:val="0"/>
        <w:adjustRightInd w:val="0"/>
        <w:rPr>
          <w:rFonts w:ascii="Verdana" w:hAnsi="Verdana" w:cs="Cambria"/>
        </w:rPr>
      </w:pPr>
    </w:p>
    <w:p w:rsidR="00B225D4" w:rsidRPr="00B225D4" w:rsidRDefault="00B225D4" w:rsidP="00E06C61">
      <w:pPr>
        <w:autoSpaceDE w:val="0"/>
        <w:adjustRightInd w:val="0"/>
        <w:rPr>
          <w:rFonts w:ascii="Verdana" w:hAnsi="Verdana" w:cs="Cambria"/>
        </w:rPr>
      </w:pPr>
    </w:p>
    <w:p w:rsidR="00E06C61" w:rsidRPr="00B225D4" w:rsidRDefault="00B225D4" w:rsidP="00E06C61">
      <w:pPr>
        <w:autoSpaceDE w:val="0"/>
        <w:adjustRightInd w:val="0"/>
        <w:rPr>
          <w:rFonts w:ascii="Verdana" w:hAnsi="Verdana" w:cs="Cambria"/>
          <w:b/>
          <w:u w:val="single"/>
        </w:rPr>
      </w:pPr>
      <w:r w:rsidRPr="00B225D4">
        <w:rPr>
          <w:rFonts w:ascii="Verdana" w:hAnsi="Verdana" w:cs="Cambria"/>
          <w:b/>
          <w:u w:val="single"/>
        </w:rPr>
        <w:t>2</w:t>
      </w:r>
      <w:r w:rsidR="00E06C61" w:rsidRPr="00B225D4">
        <w:rPr>
          <w:rFonts w:ascii="Verdana" w:hAnsi="Verdana" w:cs="Cambria"/>
          <w:b/>
          <w:u w:val="single"/>
        </w:rPr>
        <w:t>. Fase prèvia a la finalització del contracte:</w:t>
      </w:r>
    </w:p>
    <w:p w:rsidR="00E06C61" w:rsidRPr="00B225D4" w:rsidRDefault="00E06C61" w:rsidP="00E06C61">
      <w:pPr>
        <w:autoSpaceDE w:val="0"/>
        <w:adjustRightInd w:val="0"/>
        <w:rPr>
          <w:rFonts w:ascii="Verdana" w:hAnsi="Verdana" w:cs="Cambria"/>
        </w:rPr>
      </w:pPr>
    </w:p>
    <w:p w:rsidR="00B225D4" w:rsidRDefault="00E06C61" w:rsidP="00E06C61">
      <w:pPr>
        <w:spacing w:line="218" w:lineRule="auto"/>
        <w:rPr>
          <w:rFonts w:ascii="Verdana" w:hAnsi="Verdana" w:cs="Cambria"/>
          <w:b/>
        </w:rPr>
      </w:pPr>
      <w:r w:rsidRPr="00B225D4">
        <w:rPr>
          <w:rFonts w:ascii="Verdana" w:hAnsi="Verdana" w:cs="Cambria"/>
        </w:rPr>
        <w:t xml:space="preserve">Aproximadament un mes abans de finalitzar el contracte, l’empresa adjudicatària presentarà a la UP, i consignarà en l’aplicació informàtica quan aquesta estigui operativa, un </w:t>
      </w:r>
      <w:r w:rsidRPr="00B225D4">
        <w:rPr>
          <w:rFonts w:ascii="Verdana" w:hAnsi="Verdana" w:cs="Cambria"/>
          <w:b/>
        </w:rPr>
        <w:t>informe amb la concreció de quines han estat les mesures aplicades.</w:t>
      </w:r>
    </w:p>
    <w:p w:rsidR="00B225D4" w:rsidRDefault="00B225D4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Cambria"/>
          <w:b/>
        </w:rPr>
      </w:pPr>
      <w:r>
        <w:rPr>
          <w:rFonts w:ascii="Verdana" w:hAnsi="Verdana" w:cs="Cambria"/>
          <w:b/>
        </w:rPr>
        <w:br w:type="page"/>
      </w:r>
    </w:p>
    <w:p w:rsidR="00E06C61" w:rsidRPr="00B225D4" w:rsidRDefault="00E06C61" w:rsidP="00E06C61">
      <w:pPr>
        <w:spacing w:line="218" w:lineRule="auto"/>
        <w:rPr>
          <w:rFonts w:ascii="Verdana" w:hAnsi="Verdana"/>
        </w:rPr>
      </w:pPr>
    </w:p>
    <w:p w:rsidR="00B225D4" w:rsidRDefault="00B225D4" w:rsidP="00B225D4">
      <w:pPr>
        <w:pStyle w:val="Default"/>
        <w:jc w:val="center"/>
        <w:rPr>
          <w:b/>
          <w:bCs/>
          <w:color w:val="FF0000"/>
          <w:sz w:val="20"/>
          <w:szCs w:val="20"/>
        </w:rPr>
      </w:pPr>
      <w:r w:rsidRPr="00B225D4">
        <w:rPr>
          <w:b/>
          <w:bCs/>
          <w:color w:val="FF0000"/>
          <w:sz w:val="20"/>
          <w:szCs w:val="20"/>
        </w:rPr>
        <w:t xml:space="preserve">CONDICIÓ ESPECIAL D’EXECUCIÓ </w:t>
      </w:r>
    </w:p>
    <w:p w:rsidR="00B225D4" w:rsidRPr="00B225D4" w:rsidRDefault="00B225D4" w:rsidP="00B225D4">
      <w:pPr>
        <w:pStyle w:val="Default"/>
        <w:jc w:val="center"/>
        <w:rPr>
          <w:color w:val="FF0000"/>
          <w:sz w:val="20"/>
          <w:szCs w:val="20"/>
        </w:rPr>
      </w:pPr>
      <w:r w:rsidRPr="00B225D4">
        <w:rPr>
          <w:b/>
          <w:bCs/>
          <w:color w:val="FF0000"/>
          <w:sz w:val="20"/>
          <w:szCs w:val="20"/>
        </w:rPr>
        <w:t>“MESURES CONTRA L’ASSETJAMENT SEXUAL I PER RAÓ DE SEXE”</w:t>
      </w:r>
    </w:p>
    <w:p w:rsidR="00B225D4" w:rsidRPr="00B225D4" w:rsidRDefault="00B225D4" w:rsidP="00B225D4">
      <w:pPr>
        <w:pStyle w:val="Default"/>
        <w:jc w:val="center"/>
        <w:rPr>
          <w:sz w:val="20"/>
          <w:szCs w:val="20"/>
        </w:rPr>
      </w:pPr>
      <w:r w:rsidRPr="00B225D4">
        <w:rPr>
          <w:b/>
          <w:bCs/>
          <w:sz w:val="20"/>
          <w:szCs w:val="20"/>
        </w:rPr>
        <w:t>MODEL DE DECLARACIÓ RESPONSABLE</w:t>
      </w:r>
    </w:p>
    <w:p w:rsidR="00B225D4" w:rsidRDefault="00B225D4" w:rsidP="00B225D4">
      <w:pPr>
        <w:pStyle w:val="Default"/>
        <w:jc w:val="center"/>
        <w:rPr>
          <w:b/>
          <w:bCs/>
          <w:sz w:val="20"/>
          <w:szCs w:val="20"/>
        </w:rPr>
      </w:pPr>
      <w:r w:rsidRPr="00B225D4">
        <w:rPr>
          <w:b/>
          <w:bCs/>
          <w:sz w:val="20"/>
          <w:szCs w:val="20"/>
        </w:rPr>
        <w:t>per a l’empresa contractista</w:t>
      </w:r>
    </w:p>
    <w:p w:rsidR="00B225D4" w:rsidRDefault="00B225D4" w:rsidP="00B225D4">
      <w:pPr>
        <w:pStyle w:val="Default"/>
        <w:jc w:val="center"/>
        <w:rPr>
          <w:b/>
          <w:bCs/>
          <w:sz w:val="20"/>
          <w:szCs w:val="20"/>
        </w:rPr>
      </w:pPr>
    </w:p>
    <w:p w:rsidR="00B225D4" w:rsidRDefault="00B225D4" w:rsidP="00B225D4">
      <w:pPr>
        <w:pStyle w:val="Default"/>
        <w:jc w:val="center"/>
        <w:rPr>
          <w:b/>
          <w:bCs/>
          <w:sz w:val="20"/>
          <w:szCs w:val="20"/>
        </w:rPr>
      </w:pPr>
    </w:p>
    <w:p w:rsidR="00B225D4" w:rsidRPr="00B225D4" w:rsidRDefault="00B225D4" w:rsidP="00B225D4">
      <w:pPr>
        <w:pStyle w:val="Default"/>
        <w:jc w:val="center"/>
        <w:rPr>
          <w:sz w:val="20"/>
          <w:szCs w:val="20"/>
        </w:rPr>
      </w:pPr>
    </w:p>
    <w:p w:rsidR="00B225D4" w:rsidRDefault="00B225D4" w:rsidP="00B225D4">
      <w:pPr>
        <w:pStyle w:val="Default"/>
        <w:jc w:val="both"/>
        <w:rPr>
          <w:rFonts w:cs="Arial"/>
          <w:sz w:val="20"/>
          <w:szCs w:val="20"/>
        </w:rPr>
      </w:pPr>
      <w:r w:rsidRPr="00B225D4">
        <w:rPr>
          <w:sz w:val="20"/>
          <w:szCs w:val="20"/>
        </w:rPr>
        <w:t>El/la sotasignat/</w:t>
      </w:r>
      <w:proofErr w:type="spellStart"/>
      <w:r w:rsidRPr="00B225D4">
        <w:rPr>
          <w:sz w:val="20"/>
          <w:szCs w:val="20"/>
        </w:rPr>
        <w:t>ada</w:t>
      </w:r>
      <w:proofErr w:type="spellEnd"/>
      <w:r w:rsidRPr="00B225D4">
        <w:rPr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B225D4">
        <w:rPr>
          <w:b/>
          <w:bCs/>
          <w:sz w:val="20"/>
          <w:szCs w:val="20"/>
        </w:rPr>
        <w:t xml:space="preserve">Condició Especial d’Execució ”Mesures contra l’assetjament sexual i per raó de sexe” </w:t>
      </w:r>
      <w:r w:rsidRPr="00B225D4">
        <w:rPr>
          <w:sz w:val="20"/>
          <w:szCs w:val="20"/>
        </w:rPr>
        <w:t xml:space="preserve">establerta en el procediment d'adjudicació </w:t>
      </w:r>
      <w:r w:rsidRPr="00B225D4">
        <w:rPr>
          <w:rFonts w:cs="Arial"/>
          <w:sz w:val="20"/>
          <w:szCs w:val="20"/>
        </w:rPr>
        <w:t xml:space="preserve">CONTRACTE DE SERVEI DE GESTIÓ DOCUMENTAL ALS DEPARTAMENTS DE LLICÈNCIES I INSPECCIÓ I DE SERVEIS JURÍDICS-SECRETARIA DEL DISTRICTE DE NOU BARRIS RESERVAT I AMB MESURES D’EFICIÈNCIA SOCIAL, núm. Contracte </w:t>
      </w:r>
      <w:bookmarkStart w:id="0" w:name="annex_contracte"/>
      <w:bookmarkStart w:id="1" w:name="_GoBack"/>
      <w:bookmarkEnd w:id="0"/>
      <w:r w:rsidR="009D2B1E" w:rsidRPr="009D2B1E">
        <w:rPr>
          <w:rFonts w:cs="Arial"/>
          <w:b/>
          <w:sz w:val="20"/>
        </w:rPr>
        <w:t>001_</w:t>
      </w:r>
      <w:bookmarkStart w:id="2" w:name="annex_dge_expedient"/>
      <w:bookmarkEnd w:id="2"/>
      <w:r w:rsidR="009D2B1E" w:rsidRPr="009D2B1E">
        <w:rPr>
          <w:rFonts w:cs="Arial"/>
          <w:b/>
          <w:sz w:val="20"/>
        </w:rPr>
        <w:t>24004279</w:t>
      </w:r>
      <w:bookmarkEnd w:id="1"/>
      <w:r w:rsidR="009D2B1E">
        <w:rPr>
          <w:rFonts w:cs="Arial"/>
          <w:b/>
        </w:rPr>
        <w:t>.</w:t>
      </w:r>
    </w:p>
    <w:p w:rsidR="00B225D4" w:rsidRDefault="00B225D4" w:rsidP="00B225D4">
      <w:pPr>
        <w:pStyle w:val="Default"/>
        <w:jc w:val="both"/>
        <w:rPr>
          <w:rFonts w:cs="Arial"/>
          <w:sz w:val="20"/>
          <w:szCs w:val="20"/>
        </w:rPr>
      </w:pP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jc w:val="center"/>
        <w:rPr>
          <w:b/>
          <w:bCs/>
          <w:sz w:val="20"/>
          <w:szCs w:val="20"/>
        </w:rPr>
      </w:pPr>
      <w:r w:rsidRPr="00B225D4">
        <w:rPr>
          <w:b/>
          <w:bCs/>
          <w:sz w:val="20"/>
          <w:szCs w:val="20"/>
        </w:rPr>
        <w:t>DECLARA SOTA LA SEVA RESPONSABILITAT</w:t>
      </w:r>
    </w:p>
    <w:p w:rsidR="00B225D4" w:rsidRPr="00B225D4" w:rsidRDefault="00B225D4" w:rsidP="00B225D4">
      <w:pPr>
        <w:pStyle w:val="Default"/>
        <w:jc w:val="center"/>
        <w:rPr>
          <w:sz w:val="20"/>
          <w:szCs w:val="20"/>
        </w:rPr>
      </w:pPr>
    </w:p>
    <w:p w:rsidR="00B225D4" w:rsidRDefault="00B225D4" w:rsidP="00B225D4">
      <w:pPr>
        <w:pStyle w:val="Default"/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Que l’entitat que representa aporta, conjuntament amb aquesta declaració, un dels següents documents: </w:t>
      </w: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Un </w:t>
      </w:r>
      <w:r w:rsidRPr="00B225D4">
        <w:rPr>
          <w:b/>
          <w:bCs/>
          <w:sz w:val="20"/>
          <w:szCs w:val="20"/>
        </w:rPr>
        <w:t xml:space="preserve">Pla d’igualtat </w:t>
      </w:r>
      <w:r w:rsidRPr="00B225D4">
        <w:rPr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contracte. </w:t>
      </w:r>
    </w:p>
    <w:p w:rsidR="00B225D4" w:rsidRDefault="00B225D4" w:rsidP="00B225D4">
      <w:pPr>
        <w:pStyle w:val="Default"/>
        <w:ind w:left="720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Un </w:t>
      </w:r>
      <w:r w:rsidRPr="00B225D4">
        <w:rPr>
          <w:b/>
          <w:bCs/>
          <w:sz w:val="20"/>
          <w:szCs w:val="20"/>
        </w:rPr>
        <w:t xml:space="preserve">Protocol </w:t>
      </w:r>
      <w:r w:rsidRPr="00B225D4">
        <w:rPr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:rsidR="00B225D4" w:rsidRDefault="00B225D4" w:rsidP="00B225D4">
      <w:pPr>
        <w:pStyle w:val="Pargrafdellista"/>
      </w:pPr>
    </w:p>
    <w:p w:rsidR="00B225D4" w:rsidRDefault="00B225D4" w:rsidP="00B225D4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Una </w:t>
      </w:r>
      <w:r w:rsidRPr="00B225D4">
        <w:rPr>
          <w:b/>
          <w:bCs/>
          <w:sz w:val="20"/>
          <w:szCs w:val="20"/>
        </w:rPr>
        <w:t xml:space="preserve">descripció de les mesures concretes </w:t>
      </w:r>
      <w:r w:rsidRPr="00B225D4">
        <w:rPr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Que les mesures descrites en el document aportat inclouen: </w:t>
      </w: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Pr="00B225D4" w:rsidRDefault="00B225D4" w:rsidP="00B225D4">
      <w:pPr>
        <w:pStyle w:val="Default"/>
        <w:spacing w:after="254"/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 La realització/assistència del personal adscrit a l’execució del contracte al curs/sessió formativa .................................................................. </w:t>
      </w: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 La designació del/la Sr/a...................................................., amb la següent adreça de correu electrònic ............................................... com a persona referent encarregada de vetllar per un espai de treball lliure de violències masclistes. </w:t>
      </w:r>
    </w:p>
    <w:p w:rsid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</w:p>
    <w:p w:rsidR="00B225D4" w:rsidRPr="00B225D4" w:rsidRDefault="00B225D4" w:rsidP="00B225D4">
      <w:pPr>
        <w:pStyle w:val="Default"/>
        <w:jc w:val="both"/>
        <w:rPr>
          <w:sz w:val="20"/>
          <w:szCs w:val="20"/>
        </w:rPr>
      </w:pPr>
      <w:r w:rsidRPr="00B225D4">
        <w:rPr>
          <w:sz w:val="20"/>
          <w:szCs w:val="20"/>
        </w:rPr>
        <w:t xml:space="preserve">[Signatura electrònica] 1 </w:t>
      </w:r>
    </w:p>
    <w:p w:rsidR="00B225D4" w:rsidRDefault="00B225D4" w:rsidP="00B225D4">
      <w:pPr>
        <w:rPr>
          <w:rFonts w:ascii="Verdana" w:hAnsi="Verdana" w:cs="Calibri"/>
        </w:rPr>
      </w:pPr>
    </w:p>
    <w:p w:rsidR="00B225D4" w:rsidRDefault="00B225D4" w:rsidP="00B225D4">
      <w:pPr>
        <w:rPr>
          <w:rFonts w:ascii="Verdana" w:hAnsi="Verdana" w:cs="Calibri"/>
        </w:rPr>
      </w:pPr>
    </w:p>
    <w:p w:rsidR="00B225D4" w:rsidRDefault="00B225D4" w:rsidP="00B225D4">
      <w:pPr>
        <w:rPr>
          <w:rFonts w:ascii="Verdana" w:hAnsi="Verdana" w:cs="Calibri"/>
        </w:rPr>
      </w:pPr>
    </w:p>
    <w:p w:rsidR="004C72C9" w:rsidRPr="00B225D4" w:rsidRDefault="00B225D4" w:rsidP="00B225D4">
      <w:pPr>
        <w:rPr>
          <w:rFonts w:ascii="Verdana" w:hAnsi="Verdana"/>
        </w:rPr>
      </w:pPr>
      <w:r w:rsidRPr="00B225D4">
        <w:rPr>
          <w:rFonts w:ascii="Verdana" w:hAnsi="Verdana" w:cs="Calibri"/>
        </w:rPr>
        <w:t xml:space="preserve">1 </w:t>
      </w:r>
      <w:r w:rsidRPr="00B225D4">
        <w:rPr>
          <w:rFonts w:ascii="Verdana" w:hAnsi="Verdana"/>
        </w:rPr>
        <w:t xml:space="preserve">En cas d’Unió Temporal d’Empreses (UTE) cal presentar una declaració responsable per cadascuna de les empreses/entitats que en formaran part.  </w:t>
      </w:r>
    </w:p>
    <w:sectPr w:rsidR="004C72C9" w:rsidRPr="00B225D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D4" w:rsidRDefault="00B225D4" w:rsidP="00B225D4">
      <w:r>
        <w:separator/>
      </w:r>
    </w:p>
  </w:endnote>
  <w:endnote w:type="continuationSeparator" w:id="0">
    <w:p w:rsidR="00B225D4" w:rsidRDefault="00B225D4" w:rsidP="00B2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D4" w:rsidRDefault="00B225D4" w:rsidP="00B225D4">
      <w:r>
        <w:separator/>
      </w:r>
    </w:p>
  </w:footnote>
  <w:footnote w:type="continuationSeparator" w:id="0">
    <w:p w:rsidR="00B225D4" w:rsidRDefault="00B225D4" w:rsidP="00B2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D4" w:rsidRDefault="00B225D4" w:rsidP="00B225D4">
    <w:pPr>
      <w:ind w:left="260"/>
    </w:pPr>
  </w:p>
  <w:p w:rsidR="00B225D4" w:rsidRDefault="00B225D4" w:rsidP="00B225D4">
    <w:pPr>
      <w:ind w:left="260"/>
      <w:rPr>
        <w:rFonts w:asciiTheme="majorHAnsi" w:eastAsia="Calibri" w:hAnsiTheme="majorHAnsi" w:cs="Calibri"/>
        <w:b/>
        <w:bCs/>
        <w:sz w:val="28"/>
        <w:szCs w:val="28"/>
        <w:u w:val="single"/>
      </w:rPr>
    </w:pPr>
    <w:r w:rsidRPr="00A41DF7">
      <w:rPr>
        <w:rFonts w:eastAsia="Calibri"/>
        <w:noProof/>
      </w:rPr>
      <w:drawing>
        <wp:anchor distT="0" distB="0" distL="114300" distR="114300" simplePos="0" relativeHeight="251661312" behindDoc="0" locked="0" layoutInCell="1" allowOverlap="1" wp14:anchorId="0D0EA613" wp14:editId="0605E399">
          <wp:simplePos x="0" y="0"/>
          <wp:positionH relativeFrom="page">
            <wp:posOffset>1286510</wp:posOffset>
          </wp:positionH>
          <wp:positionV relativeFrom="page">
            <wp:posOffset>180340</wp:posOffset>
          </wp:positionV>
          <wp:extent cx="1278255" cy="351155"/>
          <wp:effectExtent l="0" t="0" r="0" b="0"/>
          <wp:wrapTight wrapText="bothSides">
            <wp:wrapPolygon edited="0">
              <wp:start x="0" y="0"/>
              <wp:lineTo x="0" y="19920"/>
              <wp:lineTo x="21246" y="19920"/>
              <wp:lineTo x="21246" y="0"/>
              <wp:lineTo x="0" y="0"/>
            </wp:wrapPolygon>
          </wp:wrapTight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Calibri" w:eastAsia="Calibri" w:hAnsi="Calibri" w:cs="Calibri"/>
        <w:b/>
        <w:lang w:eastAsia="es-ES"/>
      </w:rPr>
      <w:t>Direcció de Serveis</w:t>
    </w:r>
    <w:r w:rsidRPr="00A41DF7">
      <w:rPr>
        <w:rFonts w:ascii="Calibri" w:eastAsia="Calibri" w:hAnsi="Calibri" w:cs="Calibri"/>
        <w:b/>
        <w:lang w:eastAsia="es-ES"/>
      </w:rPr>
      <w:t xml:space="preserve"> de Gènere </w:t>
    </w:r>
    <w:r>
      <w:rPr>
        <w:rFonts w:ascii="Calibri" w:eastAsia="Calibri" w:hAnsi="Calibri" w:cs="Calibri"/>
        <w:b/>
        <w:lang w:eastAsia="es-ES"/>
      </w:rPr>
      <w:t>i Polítiques del Temps</w:t>
    </w:r>
  </w:p>
  <w:p w:rsidR="00B225D4" w:rsidRDefault="00B225D4" w:rsidP="00B225D4">
    <w:pPr>
      <w:pStyle w:val="Capalera"/>
      <w:tabs>
        <w:tab w:val="clear" w:pos="4252"/>
        <w:tab w:val="clear" w:pos="8504"/>
        <w:tab w:val="left" w:pos="92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773A"/>
    <w:multiLevelType w:val="hybridMultilevel"/>
    <w:tmpl w:val="9DFEB50E"/>
    <w:lvl w:ilvl="0" w:tplc="A1561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28AC"/>
    <w:multiLevelType w:val="hybridMultilevel"/>
    <w:tmpl w:val="11DCA7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AFB66"/>
    <w:multiLevelType w:val="hybridMultilevel"/>
    <w:tmpl w:val="19BC9436"/>
    <w:lvl w:ilvl="0" w:tplc="4F028D28">
      <w:start w:val="2"/>
      <w:numFmt w:val="lowerLetter"/>
      <w:lvlText w:val="%1."/>
      <w:lvlJc w:val="left"/>
    </w:lvl>
    <w:lvl w:ilvl="1" w:tplc="A47CC50A">
      <w:numFmt w:val="decimal"/>
      <w:lvlText w:val=""/>
      <w:lvlJc w:val="left"/>
    </w:lvl>
    <w:lvl w:ilvl="2" w:tplc="AEE280FA">
      <w:numFmt w:val="decimal"/>
      <w:lvlText w:val=""/>
      <w:lvlJc w:val="left"/>
    </w:lvl>
    <w:lvl w:ilvl="3" w:tplc="8426415C">
      <w:numFmt w:val="decimal"/>
      <w:lvlText w:val=""/>
      <w:lvlJc w:val="left"/>
    </w:lvl>
    <w:lvl w:ilvl="4" w:tplc="B6D248C0">
      <w:numFmt w:val="decimal"/>
      <w:lvlText w:val=""/>
      <w:lvlJc w:val="left"/>
    </w:lvl>
    <w:lvl w:ilvl="5" w:tplc="5308F26E">
      <w:numFmt w:val="decimal"/>
      <w:lvlText w:val=""/>
      <w:lvlJc w:val="left"/>
    </w:lvl>
    <w:lvl w:ilvl="6" w:tplc="04A2F484">
      <w:numFmt w:val="decimal"/>
      <w:lvlText w:val=""/>
      <w:lvlJc w:val="left"/>
    </w:lvl>
    <w:lvl w:ilvl="7" w:tplc="F556754A">
      <w:numFmt w:val="decimal"/>
      <w:lvlText w:val=""/>
      <w:lvlJc w:val="left"/>
    </w:lvl>
    <w:lvl w:ilvl="8" w:tplc="0180CC8C">
      <w:numFmt w:val="decimal"/>
      <w:lvlText w:val=""/>
      <w:lvlJc w:val="left"/>
    </w:lvl>
  </w:abstractNum>
  <w:abstractNum w:abstractNumId="3">
    <w:nsid w:val="50D00F1E"/>
    <w:multiLevelType w:val="hybridMultilevel"/>
    <w:tmpl w:val="037864BC"/>
    <w:lvl w:ilvl="0" w:tplc="A1561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35D57"/>
    <w:multiLevelType w:val="hybridMultilevel"/>
    <w:tmpl w:val="143238E8"/>
    <w:lvl w:ilvl="0" w:tplc="7FB6C69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87F9C"/>
    <w:multiLevelType w:val="hybridMultilevel"/>
    <w:tmpl w:val="F0C43D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61"/>
    <w:rsid w:val="004C72C9"/>
    <w:rsid w:val="006A73D5"/>
    <w:rsid w:val="009D2B1E"/>
    <w:rsid w:val="00B225D4"/>
    <w:rsid w:val="00E0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6C6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rsid w:val="00E06C61"/>
    <w:rPr>
      <w:color w:val="0000FF"/>
      <w:u w:val="single"/>
    </w:rPr>
  </w:style>
  <w:style w:type="paragraph" w:customStyle="1" w:styleId="Default">
    <w:name w:val="Default"/>
    <w:rsid w:val="00B225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B225D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225D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225D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225D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225D4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6C6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rsid w:val="00E06C61"/>
    <w:rPr>
      <w:color w:val="0000FF"/>
      <w:u w:val="single"/>
    </w:rPr>
  </w:style>
  <w:style w:type="paragraph" w:customStyle="1" w:styleId="Default">
    <w:name w:val="Default"/>
    <w:rsid w:val="00B225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B225D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225D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225D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225D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225D4"/>
    <w:rPr>
      <w:rFonts w:ascii="Arial" w:eastAsia="Times New Roman" w:hAnsi="Arial" w:cs="Times New Roman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es.barcelonactiva.cat/ca/web/es/servei-d-assessorament-per-la-igualt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dcterms:created xsi:type="dcterms:W3CDTF">2023-07-10T10:37:00Z</dcterms:created>
  <dcterms:modified xsi:type="dcterms:W3CDTF">2024-12-05T09:29:00Z</dcterms:modified>
</cp:coreProperties>
</file>