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59" w:rsidRPr="00D930BD" w:rsidRDefault="00A64659" w:rsidP="00A64659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D930BD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A64659" w:rsidRPr="00D930BD" w:rsidRDefault="00A64659" w:rsidP="00A64659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A64659" w:rsidRPr="00D930BD" w:rsidRDefault="00A64659" w:rsidP="00A64659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>Exp. 2024/15604/3105</w:t>
      </w:r>
    </w:p>
    <w:p w:rsidR="00A64659" w:rsidRPr="00D930BD" w:rsidRDefault="00A64659" w:rsidP="00A64659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>Obres per l’adequació a normativa i legalització de les instal·lacions de l’enllumenat públic exterior del Terme Municipal d’Esplugues de Llobregat</w:t>
      </w:r>
    </w:p>
    <w:p w:rsidR="00A64659" w:rsidRPr="00D930BD" w:rsidRDefault="00A64659" w:rsidP="00A6465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A64659" w:rsidRDefault="00A64659" w:rsidP="00A64659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D930BD">
        <w:rPr>
          <w:rFonts w:ascii="Arial" w:eastAsia="Calibri" w:hAnsi="Arial" w:cs="Arial"/>
          <w:b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szCs w:val="24"/>
          <w:lang w:eastAsia="en-US"/>
        </w:rPr>
        <w:t>C</w:t>
      </w:r>
    </w:p>
    <w:p w:rsidR="00A64659" w:rsidRPr="00D930BD" w:rsidRDefault="00A64659" w:rsidP="00A64659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64659" w:rsidRPr="00D930BD" w:rsidRDefault="00A64659" w:rsidP="00A64659">
      <w:pPr>
        <w:ind w:left="720" w:hanging="11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D930BD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930BD">
        <w:rPr>
          <w:rFonts w:ascii="Arial" w:hAnsi="Arial" w:cs="Arial"/>
          <w:szCs w:val="24"/>
        </w:rPr>
        <w:t xml:space="preserve"> </w:t>
      </w:r>
      <w:r w:rsidRPr="00D930BD">
        <w:rPr>
          <w:rFonts w:ascii="Arial" w:hAnsi="Arial" w:cs="Arial"/>
          <w:i/>
          <w:szCs w:val="24"/>
        </w:rPr>
        <w:t>(persona de contacte......................,</w:t>
      </w:r>
      <w:r w:rsidRPr="00D930BD">
        <w:rPr>
          <w:rFonts w:ascii="Arial" w:hAnsi="Arial" w:cs="Arial"/>
          <w:szCs w:val="24"/>
        </w:rPr>
        <w:t xml:space="preserve"> adreça de correu electrònic ................,  telèfon núm. ...............), assabentat/da de les condicions exigides per optar a la contractació relativa al contracte </w:t>
      </w:r>
      <w:r w:rsidRPr="00D930BD">
        <w:rPr>
          <w:rFonts w:ascii="Arial" w:eastAsia="Calibri" w:hAnsi="Arial" w:cs="Arial"/>
          <w:szCs w:val="24"/>
          <w:lang w:eastAsia="en-US"/>
        </w:rPr>
        <w:t>Obres per l’adequació a normativa i legalització de les instal·lacions de l’enllumenat públic exterior del Terme Municipal d’Esplugues de Llobregat</w:t>
      </w:r>
      <w:r w:rsidRPr="00D930BD">
        <w:rPr>
          <w:rFonts w:ascii="Arial" w:hAnsi="Arial" w:cs="Arial"/>
          <w:szCs w:val="24"/>
        </w:rPr>
        <w:t>, es compromet a portar-la a terme amb subjecció al Plec de Clàusules Administratives Particulars i al Projecte d’execució d’obres, que accepta íntegrament.</w:t>
      </w:r>
    </w:p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</w:rPr>
      </w:pPr>
    </w:p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El pressupost de licitació es distribueix en el següent quadre:</w:t>
      </w:r>
    </w:p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  <w:shd w:val="clear" w:color="auto" w:fill="D9EAD3"/>
        </w:rPr>
      </w:pPr>
    </w:p>
    <w:p w:rsidR="00A64659" w:rsidRPr="00D930BD" w:rsidRDefault="00A64659" w:rsidP="00A64659">
      <w:pPr>
        <w:pStyle w:val="Prrafodelista"/>
        <w:rPr>
          <w:rFonts w:ascii="Arial Narrow" w:eastAsia="Calibri" w:hAnsi="Arial Narrow"/>
          <w:szCs w:val="24"/>
          <w:lang w:eastAsia="en-US"/>
        </w:rPr>
      </w:pPr>
    </w:p>
    <w:tbl>
      <w:tblPr>
        <w:tblW w:w="8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34"/>
        <w:gridCol w:w="1726"/>
        <w:gridCol w:w="2044"/>
      </w:tblGrid>
      <w:tr w:rsidR="00A64659" w:rsidRPr="00D930BD" w:rsidTr="005C18C8">
        <w:trPr>
          <w:trHeight w:val="330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6DCE4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PRESSUPOST OBRA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6DCE4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6DCE4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Imports Projecte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6DCE4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Oferta licitador</w:t>
            </w:r>
          </w:p>
        </w:tc>
      </w:tr>
      <w:tr w:rsidR="00A64659" w:rsidRPr="00D930BD" w:rsidTr="005C18C8">
        <w:trPr>
          <w:trHeight w:val="259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PEM Pressupost d’execució material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ind w:firstLineChars="300" w:firstLine="720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77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465.707,51 €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53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263.342,54 €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71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274.118,99 €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61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265.045,74 €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123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492.475,02 €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69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289.902,51 €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73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328.856,33 €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63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348.876,84 €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67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Zona 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316.678,26 €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57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Quadres sense zona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26.606,58 €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261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color w:val="666666"/>
                <w:szCs w:val="24"/>
              </w:rPr>
            </w:pPr>
            <w:r w:rsidRPr="00D930BD">
              <w:rPr>
                <w:rFonts w:ascii="Arial Narrow" w:hAnsi="Arial Narrow" w:cs="Calibri"/>
                <w:color w:val="666666"/>
                <w:szCs w:val="24"/>
              </w:rPr>
              <w:t>PEM Seguretat i Salut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53.561,76 €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53.561,76 €</w:t>
            </w:r>
          </w:p>
        </w:tc>
      </w:tr>
      <w:tr w:rsidR="00A64659" w:rsidRPr="00D930BD" w:rsidTr="005C18C8">
        <w:trPr>
          <w:trHeight w:val="330"/>
        </w:trPr>
        <w:tc>
          <w:tcPr>
            <w:tcW w:w="507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PEM Pressupost d'Execució Material TOTAL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szCs w:val="24"/>
              </w:rPr>
            </w:pPr>
            <w:r w:rsidRPr="00D930BD">
              <w:rPr>
                <w:rFonts w:ascii="Arial Narrow" w:hAnsi="Arial Narrow" w:cs="Calibri"/>
                <w:b/>
                <w:szCs w:val="24"/>
              </w:rPr>
              <w:t>3.125.172,08 €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345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BI Benefici industrial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6%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187.510,32 €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345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DG Despeses generals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13%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406.272,37 €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330"/>
        </w:trPr>
        <w:tc>
          <w:tcPr>
            <w:tcW w:w="507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szCs w:val="24"/>
              </w:rPr>
              <w:t>PEC Pressupost d'execució per contracte (s/IVA)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szCs w:val="24"/>
              </w:rPr>
            </w:pPr>
            <w:r w:rsidRPr="00D930BD">
              <w:rPr>
                <w:rFonts w:ascii="Arial Narrow" w:hAnsi="Arial Narrow" w:cs="Calibri"/>
                <w:b/>
                <w:szCs w:val="24"/>
              </w:rPr>
              <w:t>3.718.954,77 €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345"/>
        </w:trPr>
        <w:tc>
          <w:tcPr>
            <w:tcW w:w="457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IVA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21%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780.980,50 €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3F3F3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szCs w:val="24"/>
              </w:rPr>
            </w:pPr>
            <w:r w:rsidRPr="00D930BD">
              <w:rPr>
                <w:rFonts w:ascii="Arial Narrow" w:hAnsi="Arial Narrow" w:cs="Calibri"/>
                <w:szCs w:val="24"/>
              </w:rPr>
              <w:t> </w:t>
            </w:r>
          </w:p>
        </w:tc>
      </w:tr>
      <w:tr w:rsidR="00A64659" w:rsidRPr="00D930BD" w:rsidTr="005C18C8">
        <w:trPr>
          <w:trHeight w:val="330"/>
        </w:trPr>
        <w:tc>
          <w:tcPr>
            <w:tcW w:w="5075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44546A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color w:val="FFFFFF"/>
                <w:szCs w:val="24"/>
              </w:rPr>
              <w:t>PEC Pressupost d'execució per contracte (amb IVA)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center"/>
            <w:hideMark/>
          </w:tcPr>
          <w:p w:rsidR="00A64659" w:rsidRPr="00D930BD" w:rsidRDefault="00A64659" w:rsidP="005C18C8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Cs w:val="24"/>
              </w:rPr>
            </w:pPr>
            <w:r w:rsidRPr="00D930BD">
              <w:rPr>
                <w:rFonts w:ascii="Arial Narrow" w:hAnsi="Arial Narrow" w:cs="Calibri"/>
                <w:b/>
                <w:bCs/>
                <w:color w:val="FFFFFF"/>
                <w:szCs w:val="24"/>
              </w:rPr>
              <w:t>4.499.935,27 €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center"/>
            <w:hideMark/>
          </w:tcPr>
          <w:p w:rsidR="00A64659" w:rsidRPr="00D930BD" w:rsidRDefault="00A64659" w:rsidP="005C18C8">
            <w:pPr>
              <w:rPr>
                <w:rFonts w:ascii="Arial Narrow" w:hAnsi="Arial Narrow" w:cs="Calibri"/>
                <w:color w:val="FFFFFF"/>
                <w:szCs w:val="24"/>
              </w:rPr>
            </w:pPr>
            <w:r w:rsidRPr="00D930BD">
              <w:rPr>
                <w:rFonts w:ascii="Arial Narrow" w:hAnsi="Arial Narrow" w:cs="Calibri"/>
                <w:color w:val="FFFFFF"/>
                <w:szCs w:val="24"/>
              </w:rPr>
              <w:t> </w:t>
            </w:r>
          </w:p>
        </w:tc>
      </w:tr>
    </w:tbl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  <w:shd w:val="clear" w:color="auto" w:fill="D9EAD3"/>
        </w:rPr>
      </w:pPr>
    </w:p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</w:rPr>
      </w:pPr>
    </w:p>
    <w:p w:rsidR="00A64659" w:rsidRPr="00D930BD" w:rsidRDefault="00A64659" w:rsidP="00A64659">
      <w:pPr>
        <w:ind w:left="709"/>
        <w:jc w:val="both"/>
        <w:rPr>
          <w:rFonts w:ascii="Arial" w:hAnsi="Arial" w:cs="Arial"/>
          <w:szCs w:val="24"/>
        </w:rPr>
      </w:pPr>
    </w:p>
    <w:p w:rsidR="00A64659" w:rsidRPr="00D930BD" w:rsidRDefault="00A64659" w:rsidP="00A64659">
      <w:pPr>
        <w:ind w:left="851"/>
        <w:jc w:val="both"/>
        <w:rPr>
          <w:rFonts w:ascii="Arial" w:hAnsi="Arial" w:cs="Arial"/>
          <w:color w:val="FF0000"/>
          <w:szCs w:val="24"/>
        </w:rPr>
      </w:pPr>
      <w:r w:rsidRPr="00D930BD">
        <w:rPr>
          <w:rFonts w:ascii="Arial" w:hAnsi="Arial" w:cs="Arial"/>
          <w:szCs w:val="24"/>
        </w:rPr>
        <w:t>(Per a la resta de millores relatives a criteris d’adjudicació, cal marcar amb una X la casella que correspongui):</w:t>
      </w:r>
    </w:p>
    <w:p w:rsidR="00A64659" w:rsidRPr="00D930BD" w:rsidRDefault="00A64659" w:rsidP="00A64659">
      <w:pPr>
        <w:ind w:left="851" w:firstLine="708"/>
        <w:rPr>
          <w:rFonts w:ascii="Arial" w:hAnsi="Arial" w:cs="Arial"/>
          <w:color w:val="FF0000"/>
          <w:szCs w:val="24"/>
        </w:rPr>
      </w:pPr>
    </w:p>
    <w:p w:rsidR="00A64659" w:rsidRPr="00D930BD" w:rsidRDefault="00A64659" w:rsidP="00A64659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/>
          <w:bCs/>
          <w:szCs w:val="24"/>
        </w:rPr>
        <w:t>Ampliació del termini de garantia respecte al mínim exigit en els plecs, que s’estableix en 12 mesos any.</w:t>
      </w:r>
    </w:p>
    <w:p w:rsidR="00A64659" w:rsidRPr="00D930BD" w:rsidRDefault="00A64659" w:rsidP="00A64659">
      <w:pPr>
        <w:jc w:val="both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No ofereix aquesta millora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Ampliació garantia a 18 mesos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Ampliació garantia a 24 mesos</w:t>
      </w:r>
    </w:p>
    <w:p w:rsidR="00A64659" w:rsidRPr="00D930BD" w:rsidRDefault="00A64659" w:rsidP="00A64659">
      <w:pPr>
        <w:pStyle w:val="Prrafodelista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Ampliació garantia a 30 mesos</w:t>
      </w:r>
    </w:p>
    <w:p w:rsidR="00A64659" w:rsidRPr="00D930BD" w:rsidRDefault="00A64659" w:rsidP="00A64659">
      <w:pPr>
        <w:pStyle w:val="Prrafodelista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Ampliació garantia a 36 mesos</w:t>
      </w:r>
    </w:p>
    <w:p w:rsidR="00A64659" w:rsidRPr="00D930BD" w:rsidRDefault="00A64659" w:rsidP="00A64659">
      <w:pPr>
        <w:pStyle w:val="Prrafodelista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/>
          <w:bCs/>
          <w:szCs w:val="24"/>
        </w:rPr>
        <w:t>Increment  d’experiència del responsable de l’obra.</w:t>
      </w:r>
    </w:p>
    <w:p w:rsidR="00A64659" w:rsidRPr="00D930BD" w:rsidRDefault="00A64659" w:rsidP="00A64659">
      <w:pPr>
        <w:jc w:val="both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No ofereix aquesta millora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5 anys més (15 anys d’experiència total com a responsable d’obres en enllumenat públic)</w:t>
      </w:r>
    </w:p>
    <w:p w:rsidR="00A64659" w:rsidRPr="00D930BD" w:rsidRDefault="00A64659" w:rsidP="00A64659">
      <w:pPr>
        <w:pStyle w:val="Prrafodelista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10 anys més (20 anys d’experiència total com a responsable d’obres en enllumenat públic)</w:t>
      </w:r>
    </w:p>
    <w:p w:rsidR="00A64659" w:rsidRPr="00D930BD" w:rsidRDefault="00A64659" w:rsidP="00A64659">
      <w:pPr>
        <w:pStyle w:val="Prrafodelista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ind w:left="1069"/>
        <w:jc w:val="both"/>
        <w:rPr>
          <w:rFonts w:ascii="Arial Narrow" w:hAnsi="Arial Narrow"/>
          <w:szCs w:val="24"/>
        </w:rPr>
      </w:pPr>
    </w:p>
    <w:p w:rsidR="00A64659" w:rsidRPr="00D930BD" w:rsidRDefault="00A64659" w:rsidP="00A64659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/>
          <w:bCs/>
          <w:szCs w:val="24"/>
        </w:rPr>
        <w:t>Increment  d’experiència del cap de l’obra.</w:t>
      </w:r>
    </w:p>
    <w:p w:rsidR="00A64659" w:rsidRPr="00D930BD" w:rsidRDefault="00A64659" w:rsidP="00A64659">
      <w:pPr>
        <w:jc w:val="both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No ofereix aquesta millora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5 anys més (15 anys d’experiència total com a responsable d’obres en enllumenat públic)</w:t>
      </w:r>
    </w:p>
    <w:p w:rsidR="00A64659" w:rsidRPr="00D930BD" w:rsidRDefault="00A64659" w:rsidP="00A64659">
      <w:pPr>
        <w:pStyle w:val="Prrafodelista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10 anys més (20 anys d’experiència total com a responsable d’obres en enllumenat públic)</w:t>
      </w:r>
    </w:p>
    <w:p w:rsidR="00A64659" w:rsidRPr="00D930BD" w:rsidRDefault="00A64659" w:rsidP="00A64659">
      <w:pPr>
        <w:pStyle w:val="Prrafodelista"/>
        <w:rPr>
          <w:rFonts w:ascii="Arial" w:hAnsi="Arial" w:cs="Arial"/>
          <w:bCs/>
          <w:szCs w:val="24"/>
        </w:rPr>
      </w:pPr>
    </w:p>
    <w:p w:rsidR="00A64659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D930BD">
        <w:rPr>
          <w:rFonts w:ascii="Arial" w:hAnsi="Arial" w:cs="Arial"/>
          <w:b/>
          <w:bCs/>
          <w:szCs w:val="24"/>
        </w:rPr>
        <w:lastRenderedPageBreak/>
        <w:t>Increment  d’experiència de l’encarregat de l’obra.</w:t>
      </w:r>
    </w:p>
    <w:p w:rsidR="00A64659" w:rsidRPr="00D930BD" w:rsidRDefault="00A64659" w:rsidP="00A64659">
      <w:pPr>
        <w:jc w:val="both"/>
        <w:rPr>
          <w:rFonts w:ascii="Arial" w:hAnsi="Arial" w:cs="Arial"/>
          <w:b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No ofereix aquesta millora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5 anys més (15 anys d’experiència total com a responsable d’obres en enllumenat públic)</w:t>
      </w:r>
    </w:p>
    <w:p w:rsidR="00A64659" w:rsidRPr="00D930BD" w:rsidRDefault="00A64659" w:rsidP="00A64659">
      <w:pPr>
        <w:pStyle w:val="Prrafodelista"/>
        <w:rPr>
          <w:rFonts w:ascii="Arial" w:hAnsi="Arial" w:cs="Arial"/>
          <w:bCs/>
          <w:szCs w:val="24"/>
        </w:rPr>
      </w:pPr>
    </w:p>
    <w:p w:rsidR="00A64659" w:rsidRPr="00D930BD" w:rsidRDefault="00A64659" w:rsidP="00A6465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930BD">
        <w:rPr>
          <w:rFonts w:ascii="Arial" w:hAnsi="Arial" w:cs="Arial"/>
          <w:bCs/>
          <w:szCs w:val="24"/>
        </w:rPr>
        <w:t>10 anys més (20 anys d’experiència total com a responsable d’obres en enllumenat públic)</w:t>
      </w:r>
    </w:p>
    <w:p w:rsidR="00A64659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64659" w:rsidRPr="009408B1" w:rsidRDefault="00A64659" w:rsidP="00A64659"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p w:rsidR="00A64659" w:rsidRPr="00D930BD" w:rsidRDefault="00A64659" w:rsidP="00A64659">
      <w:pPr>
        <w:ind w:left="1069"/>
        <w:jc w:val="both"/>
        <w:rPr>
          <w:rFonts w:ascii="Arial" w:hAnsi="Arial" w:cs="Arial"/>
          <w:bCs/>
          <w:szCs w:val="24"/>
        </w:rPr>
      </w:pPr>
    </w:p>
    <w:p w:rsidR="00AC6715" w:rsidRDefault="00A64659" w:rsidP="007554C8">
      <w:bookmarkStart w:id="0" w:name="_GoBack"/>
      <w:bookmarkEnd w:id="0"/>
    </w:p>
    <w:sectPr w:rsidR="00AC6715" w:rsidSect="00D6350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96" w:rsidRDefault="00A64659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2A96" w:rsidRDefault="00A64659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96" w:rsidRDefault="00A64659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7C2A96" w:rsidRDefault="00A64659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96" w:rsidRDefault="00A64659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96" w:rsidRDefault="00A64659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F39F332" wp14:editId="3D337AAA">
          <wp:extent cx="933450" cy="533400"/>
          <wp:effectExtent l="0" t="0" r="0" b="0"/>
          <wp:docPr id="1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A96" w:rsidRDefault="00A646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96" w:rsidRDefault="00A64659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7AF599C1" wp14:editId="3B1884B0">
          <wp:extent cx="933450" cy="542925"/>
          <wp:effectExtent l="0" t="0" r="0" b="0"/>
          <wp:docPr id="2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A96" w:rsidRDefault="00A646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6016A92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59"/>
    <w:rsid w:val="000E0774"/>
    <w:rsid w:val="002A5C28"/>
    <w:rsid w:val="007554C8"/>
    <w:rsid w:val="00937F5E"/>
    <w:rsid w:val="00A64659"/>
    <w:rsid w:val="00A85A77"/>
    <w:rsid w:val="00C43EB1"/>
    <w:rsid w:val="00C5513D"/>
    <w:rsid w:val="00CA2337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892D8-39C7-4C85-A28B-CFB1D42C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659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styleId="Piedepgina">
    <w:name w:val="footer"/>
    <w:basedOn w:val="Normal"/>
    <w:link w:val="PiedepginaCar"/>
    <w:uiPriority w:val="99"/>
    <w:rsid w:val="00A64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59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A64659"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A64659"/>
    <w:pPr>
      <w:ind w:left="708"/>
    </w:pPr>
  </w:style>
  <w:style w:type="paragraph" w:styleId="Encabezado">
    <w:name w:val="header"/>
    <w:basedOn w:val="Normal"/>
    <w:link w:val="EncabezadoCar"/>
    <w:unhideWhenUsed/>
    <w:rsid w:val="00A64659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A64659"/>
    <w:rPr>
      <w:rFonts w:ascii="Courier New" w:eastAsia="Times New Roman" w:hAnsi="Courier New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A64659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2025-01-02T09:40:00Z</dcterms:created>
  <dcterms:modified xsi:type="dcterms:W3CDTF">2025-01-02T09:40:00Z</dcterms:modified>
</cp:coreProperties>
</file>