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A98C1" w14:textId="4ED575EB" w:rsidR="00273E3F" w:rsidRPr="00547345" w:rsidRDefault="00273E3F"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3E36AE49" w:rsidR="001B337B" w:rsidRPr="001B337B" w:rsidRDefault="001B337B" w:rsidP="001B337B">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3285C9A39E5E4225AC91A914D575093C"/>
                </w:placeholder>
              </w:sdtPr>
              <w:sdtEndPr>
                <w:rPr>
                  <w:bCs/>
                  <w:lang w:eastAsia="ca-ES"/>
                </w:rPr>
              </w:sdtEndPr>
              <w:sdtContent>
                <w:sdt>
                  <w:sdtPr>
                    <w:rPr>
                      <w:szCs w:val="18"/>
                    </w:rPr>
                    <w:id w:val="1430157934"/>
                    <w:placeholder>
                      <w:docPart w:val="82AFF4DED2B0414E888FB8E6E2BACC13"/>
                    </w:placeholder>
                  </w:sdtPr>
                  <w:sdtContent>
                    <w:r w:rsidR="00103A28">
                      <w:rPr>
                        <w:szCs w:val="18"/>
                      </w:rPr>
                      <w:t>CB0001-11130AM CONTRATO BASADA PARA EL SUMINISTRO DE MATERIAL DE AUTOMATIZACIÓN Y TELECONTROL PARA ACTUACIONES DEL PLAN DE RECUPERACIÓN, TRANSFORMACIÓN  Y RESILIENCIA (PRTR)</w:t>
                    </w:r>
                  </w:sdtContent>
                </w:sdt>
              </w:sdtContent>
            </w:sdt>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lastRenderedPageBreak/>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ocumentProtection w:edit="forms" w:enforcement="1" w:cryptProviderType="rsaAES" w:cryptAlgorithmClass="hash" w:cryptAlgorithmType="typeAny" w:cryptAlgorithmSid="14" w:cryptSpinCount="100000" w:hash="Csa1rFZA8iQ8QocEVJ8NYmIXjDL/3ze39mQZi+eurMcHl6XT9w4YI8rL+tLy44cn54TUm1dh8AFlREjDNszMZw==" w:salt="37gPB9xCcykyBhpFbFJY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03A28"/>
    <w:rsid w:val="00137A56"/>
    <w:rsid w:val="00146AEF"/>
    <w:rsid w:val="001566CE"/>
    <w:rsid w:val="001B337B"/>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6336C7"/>
    <w:rsid w:val="00682C98"/>
    <w:rsid w:val="006A0800"/>
    <w:rsid w:val="006B72E5"/>
    <w:rsid w:val="006D6CB8"/>
    <w:rsid w:val="006F4F7C"/>
    <w:rsid w:val="007635FC"/>
    <w:rsid w:val="00791D96"/>
    <w:rsid w:val="00872ADF"/>
    <w:rsid w:val="008C02EA"/>
    <w:rsid w:val="008F3D3E"/>
    <w:rsid w:val="008F503F"/>
    <w:rsid w:val="00981936"/>
    <w:rsid w:val="0099370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EC1C5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delcontenidor"/>
            </w:rPr>
            <w:t>Feu clic o toqueu aquí per escriure text.</w:t>
          </w:r>
        </w:p>
      </w:docPartBody>
    </w:docPart>
    <w:docPart>
      <w:docPartPr>
        <w:name w:val="82AFF4DED2B0414E888FB8E6E2BACC13"/>
        <w:category>
          <w:name w:val="General"/>
          <w:gallery w:val="placeholder"/>
        </w:category>
        <w:types>
          <w:type w:val="bbPlcHdr"/>
        </w:types>
        <w:behaviors>
          <w:behavior w:val="content"/>
        </w:behaviors>
        <w:guid w:val="{0CF4654A-D391-40F8-B318-EC556D1950A0}"/>
      </w:docPartPr>
      <w:docPartBody>
        <w:p w:rsidR="00C6266B" w:rsidRDefault="00C6266B" w:rsidP="00C6266B">
          <w:pPr>
            <w:pStyle w:val="82AFF4DED2B0414E888FB8E6E2BACC13"/>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6B72E5"/>
    <w:rsid w:val="007679DC"/>
    <w:rsid w:val="008F3D3E"/>
    <w:rsid w:val="009C0812"/>
    <w:rsid w:val="00A146C8"/>
    <w:rsid w:val="00A734A3"/>
    <w:rsid w:val="00C6266B"/>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6266B"/>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82AFF4DED2B0414E888FB8E6E2BACC13">
    <w:name w:val="82AFF4DED2B0414E888FB8E6E2BACC13"/>
    <w:rsid w:val="00C6266B"/>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575</Words>
  <Characters>3280</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15</cp:revision>
  <cp:lastPrinted>2024-02-16T08:05:00Z</cp:lastPrinted>
  <dcterms:created xsi:type="dcterms:W3CDTF">2024-02-20T09:26:00Z</dcterms:created>
  <dcterms:modified xsi:type="dcterms:W3CDTF">2024-12-17T14:16:00Z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